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Seine-et-Marne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3 224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2 854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2 424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34 914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31 277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27 129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7 150 (25%)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122.5 M€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5 374 (25%)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103.5 M€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4 079 (25%)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90.2 M€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28 925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552.5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21 834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472.8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16 514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414.4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(54%)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(54%)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(54%)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2 968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2 807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2 660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15 866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14 930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14 053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13 780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8 561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6 655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656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7 519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7 001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6 418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99 772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92 377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84 022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330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251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1 857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13 755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12 296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10 797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1 373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1 084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874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9 493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7 704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6 490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1 004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6 381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5 151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68 785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59 468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53 420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785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1 545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24 479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