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Val-d'Oise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2 454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2 165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1 895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34 914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31 277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27 129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5 182 (18%)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111.2 M€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3 853 (18%)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95.9 M€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2 920 (18%)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84.7 M€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28 925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552.5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21 834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472.8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16 514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414.4 M€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2 124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2 023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1 903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15 866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14 930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14 053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13 780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8 561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6 655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772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661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568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1 849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656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6 527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6 005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5 446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99 772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92 377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84 022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240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102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1 857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1 276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13 755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12 296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10 797 (28%)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9 493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7 704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6 490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1 004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4 457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3 943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3 634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68 785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59 468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53 420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932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785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1 696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835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835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24 479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11 979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11 979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