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Var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3 305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2 909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2 497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18 322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16 369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14 299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2 293 (21%)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25.9 M€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1 835 (21%)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22.0 M€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1 440 (21%)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18.9 M€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11 004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142.0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8 653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119.6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6 755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101.6 M€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3 897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3 728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3 591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15 948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15 295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1 915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1 160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953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8 628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5 320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4 189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6 536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5 940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5 424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35 565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32 524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29 595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395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310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233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1 623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1 201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493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416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1 456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1 204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958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6 834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5 496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4 437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395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353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312 (30%)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1 048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4 221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3 587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3 060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23 286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20 040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16 873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172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116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909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651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2 205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1 073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1 073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10 693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5 240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