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Corse-du-Sud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215.9 k€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215.9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187.2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150.5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652.0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543.7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428.3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438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421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872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43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45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258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