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Gironde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Montant total de primes validées : 5.7 M€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5.7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8.1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65.3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4924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4.6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7.0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55.3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3882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3.6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6.0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47.1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3027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39.7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59.0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473.9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31495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31.4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50.7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396.4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24503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24.8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44.1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340.8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19051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bonus octroyés à des véhicules électriques : 4690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4690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3511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15336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13546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11609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5462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5462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5210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4870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20443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19475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18349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18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39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11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1406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1406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1052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750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5183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3903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2786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176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176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157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129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337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253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252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12630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12630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11707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10732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39914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36997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33737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10982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10982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9522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8226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30764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26660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22823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428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1460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1239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1056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523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523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405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1877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1374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965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1230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1230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1103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1088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3147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2787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2640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2230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2230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1430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6585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5315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4420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297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1306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1148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976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4597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Gironde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4597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Nouvelle-Aquitaine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14317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7051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7051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