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Guadeloupe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456.4 k€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Guadeloupe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456.4 k€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459.4 k€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4.6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1226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248.1 k€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251.1 k€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3.2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803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164.4 k€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167.4 k€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2.3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547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Guadeloupe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456.4 k€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459.4 k€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4.6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1226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248.1 k€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251.1 k€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803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164.4 k€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167.4 k€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547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441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Guadeloupe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441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341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Guadeloupe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441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399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341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Guadeloupe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Guadeloupe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Guadeloupe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Guadeloupe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548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Guadeloupe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548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527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499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Guadeloupe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548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527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499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Guadeloupe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Guadeloupe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Guadeloupe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Guadeloupe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Guadeloupe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Guadeloupe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104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Guadeloupe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Guadeloupe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Guadeloupe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Guadeloupe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Guadeloupe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Guadeloupe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Guadeloupe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Guadeloupe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1426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Guadeloupe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1286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1147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Guadeloupe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1426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1286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1147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675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Guadeloupe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675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584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496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Guadeloupe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675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584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496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21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Guadeloupe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Guadeloupe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66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Guadeloupe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Guadeloupe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151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Guadeloupe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Guadeloupe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863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Guadeloupe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Guadeloupe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416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57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Guadeloupe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Guadeloupe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3127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Guadeloupe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3127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Guadeloupe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3127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1546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1546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