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Haute-Corse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436.0 k€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436.0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356.5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277.7 k€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652.0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543.7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5.4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428.3 k€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4.1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975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487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283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16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910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542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230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265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Haute-Corse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Corse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