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Haute-Marne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1.6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2.2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1.9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890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996.6 k€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1.6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671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56.7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553.7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27597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455.4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20443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15203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243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13913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12428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10704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499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454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15799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15116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14324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84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3473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302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255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776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32226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30719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28680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687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548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28122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23995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21356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32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585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115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1161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62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241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5229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4298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64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339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12731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6253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