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Times New Roman" w:cs="Times New Roman" w:eastAsia="Times New Roman" w:hAnsi="Times New Roman"/>
          <w:color w:val="695d46"/>
          <w:sz w:val="28"/>
          <w:szCs w:val="28"/>
        </w:rPr>
      </w:pPr>
      <w:bookmarkStart w:colFirst="0" w:colLast="0" w:name="_z6ne0og04bp5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695d46"/>
          <w:sz w:val="28"/>
          <w:szCs w:val="28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695d4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10263" cy="3940175"/>
            <wp:effectExtent b="0" l="0" r="0" t="0"/>
            <wp:docPr descr="Placeholder image" id="3" name="image2.jpg"/>
            <a:graphic>
              <a:graphicData uri="http://schemas.openxmlformats.org/drawingml/2006/picture">
                <pic:pic>
                  <pic:nvPicPr>
                    <pic:cNvPr descr="Placeholder image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88"/>
          <w:szCs w:val="88"/>
        </w:rPr>
      </w:pPr>
      <w:bookmarkStart w:colFirst="0" w:colLast="0" w:name="_2gazcsgmxkub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88"/>
          <w:szCs w:val="88"/>
          <w:rtl w:val="0"/>
        </w:rPr>
        <w:t xml:space="preserve">Analysis of Bitcoin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ng30guuqqp2v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11.04.2021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857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575"/>
          <w:sz w:val="36"/>
          <w:szCs w:val="36"/>
          <w:rtl w:val="0"/>
        </w:rPr>
        <w:t xml:space="preserve">Abdullah Alathel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3at9u9s4e0v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joeordkpv8da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Goals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Does web-based media, explicitly twitter, influence bitcoin costs? Assuming this is the case by how much.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Predicting the price of bitcoin.</w:t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4p7xi5bvhxdr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Data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There will be two data sets. The first set is from kaggle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contains Tweets containing Bitcoin or BTC from 2016/01/01 to 2019/03/29.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first data set have 16 894 293  observation and the following features: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Id, User, Fullname, Url, Timestamp, Replies, Likes, Retweets, Tweet Text.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second set is from Yahoo Finance it contains daily Bitcoin data from 2016/01/01 to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11/04/2021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second data set have 2000 observation and the following features: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Date, Open, High, Low, Close, Adj Close ,Volume.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Links to the data sets: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Twitter data set: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https://www.kaggle.com/alaix14/bitcoin-tweets-20160101-to-20190329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Bitcoin data set: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https://finance.yahoo.com/quote/BTC-USD/history?period1=1451606400&amp;period2=1635984000&amp;interval=1d&amp;filter=history&amp;frequency=1d&amp;includeAdjustedClose=true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kdkkq0uub1ty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Tools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tools that will be used in this project: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Numpy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Pandas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Sklearn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Seaborn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beforeAutospacing="0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Pycaret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7"/>
    <w:bookmarkEnd w:id="7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finance.yahoo.com/quote/BTC-USD/history?period1=1451606400&amp;period2=1635984000&amp;interval=1d&amp;filter=history&amp;frequency=1d&amp;includeAdjustedClose=tru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yperlink" Target="https://www.kaggle.com/alaix14/bitcoin-tweets-20160101-to-2019032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