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Multimodal MRI Pathology Framework for Tumor Response Prediction</w:t>
      </w:r>
    </w:p>
    <w:p>
      <w:r>
        <w:t>Nina Guo, Peter Lin</w:t>
      </w:r>
    </w:p>
    <w:p>
      <w:r>
        <w:t>Abstract: This study investigates how multimodal MRI and pathology features can be combined for tumor response prediction. The main goal is to improve treatment assessment for difficult oncology cases.</w:t>
      </w:r>
    </w:p>
    <w:p>
      <w:r>
        <w:t>Method: We propose a cross-modal framework that aligns MRI embeddings with pathology representations and clinical indicators. The model integrates lesion localization, feature fusion and response scoring in a unified pipeline.</w:t>
      </w:r>
    </w:p>
    <w:p>
      <w:r>
        <w:t>Results: Experiments show that the proposed framework improves response prediction accuracy and provides clearer visual evidence than unimodal baselines. The multimodal setting also reduces false negative cases in challenging samples.</w:t>
      </w:r>
    </w:p>
    <w:p>
      <w:r>
        <w:t>Conclusion: The results suggest that multimodal evidence is valuable for clinical decision support and can strengthen interpretable oncology analysis.</w:t>
      </w:r>
    </w:p>
    <w:p>
      <w:r>
        <w:drawing>
          <wp:inline xmlns:a="http://schemas.openxmlformats.org/drawingml/2006/main" xmlns:pic="http://schemas.openxmlformats.org/drawingml/2006/picture">
            <wp:extent cx="5029200" cy="290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Multimodal MRI Pathology Framework for Tumor Response Prediction</dc:title>
  <dc:subject/>
  <dc:creator>Nina Guo; Peter Lin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