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This section introduces the project brief and the scope of initial investigations. The commission covers feasibility through to planning application stage. The client is seeking a high quality mixed-use scheme with residential and retail elements.</w:t>
      </w:r>
    </w:p>
    <w:p>
      <w:pPr>
        <w:pStyle w:val="Heading1"/>
      </w:pPr>
      <w:r>
        <w:t>Scope of Works</w:t>
      </w:r>
    </w:p>
    <w:p>
      <w:r>
        <w:t>This section defines the detailed scope of works for the architectural commission. Services include concept design, technical design, planning submission, and contract administration. All work will be carried out in accordance with the RIBA Plan of Work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