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i w:val="1"/>
                <w:color w:val="548dd4"/>
                <w:sz w:val="20"/>
                <w:szCs w:val="20"/>
              </w:rPr>
            </w:pPr>
            <w:r w:rsidDel="00000000" w:rsidR="00000000" w:rsidRPr="00000000">
              <w:rPr>
                <w:i w:val="1"/>
                <w:color w:val="548dd4"/>
                <w:sz w:val="20"/>
                <w:szCs w:val="20"/>
                <w:rtl w:val="0"/>
              </w:rPr>
              <w:t xml:space="preserve">Hasta el momento, el equipo ha logrado avances significativos en el desarrollo del proyecto PACS-AI Assist, centrado en la integración de un modelo de inteligencia artificial con el sistema PACS simulado Orthanc para la detección temprana de nódulos pulmonares.</w:t>
            </w:r>
          </w:p>
          <w:p w:rsidR="00000000" w:rsidDel="00000000" w:rsidP="00000000" w:rsidRDefault="00000000" w:rsidRPr="00000000" w14:paraId="0000000F">
            <w:pPr>
              <w:jc w:val="both"/>
              <w:rPr>
                <w:i w:val="1"/>
                <w:color w:val="548dd4"/>
                <w:sz w:val="20"/>
                <w:szCs w:val="20"/>
              </w:rPr>
            </w:pPr>
            <w:r w:rsidDel="00000000" w:rsidR="00000000" w:rsidRPr="00000000">
              <w:rPr>
                <w:i w:val="1"/>
                <w:color w:val="548dd4"/>
                <w:sz w:val="20"/>
                <w:szCs w:val="20"/>
                <w:rtl w:val="0"/>
              </w:rPr>
              <w:t xml:space="preserve">Durante esta fase, se avanzó en la configuración completa del entorno técnico, la integración de los servicios de pydicom para el envío y lectura de imágenes médicas, y el despliegue de la interfaz visual desarrollada en React, que actualmente se carga automáticamente al abrir el visor. Además, se está trabajando en la interfaz denominada Overlay, que busca integrarse directamente dentro de Orthanc para ofrecer una visualización interactiva y sincronizada de las detecciones del modelo. Aunque esta integración aún no se ha logrado completamente, el equipo se encuentra en proceso de implementación y pruebas para conseguir que funcione de manera estable dentro del entorno PACS.</w:t>
            </w:r>
          </w:p>
          <w:p w:rsidR="00000000" w:rsidDel="00000000" w:rsidP="00000000" w:rsidRDefault="00000000" w:rsidRPr="00000000" w14:paraId="00000010">
            <w:pPr>
              <w:jc w:val="both"/>
              <w:rPr>
                <w:i w:val="1"/>
                <w:color w:val="548dd4"/>
                <w:sz w:val="20"/>
                <w:szCs w:val="20"/>
              </w:rPr>
            </w:pPr>
            <w:r w:rsidDel="00000000" w:rsidR="00000000" w:rsidRPr="00000000">
              <w:rPr>
                <w:i w:val="1"/>
                <w:color w:val="548dd4"/>
                <w:sz w:val="20"/>
                <w:szCs w:val="20"/>
                <w:rtl w:val="0"/>
              </w:rPr>
              <w:t xml:space="preserve">El modelo ya es capaz de procesar estudios desde el servidor local de Orthanc y recibir archivos desde Google Drive, generando resultados que se representan visualmente en las ilustraciones dentro del visor. Sin embargo, aún no se encuentra en condiciones de analizar nuevas tomografías de manera completamente automatizada, ya que requiere mayor precisión y la conexión directa con Orthanc todavía está en desarrollo.</w:t>
            </w:r>
          </w:p>
          <w:p w:rsidR="00000000" w:rsidDel="00000000" w:rsidP="00000000" w:rsidRDefault="00000000" w:rsidRPr="00000000" w14:paraId="00000011">
            <w:pPr>
              <w:jc w:val="both"/>
              <w:rPr>
                <w:i w:val="1"/>
                <w:color w:val="548dd4"/>
                <w:sz w:val="20"/>
                <w:szCs w:val="20"/>
              </w:rPr>
            </w:pPr>
            <w:r w:rsidDel="00000000" w:rsidR="00000000" w:rsidRPr="00000000">
              <w:rPr>
                <w:i w:val="1"/>
                <w:color w:val="548dd4"/>
                <w:sz w:val="20"/>
                <w:szCs w:val="20"/>
                <w:rtl w:val="0"/>
              </w:rPr>
              <w:t xml:space="preserve">La arquitectura general está operativa en un entorno local, con los datos almacenados en el mismo equipo del servidor. El componente de base de datos en PostgreSQL está planificado para la siguiente etapa, lo que permitirá gestionar los registros y resultados de forma estructurada.</w:t>
            </w:r>
          </w:p>
        </w:tc>
      </w:tr>
      <w:tr>
        <w:trPr>
          <w:cantSplit w:val="0"/>
          <w:trHeight w:val="124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3">
            <w:pPr>
              <w:jc w:val="both"/>
              <w:rPr>
                <w:rFonts w:ascii="Calibri" w:cs="Calibri" w:eastAsia="Calibri" w:hAnsi="Calibri"/>
                <w:b w:val="1"/>
                <w:i w:val="1"/>
                <w:color w:val="548dd4"/>
                <w:sz w:val="20"/>
                <w:szCs w:val="20"/>
              </w:rPr>
            </w:pPr>
            <w:r w:rsidDel="00000000" w:rsidR="00000000" w:rsidRPr="00000000">
              <w:rPr>
                <w:rFonts w:ascii="Calibri" w:cs="Calibri" w:eastAsia="Calibri" w:hAnsi="Calibri"/>
                <w:i w:val="1"/>
                <w:color w:val="548dd4"/>
                <w:sz w:val="20"/>
                <w:szCs w:val="20"/>
                <w:rtl w:val="0"/>
              </w:rPr>
              <w:t xml:space="preserve">Los objetivos del proyecto se mantienen vigentes. Sin embargo, se ajustó el alcance del modelo predictivo, priorizando la integración funcional y la representación visual sobre la precisión final del modelo, la cual será optimizada en las próximas semanas.</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5">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Se mantiene la metodología Scrum + CRISP-DM. A nivel práctico, se redujo la duración de los sprints a una semana para mejorar la revisión continua y se incorporaron tareas específicas para la integración del modelo con el frontend React. Esto permitió dividir el trabajo entre desarrollo visual y backend técnico sin afectar el cronograma general.</w:t>
            </w:r>
          </w:p>
        </w:tc>
      </w:tr>
      <w:tr>
        <w:trPr>
          <w:cantSplit w:val="0"/>
          <w:trHeight w:val="237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7">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Las evidencias que presentaremos en esta fase reflejan el progreso técnico del sistema y su integración funcional con el entorno PACS simulado. Durante la exposición, se levantará el servidor Orthanc en tiempo real para mostrar el procesamiento de 10 pacientes de muestra (5 benignos y 5 malignos) pertenecientes al dataset LIDC-IDRI.</w:t>
            </w:r>
          </w:p>
          <w:p w:rsidR="00000000" w:rsidDel="00000000" w:rsidP="00000000" w:rsidRDefault="00000000" w:rsidRPr="00000000" w14:paraId="00000018">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El visor mostrará la categorización de cada caso mediante un sistema de colores: verde para casos benignos y rojo para casos malignos, junto con la visualización de los nódulos detectados y su ubicación dentro de la tomografía.</w:t>
            </w:r>
          </w:p>
          <w:p w:rsidR="00000000" w:rsidDel="00000000" w:rsidP="00000000" w:rsidRDefault="00000000" w:rsidRPr="00000000" w14:paraId="00000019">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Estas ilustraciones, generadas directamente desde el modelo a través de pydicom, evidencian que el sistema ya es capaz de identificar y segmentar las zonas de interés, mostrando en pantalla la cantidad de nódulos por paciente y su tamaño estimado.</w:t>
            </w:r>
          </w:p>
          <w:p w:rsidR="00000000" w:rsidDel="00000000" w:rsidP="00000000" w:rsidRDefault="00000000" w:rsidRPr="00000000" w14:paraId="0000001A">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Otras evidencias complementarias incluyen: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Código funcional del backend en Python (FastAPI + pydicom), encargado de la lectura, análisis y envío de resultados a Orthanc.</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Interfaz desarrollada en React, la cual se abre automáticamente al iniciar el visor OHIF, mostrando los resultados visuales del modelo.</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D">
            <w:pPr>
              <w:rPr>
                <w:b w:val="1"/>
                <w:color w:val="1f3864"/>
                <w:sz w:val="28"/>
                <w:szCs w:val="28"/>
              </w:rPr>
            </w:pPr>
            <w:r w:rsidDel="00000000" w:rsidR="00000000" w:rsidRPr="00000000">
              <w:rPr>
                <w:b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1E">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1F">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0">
      <w:pPr>
        <w:rPr>
          <w:color w:val="595959"/>
          <w:sz w:val="24"/>
          <w:szCs w:val="24"/>
        </w:rPr>
      </w:pPr>
      <w:r w:rsidDel="00000000" w:rsidR="00000000" w:rsidRPr="00000000">
        <w:rPr>
          <w:rtl w:val="0"/>
        </w:rPr>
      </w:r>
    </w:p>
    <w:p w:rsidR="00000000" w:rsidDel="00000000" w:rsidP="00000000" w:rsidRDefault="00000000" w:rsidRPr="00000000" w14:paraId="00000021">
      <w:pPr>
        <w:rPr>
          <w:color w:val="595959"/>
          <w:sz w:val="24"/>
          <w:szCs w:val="24"/>
        </w:rPr>
      </w:pPr>
      <w:r w:rsidDel="00000000" w:rsidR="00000000" w:rsidRPr="00000000">
        <w:rPr>
          <w:rtl w:val="0"/>
        </w:rPr>
      </w:r>
    </w:p>
    <w:p w:rsidR="00000000" w:rsidDel="00000000" w:rsidP="00000000" w:rsidRDefault="00000000" w:rsidRPr="00000000" w14:paraId="00000022">
      <w:pPr>
        <w:spacing w:after="0" w:line="240" w:lineRule="auto"/>
        <w:rPr>
          <w:color w:val="595959"/>
          <w:sz w:val="24"/>
          <w:szCs w:val="24"/>
        </w:rPr>
      </w:pPr>
      <w:r w:rsidDel="00000000" w:rsidR="00000000" w:rsidRPr="00000000">
        <w:br w:type="page"/>
      </w:r>
      <w:r w:rsidDel="00000000" w:rsidR="00000000" w:rsidRPr="00000000">
        <w:rPr>
          <w:rtl w:val="0"/>
        </w:rPr>
      </w:r>
    </w:p>
    <w:tbl>
      <w:tblPr>
        <w:tblStyle w:val="Table3"/>
        <w:tblW w:w="9555.0" w:type="dxa"/>
        <w:jc w:val="left"/>
        <w:tblLayout w:type="fixed"/>
        <w:tblLook w:val="0400"/>
      </w:tblPr>
      <w:tblGrid>
        <w:gridCol w:w="1155"/>
        <w:gridCol w:w="1395"/>
        <w:gridCol w:w="1035"/>
        <w:gridCol w:w="1005"/>
        <w:gridCol w:w="1245"/>
        <w:gridCol w:w="1545"/>
        <w:gridCol w:w="720"/>
        <w:gridCol w:w="1455"/>
        <w:tblGridChange w:id="0">
          <w:tblGrid>
            <w:gridCol w:w="1155"/>
            <w:gridCol w:w="1395"/>
            <w:gridCol w:w="1035"/>
            <w:gridCol w:w="1005"/>
            <w:gridCol w:w="1245"/>
            <w:gridCol w:w="1545"/>
            <w:gridCol w:w="720"/>
            <w:gridCol w:w="1455"/>
          </w:tblGrid>
        </w:tblGridChange>
      </w:tblGrid>
      <w:tr>
        <w:trPr>
          <w:cantSplit w:val="0"/>
          <w:trHeight w:val="300" w:hRule="atLeast"/>
          <w:tblHeader w:val="0"/>
        </w:trPr>
        <w:tc>
          <w:tcPr>
            <w:gridSpan w:val="8"/>
            <w:tcBorders>
              <w:top w:color="bfbfbf" w:space="0" w:sz="8" w:val="single"/>
              <w:left w:color="bfbfbf" w:space="0" w:sz="8" w:val="single"/>
              <w:bottom w:color="000000" w:space="0" w:sz="0" w:val="nil"/>
              <w:right w:color="bfbfbf" w:space="0" w:sz="8" w:val="single"/>
            </w:tcBorders>
            <w:vAlign w:val="center"/>
          </w:tcPr>
          <w:p w:rsidR="00000000" w:rsidDel="00000000" w:rsidP="00000000" w:rsidRDefault="00000000" w:rsidRPr="00000000" w14:paraId="00000023">
            <w:pPr>
              <w:spacing w:after="0"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144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B">
            <w:pPr>
              <w:spacing w:after="0"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2C">
            <w:pPr>
              <w:spacing w:after="0"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2D">
            <w:pPr>
              <w:spacing w:after="0"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2E">
            <w:pPr>
              <w:spacing w:after="0"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tcBorders>
              <w:top w:color="000000" w:space="0" w:sz="4" w:val="single"/>
              <w:left w:color="000000" w:space="0" w:sz="0" w:val="nil"/>
              <w:bottom w:color="000000" w:space="0" w:sz="4" w:val="single"/>
              <w:right w:color="000000" w:space="0" w:sz="4" w:val="single"/>
            </w:tcBorders>
            <w:vAlign w:val="center"/>
          </w:tcPr>
          <w:bookmarkStart w:colFirst="0" w:colLast="0" w:name="bookmark=id.q7jms53ift9z" w:id="0"/>
          <w:bookmarkEnd w:id="0"/>
          <w:p w:rsidR="00000000" w:rsidDel="00000000" w:rsidP="00000000" w:rsidRDefault="00000000" w:rsidRPr="00000000" w14:paraId="0000002F">
            <w:pPr>
              <w:spacing w:after="0" w:line="240" w:lineRule="auto"/>
              <w:jc w:val="center"/>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Responsable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30">
            <w:pPr>
              <w:spacing w:after="0" w:line="240" w:lineRule="auto"/>
              <w:jc w:val="center"/>
              <w:rPr>
                <w:color w:val="1f3864"/>
                <w:sz w:val="18"/>
                <w:szCs w:val="18"/>
              </w:rPr>
            </w:pPr>
            <w:r w:rsidDel="00000000" w:rsidR="00000000" w:rsidRPr="00000000">
              <w:rPr>
                <w:color w:val="1f3864"/>
                <w:sz w:val="18"/>
                <w:szCs w:val="18"/>
                <w:rtl w:val="0"/>
              </w:rPr>
              <w:t xml:space="preserve">Observaciones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31">
            <w:pPr>
              <w:spacing w:after="0"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32">
            <w:pPr>
              <w:spacing w:after="0"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1901"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33">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Modelado de datos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4">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Entrenamiento del modelo predictivo y conexión con Orthanc</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5">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Python, TensorFlow, pydicom, Orthanc local</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6">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3 semanas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7">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Diego </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8">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 experiencia previa en Python y DICOM. Dificulta: precisión aún insuficiente para generalizar a nuevas TC; tiempos de cómputo.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9">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 curso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A">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 redujo el subset de LIDC-IDRI para iterar más rápido; se priorizó integración funcional sobre optimización del modelo.</w:t>
            </w:r>
          </w:p>
        </w:tc>
      </w:tr>
      <w:tr>
        <w:trPr>
          <w:cantSplit w:val="0"/>
          <w:trHeight w:val="1603"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3B">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Desarrollo de software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C">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Implementación de la API y conexión con Orthanc</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D">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FastAPI, REST API, Docker local</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E">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3 semanas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F">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Diego </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0">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 endpoints ya responden y loguean. Dificulta: falta automatizar consulta directa a Orthanc (pull/push).</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1">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 curso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2">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 reordenó backlog: primero estabilizar lectura/escritura DICOM y luego orquestación automática.</w:t>
            </w:r>
          </w:p>
        </w:tc>
      </w:tr>
      <w:tr>
        <w:trPr>
          <w:cantSplit w:val="0"/>
          <w:trHeight w:val="1920"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43">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Desarrollo de software (Front End)</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4">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Creación de interfaz en React y visualización de resultados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5">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React, OHIF Viewer, JS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6">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3 semanas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7">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Tais y </w:t>
            </w:r>
            <w:r w:rsidDel="00000000" w:rsidR="00000000" w:rsidRPr="00000000">
              <w:rPr>
                <w:i w:val="1"/>
                <w:color w:val="548dd4"/>
                <w:sz w:val="18"/>
                <w:szCs w:val="18"/>
                <w:rtl w:val="0"/>
              </w:rPr>
              <w:t xml:space="preserve">M</w:t>
            </w:r>
            <w:r w:rsidDel="00000000" w:rsidR="00000000" w:rsidRPr="00000000">
              <w:rPr>
                <w:rFonts w:ascii="Calibri" w:cs="Calibri" w:eastAsia="Calibri" w:hAnsi="Calibri"/>
                <w:i w:val="1"/>
                <w:color w:val="548dd4"/>
                <w:sz w:val="18"/>
                <w:szCs w:val="18"/>
                <w:rtl w:val="0"/>
              </w:rPr>
              <w:t xml:space="preserve">illaray</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8">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 UI se carga al abrir el viewer y renderiza marcas. Dificulta: aún no está conectada al “modelo de datos” final por temas de precisión.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9">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 curso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A">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 agregó capa de mock/placeholder para visualización mientras se ajusta el modelo.</w:t>
            </w:r>
          </w:p>
        </w:tc>
      </w:tr>
      <w:tr>
        <w:trPr>
          <w:cantSplit w:val="0"/>
          <w:trHeight w:val="1612"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4B">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Modelado de datos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C">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Configuración de base de datos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D">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PostgreSQL</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E">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2 semanas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F">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Equipo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0">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Decisión: posponer DB porque hoy el flujo funciona con almacenamiento local en el servidor.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1">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 iniciado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2">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 traslada a la siguiente iteración; se definirá esquema mínimo (results, studies, nodules) antes de montar.</w:t>
            </w:r>
          </w:p>
        </w:tc>
      </w:tr>
      <w:tr>
        <w:trPr>
          <w:cantSplit w:val="0"/>
          <w:trHeight w:val="2400"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53">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Gestión de proyectos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4">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Monitoreo y documentación (Jira, informes, evidencias)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5">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Jira, GitHub, Word</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6">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2 semanas (recurr.)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7">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Millaray</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8">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 reuniones semanales y retro cortas. Dificulta: al inicio costó organizar el tablero y dependencias.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9">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 curso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A">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Ajustada la cadencia: sprints de 1 semana; backlog simplificado por componentes (modelo/API/UI).</w:t>
            </w:r>
          </w:p>
        </w:tc>
      </w:tr>
      <w:tr>
        <w:trPr>
          <w:cantSplit w:val="0"/>
          <w:trHeight w:val="1920"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5B">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Integración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C">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Pruebas de interoperabilidad y demo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D">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Orthanc (local), logs, capturas, scripts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E">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2 semanas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F">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Equipo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60">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 ya se visualizan segmentaciones en el visor. Dificulta: falta canal directo Drive→Orthanc→API sin pasos manuales.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61">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 curso</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62">
            <w:pPr>
              <w:spacing w:after="0" w:line="240" w:lineRule="auto"/>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 definió script de orquestación temporal y se planificó watcher para ingestión automática.</w:t>
            </w:r>
          </w:p>
        </w:tc>
      </w:tr>
    </w:tbl>
    <w:p w:rsidR="00000000" w:rsidDel="00000000" w:rsidP="00000000" w:rsidRDefault="00000000" w:rsidRPr="00000000" w14:paraId="00000063">
      <w:pPr>
        <w:rPr>
          <w:color w:val="595959"/>
          <w:sz w:val="24"/>
          <w:szCs w:val="24"/>
        </w:rPr>
      </w:pPr>
      <w:r w:rsidDel="00000000" w:rsidR="00000000" w:rsidRPr="00000000">
        <w:rPr>
          <w:rtl w:val="0"/>
        </w:rPr>
      </w:r>
    </w:p>
    <w:p w:rsidR="00000000" w:rsidDel="00000000" w:rsidP="00000000" w:rsidRDefault="00000000" w:rsidRPr="00000000" w14:paraId="00000064">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5">
            <w:pPr>
              <w:rPr>
                <w:b w:val="1"/>
                <w:color w:val="1f3864"/>
                <w:sz w:val="28"/>
                <w:szCs w:val="28"/>
              </w:rPr>
            </w:pPr>
            <w:r w:rsidDel="00000000" w:rsidR="00000000" w:rsidRPr="00000000">
              <w:rPr>
                <w:b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67">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68">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color w:val="548dd4"/>
                <w:sz w:val="20"/>
                <w:szCs w:val="20"/>
                <w:rtl w:val="0"/>
              </w:rPr>
              <w:t xml:space="preserve">Entre los principales facilitadores se encuentran la buena disposición del equipo, el dominio de herramientas como pydicom y React, y el interés por llevar a cabo el proyecto.</w:t>
            </w:r>
          </w:p>
          <w:p w:rsidR="00000000" w:rsidDel="00000000" w:rsidP="00000000" w:rsidRDefault="00000000" w:rsidRPr="00000000" w14:paraId="00000069">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Las principales dificultades han estado relacionadas con la precisión del modelo y la integración completa entre Orthanc y la API, ya que las pruebas locales requieren ajustes técnicos constantes. Para enfrentarlo, se optó por simplificar los flujos, priorizando la integración visual y funcional antes de avanzar a la automatización total.</w:t>
            </w:r>
          </w:p>
        </w:tc>
      </w:tr>
    </w:tbl>
    <w:p w:rsidR="00000000" w:rsidDel="00000000" w:rsidP="00000000" w:rsidRDefault="00000000" w:rsidRPr="00000000" w14:paraId="0000006A">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6B">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color w:val="548dd4"/>
                <w:sz w:val="20"/>
                <w:szCs w:val="20"/>
                <w:rtl w:val="0"/>
              </w:rPr>
              <w:t xml:space="preserve">Se ajustó el alcance de la etapa de modelado, enfocando los esfuerzos en lograr una conexión funcional entre los módulos antes de optimizar la precisión del modelo. También se modificó el orden de las tareas: la conexión directa con Orthanc se trasladó a la siguiente fase para garantizar estabilidad en las pruebas</w:t>
            </w:r>
          </w:p>
        </w:tc>
      </w:tr>
    </w:tbl>
    <w:p w:rsidR="00000000" w:rsidDel="00000000" w:rsidP="00000000" w:rsidRDefault="00000000" w:rsidRPr="00000000" w14:paraId="0000006C">
      <w:pPr>
        <w:spacing w:after="0" w:line="240"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i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6E">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color w:val="548dd4"/>
                <w:sz w:val="20"/>
                <w:szCs w:val="20"/>
                <w:rtl w:val="0"/>
              </w:rPr>
              <w:t xml:space="preserve"> La implementación de la base de datos en PostgreSQL se mantiene pendiente debido a que las pruebas actuales funcionan con almacenamiento local. Este cambio fue necesario para evitar interrupciones en las pruebas del servidor. Se planificó realizar esta integración en paralelo con las pruebas de automatización durante el último mes del proyecto.</w:t>
            </w:r>
          </w:p>
          <w:p w:rsidR="00000000" w:rsidDel="00000000" w:rsidP="00000000" w:rsidRDefault="00000000" w:rsidRPr="00000000" w14:paraId="0000006F">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70">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73">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ptos Narro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6">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077">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8">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Prrafodelista">
    <w:name w:val="List Paragraph"/>
    <w:basedOn w:val="Normal"/>
    <w:uiPriority w:val="34"/>
    <w:qFormat w:val="1"/>
    <w:rsid w:val="00D250E0"/>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ANUCoSOC3lHPxTjbnvMHmyYgUQ==">CgMxLjAyD2lkLnE3am1zNTNpZnQ5ejgAciExdFJURnNuTzFpVDNPWlZaRHctQXlYQ1ZBRlVvSzlFRFI=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