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0DFC75BF" w14:textId="77777777" w:rsidR="00D250E0" w:rsidRPr="00D250E0" w:rsidRDefault="00D250E0" w:rsidP="00D250E0">
            <w:pPr>
              <w:jc w:val="both"/>
              <w:rPr>
                <w:rFonts w:ascii="Calibri" w:hAnsi="Calibri" w:cs="Arial"/>
                <w:i/>
                <w:color w:val="548DD4"/>
                <w:sz w:val="20"/>
                <w:szCs w:val="20"/>
                <w:lang w:eastAsia="es-CL"/>
              </w:rPr>
            </w:pPr>
            <w:r w:rsidRPr="00D250E0">
              <w:rPr>
                <w:rFonts w:ascii="Calibri" w:hAnsi="Calibri" w:cs="Arial"/>
                <w:i/>
                <w:color w:val="548DD4"/>
                <w:sz w:val="20"/>
                <w:szCs w:val="20"/>
                <w:lang w:eastAsia="es-CL"/>
              </w:rPr>
              <w:t>Hasta el momento, el equipo ha logrado avances significativos en el desarrollo del proyecto PACS-AI Assist, centrado en la integración de un modelo de inteligencia artificial con el sistema PACS simulado Orthanc para la detección temprana de nódulos pulmonares.</w:t>
            </w:r>
          </w:p>
          <w:p w14:paraId="293DD1B1" w14:textId="77777777" w:rsidR="00D250E0" w:rsidRPr="00D250E0" w:rsidRDefault="00D250E0" w:rsidP="00D250E0">
            <w:pPr>
              <w:jc w:val="both"/>
              <w:rPr>
                <w:rFonts w:ascii="Calibri" w:hAnsi="Calibri" w:cs="Arial"/>
                <w:i/>
                <w:color w:val="548DD4"/>
                <w:sz w:val="20"/>
                <w:szCs w:val="20"/>
                <w:lang w:eastAsia="es-CL"/>
              </w:rPr>
            </w:pPr>
            <w:r w:rsidRPr="00D250E0">
              <w:rPr>
                <w:rFonts w:ascii="Calibri" w:hAnsi="Calibri" w:cs="Arial"/>
                <w:i/>
                <w:color w:val="548DD4"/>
                <w:sz w:val="20"/>
                <w:szCs w:val="20"/>
                <w:lang w:eastAsia="es-CL"/>
              </w:rPr>
              <w:t>Durante esta fase, se avanzó en la configuración completa del entorno técnico, la integración de los servicios de pydicom para el envío y lectura de imágenes médicas, y el despliegue de la interfaz visual desarrollada en React, que actualmente se carga automáticamente al abrir el viewer.</w:t>
            </w:r>
          </w:p>
          <w:p w14:paraId="43A23AB5" w14:textId="77777777" w:rsidR="00D250E0" w:rsidRPr="00D250E0" w:rsidRDefault="00D250E0" w:rsidP="00D250E0">
            <w:pPr>
              <w:jc w:val="both"/>
              <w:rPr>
                <w:rFonts w:ascii="Calibri" w:hAnsi="Calibri" w:cs="Arial"/>
                <w:i/>
                <w:color w:val="548DD4"/>
                <w:sz w:val="20"/>
                <w:szCs w:val="20"/>
                <w:lang w:eastAsia="es-CL"/>
              </w:rPr>
            </w:pPr>
            <w:r w:rsidRPr="00D250E0">
              <w:rPr>
                <w:rFonts w:ascii="Calibri" w:hAnsi="Calibri" w:cs="Arial"/>
                <w:i/>
                <w:color w:val="548DD4"/>
                <w:sz w:val="20"/>
                <w:szCs w:val="20"/>
                <w:lang w:eastAsia="es-CL"/>
              </w:rPr>
              <w:t>El modelo ya es capaz de procesar estudios desde el servidor local de Orthanc y recibir archivos desde Google Drive, generando resultados que se representan visualmente en las ilustraciones dentro del visor. Sin embargo, aún no se encuentra en condiciones de analizar nuevas tomografías de manera completamente automatizada, ya que requiere mayor precisión y la conexión directa con Orthanc todavía está en desarrollo.</w:t>
            </w:r>
          </w:p>
          <w:p w14:paraId="6C70E0C9" w14:textId="41B30F90" w:rsidR="0003309E" w:rsidRPr="00711C16" w:rsidRDefault="00D250E0" w:rsidP="00D250E0">
            <w:pPr>
              <w:jc w:val="both"/>
              <w:rPr>
                <w:rFonts w:ascii="Calibri" w:hAnsi="Calibri" w:cs="Arial"/>
                <w:i/>
                <w:color w:val="548DD4"/>
                <w:sz w:val="20"/>
                <w:szCs w:val="20"/>
                <w:lang w:eastAsia="es-CL"/>
              </w:rPr>
            </w:pPr>
            <w:r w:rsidRPr="00D250E0">
              <w:rPr>
                <w:rFonts w:ascii="Calibri" w:hAnsi="Calibri" w:cs="Arial"/>
                <w:i/>
                <w:color w:val="548DD4"/>
                <w:sz w:val="20"/>
                <w:szCs w:val="20"/>
                <w:lang w:eastAsia="es-CL"/>
              </w:rPr>
              <w:t>La arquitectura general está operativa en un entorno local, con los datos almacenados en el mismo equipo del servidor. El componente de base de datos en PostgreSQL está planificado para la siguiente etapa, lo que permitirá gestionar los registros y resultados de forma estructurada.</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63E8262A" w:rsidR="0003309E" w:rsidRPr="00A370C8" w:rsidRDefault="00D250E0" w:rsidP="00585A13">
            <w:pPr>
              <w:jc w:val="both"/>
              <w:rPr>
                <w:rFonts w:ascii="Calibri" w:hAnsi="Calibri" w:cs="Arial"/>
                <w:b/>
                <w:i/>
                <w:color w:val="548DD4"/>
                <w:sz w:val="20"/>
                <w:szCs w:val="20"/>
                <w:lang w:eastAsia="es-CL"/>
              </w:rPr>
            </w:pPr>
            <w:r w:rsidRPr="00D250E0">
              <w:rPr>
                <w:rFonts w:ascii="Calibri" w:hAnsi="Calibri" w:cs="Arial"/>
                <w:i/>
                <w:color w:val="548DD4"/>
                <w:sz w:val="20"/>
                <w:szCs w:val="20"/>
                <w:lang w:eastAsia="es-CL"/>
              </w:rPr>
              <w:t>Los objetivos del proyecto se mantienen vigentes. Sin embargo, se ajustó el alcance del modelo predictivo, priorizando la integración funcional y la representación visual sobre la precisión final del modelo, la cual será optimizada en las próximas semanas.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593E41A6" w:rsidR="0003309E" w:rsidRPr="00711C16" w:rsidRDefault="00D250E0" w:rsidP="00585A13">
            <w:pPr>
              <w:jc w:val="both"/>
              <w:rPr>
                <w:rFonts w:ascii="Calibri" w:hAnsi="Calibri" w:cs="Arial"/>
                <w:i/>
                <w:color w:val="548DD4"/>
                <w:sz w:val="20"/>
                <w:szCs w:val="20"/>
                <w:lang w:eastAsia="es-CL"/>
              </w:rPr>
            </w:pPr>
            <w:r w:rsidRPr="00D250E0">
              <w:rPr>
                <w:rFonts w:ascii="Calibri" w:hAnsi="Calibri" w:cs="Arial"/>
                <w:i/>
                <w:color w:val="548DD4"/>
                <w:sz w:val="20"/>
                <w:szCs w:val="20"/>
                <w:lang w:eastAsia="es-CL"/>
              </w:rPr>
              <w:t>Se mantiene la metodología Scrum + CRISP-DM. A nivel práctico, se redujo la duración de los sprints a una semana para mejorar la revisión continua y se incorporaron tareas específicas para la integración del modelo con el frontend React. Esto permitió dividir el trabajo entre desarrollo visual y backend técnico sin afectar el cronograma general.</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7829D23B" w14:textId="77777777" w:rsidR="00D250E0" w:rsidRPr="00D250E0" w:rsidRDefault="00D250E0" w:rsidP="00D250E0">
            <w:pPr>
              <w:jc w:val="both"/>
              <w:rPr>
                <w:rFonts w:ascii="Calibri" w:hAnsi="Calibri" w:cs="Arial"/>
                <w:i/>
                <w:color w:val="548DD4"/>
                <w:sz w:val="20"/>
                <w:szCs w:val="20"/>
                <w:lang w:eastAsia="es-CL"/>
              </w:rPr>
            </w:pPr>
            <w:r w:rsidRPr="00D250E0">
              <w:rPr>
                <w:rFonts w:ascii="Calibri" w:hAnsi="Calibri" w:cs="Arial"/>
                <w:i/>
                <w:color w:val="548DD4"/>
                <w:sz w:val="20"/>
                <w:szCs w:val="20"/>
                <w:lang w:eastAsia="es-CL"/>
              </w:rPr>
              <w:t>Las evidencias que presentaremos en esta fase reflejan el progreso técnico del sistema y su integración funcional con el entorno PACS simulado. Durante la exposición, se levantará el servidor Orthanc en tiempo real para mostrar el procesamiento de 10 pacientes de muestra (5 benignos y 5 malignos) pertenecientes al dataset LIDC-IDRI.</w:t>
            </w:r>
          </w:p>
          <w:p w14:paraId="77730862" w14:textId="77777777" w:rsidR="00D250E0" w:rsidRPr="00D250E0" w:rsidRDefault="00D250E0" w:rsidP="00D250E0">
            <w:pPr>
              <w:jc w:val="both"/>
              <w:rPr>
                <w:rFonts w:ascii="Calibri" w:hAnsi="Calibri" w:cs="Arial"/>
                <w:i/>
                <w:color w:val="548DD4"/>
                <w:sz w:val="20"/>
                <w:szCs w:val="20"/>
                <w:lang w:eastAsia="es-CL"/>
              </w:rPr>
            </w:pPr>
            <w:r w:rsidRPr="00D250E0">
              <w:rPr>
                <w:rFonts w:ascii="Calibri" w:hAnsi="Calibri" w:cs="Arial"/>
                <w:i/>
                <w:color w:val="548DD4"/>
                <w:sz w:val="20"/>
                <w:szCs w:val="20"/>
                <w:lang w:eastAsia="es-CL"/>
              </w:rPr>
              <w:t>El visor mostrará la categorización de cada caso mediante un sistema de colores: verde para casos benignos y rojo para casos malignos, junto con la visualización de los nódulos detectados y su ubicación dentro de la tomografía.</w:t>
            </w:r>
          </w:p>
          <w:p w14:paraId="3C00A785" w14:textId="0DEF15B2" w:rsidR="00D250E0" w:rsidRPr="00D250E0" w:rsidRDefault="00D250E0" w:rsidP="00D250E0">
            <w:pPr>
              <w:jc w:val="both"/>
              <w:rPr>
                <w:rFonts w:ascii="Calibri" w:hAnsi="Calibri" w:cs="Arial"/>
                <w:i/>
                <w:color w:val="548DD4"/>
                <w:sz w:val="20"/>
                <w:szCs w:val="20"/>
                <w:lang w:eastAsia="es-CL"/>
              </w:rPr>
            </w:pPr>
            <w:r w:rsidRPr="00D250E0">
              <w:rPr>
                <w:rFonts w:ascii="Calibri" w:hAnsi="Calibri" w:cs="Arial"/>
                <w:i/>
                <w:color w:val="548DD4"/>
                <w:sz w:val="20"/>
                <w:szCs w:val="20"/>
                <w:lang w:eastAsia="es-CL"/>
              </w:rPr>
              <w:t>Estas ilustraciones, generadas directamente desde el modelo a través de pydicom, evidencian que el sistema ya es capaz de identificar y segmentar las zonas de interés, mostrando en pantalla la cantidad de nódulos por paciente y su tamaño estimado.</w:t>
            </w:r>
          </w:p>
          <w:p w14:paraId="00DEE0B9" w14:textId="466E3B8B" w:rsidR="00D250E0" w:rsidRPr="00D250E0" w:rsidRDefault="00D250E0" w:rsidP="00D250E0">
            <w:pPr>
              <w:jc w:val="both"/>
              <w:rPr>
                <w:rFonts w:ascii="Calibri" w:hAnsi="Calibri" w:cs="Arial"/>
                <w:i/>
                <w:color w:val="548DD4"/>
                <w:sz w:val="20"/>
                <w:szCs w:val="20"/>
                <w:lang w:eastAsia="es-CL"/>
              </w:rPr>
            </w:pPr>
            <w:r w:rsidRPr="00D250E0">
              <w:rPr>
                <w:rFonts w:ascii="Calibri" w:hAnsi="Calibri" w:cs="Arial"/>
                <w:i/>
                <w:color w:val="548DD4"/>
                <w:sz w:val="20"/>
                <w:szCs w:val="20"/>
                <w:lang w:eastAsia="es-CL"/>
              </w:rPr>
              <w:t>Otras evidencias complementarias incluyen:</w:t>
            </w:r>
          </w:p>
          <w:p w14:paraId="015FB862" w14:textId="77777777" w:rsidR="00D250E0" w:rsidRPr="00D250E0" w:rsidRDefault="00D250E0" w:rsidP="00D250E0">
            <w:pPr>
              <w:pStyle w:val="Prrafodelista"/>
              <w:numPr>
                <w:ilvl w:val="0"/>
                <w:numId w:val="3"/>
              </w:numPr>
              <w:jc w:val="both"/>
              <w:rPr>
                <w:rFonts w:ascii="Calibri" w:hAnsi="Calibri" w:cs="Arial"/>
                <w:i/>
                <w:color w:val="548DD4"/>
                <w:sz w:val="20"/>
                <w:szCs w:val="20"/>
                <w:lang w:eastAsia="es-CL"/>
              </w:rPr>
            </w:pPr>
            <w:r w:rsidRPr="00D250E0">
              <w:rPr>
                <w:rFonts w:ascii="Calibri" w:hAnsi="Calibri" w:cs="Arial"/>
                <w:i/>
                <w:color w:val="548DD4"/>
                <w:sz w:val="20"/>
                <w:szCs w:val="20"/>
                <w:lang w:eastAsia="es-CL"/>
              </w:rPr>
              <w:t>Código funcional del backend en Python (FastAPI + pydicom), encargado de la lectura, análisis y envío de resultados a Orthanc.</w:t>
            </w:r>
          </w:p>
          <w:p w14:paraId="51E5B895" w14:textId="0B57C59A" w:rsidR="0003309E" w:rsidRPr="00D250E0" w:rsidRDefault="00D250E0" w:rsidP="00D250E0">
            <w:pPr>
              <w:pStyle w:val="Prrafodelista"/>
              <w:numPr>
                <w:ilvl w:val="0"/>
                <w:numId w:val="3"/>
              </w:numPr>
              <w:jc w:val="both"/>
              <w:rPr>
                <w:rFonts w:ascii="Calibri" w:hAnsi="Calibri" w:cs="Arial"/>
                <w:b/>
                <w:i/>
                <w:color w:val="548DD4"/>
                <w:sz w:val="20"/>
                <w:szCs w:val="20"/>
                <w:lang w:eastAsia="es-CL"/>
              </w:rPr>
            </w:pPr>
            <w:r w:rsidRPr="00D250E0">
              <w:rPr>
                <w:rFonts w:ascii="Calibri" w:hAnsi="Calibri" w:cs="Arial"/>
                <w:i/>
                <w:color w:val="548DD4"/>
                <w:sz w:val="20"/>
                <w:szCs w:val="20"/>
                <w:lang w:eastAsia="es-CL"/>
              </w:rPr>
              <w:t>Interfaz desarrollada en React, la cual se abre automáticamente al iniciar el visor OHIF, mostrando los resultados visuales del modelo.</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14:paraId="66FF4E8D" w14:textId="77777777" w:rsidR="0003309E" w:rsidRDefault="0003309E" w:rsidP="0003309E">
      <w:pPr>
        <w:rPr>
          <w:rFonts w:cs="Calibri Light"/>
          <w:color w:val="595959" w:themeColor="text1" w:themeTint="A6"/>
          <w:sz w:val="24"/>
          <w:szCs w:val="24"/>
          <w:lang w:val="es-ES"/>
        </w:rPr>
      </w:pPr>
    </w:p>
    <w:p w14:paraId="190D8144" w14:textId="77777777" w:rsidR="00737A35" w:rsidRDefault="00737A35" w:rsidP="0003309E">
      <w:pPr>
        <w:rPr>
          <w:rFonts w:cs="Calibri Light"/>
          <w:color w:val="595959" w:themeColor="text1" w:themeTint="A6"/>
          <w:sz w:val="24"/>
          <w:szCs w:val="24"/>
          <w:lang w:val="es-ES"/>
        </w:rPr>
      </w:pPr>
    </w:p>
    <w:p w14:paraId="3D7817D6" w14:textId="7746E7F4" w:rsidR="00737A35" w:rsidRDefault="00737A35" w:rsidP="00737A35">
      <w:pPr>
        <w:spacing w:after="0" w:line="240" w:lineRule="auto"/>
        <w:rPr>
          <w:rFonts w:cs="Calibri Light"/>
          <w:color w:val="595959" w:themeColor="text1" w:themeTint="A6"/>
          <w:sz w:val="24"/>
          <w:szCs w:val="24"/>
          <w:lang w:val="es-ES"/>
        </w:rPr>
      </w:pPr>
      <w:r>
        <w:rPr>
          <w:rFonts w:cs="Calibri Light"/>
          <w:color w:val="595959" w:themeColor="text1" w:themeTint="A6"/>
          <w:sz w:val="24"/>
          <w:szCs w:val="24"/>
          <w:lang w:val="es-ES"/>
        </w:rPr>
        <w:br w:type="page"/>
      </w:r>
    </w:p>
    <w:tbl>
      <w:tblPr>
        <w:tblW w:w="9560" w:type="dxa"/>
        <w:tblCellMar>
          <w:left w:w="70" w:type="dxa"/>
          <w:right w:w="70" w:type="dxa"/>
        </w:tblCellMar>
        <w:tblLook w:val="04A0" w:firstRow="1" w:lastRow="0" w:firstColumn="1" w:lastColumn="0" w:noHBand="0" w:noVBand="1"/>
      </w:tblPr>
      <w:tblGrid>
        <w:gridCol w:w="1158"/>
        <w:gridCol w:w="1402"/>
        <w:gridCol w:w="1029"/>
        <w:gridCol w:w="814"/>
        <w:gridCol w:w="1292"/>
        <w:gridCol w:w="1690"/>
        <w:gridCol w:w="720"/>
        <w:gridCol w:w="1455"/>
      </w:tblGrid>
      <w:tr w:rsidR="00737A35" w:rsidRPr="00737A35" w14:paraId="530530CC" w14:textId="77777777" w:rsidTr="00737A35">
        <w:trPr>
          <w:trHeight w:val="300"/>
        </w:trPr>
        <w:tc>
          <w:tcPr>
            <w:tcW w:w="9560" w:type="dxa"/>
            <w:gridSpan w:val="8"/>
            <w:tcBorders>
              <w:top w:val="single" w:sz="8" w:space="0" w:color="BFBFBF"/>
              <w:left w:val="single" w:sz="8" w:space="0" w:color="BFBFBF"/>
              <w:bottom w:val="nil"/>
              <w:right w:val="single" w:sz="8" w:space="0" w:color="BFBFBF"/>
            </w:tcBorders>
            <w:vAlign w:val="center"/>
            <w:hideMark/>
          </w:tcPr>
          <w:p w14:paraId="1084D5A7" w14:textId="77777777" w:rsidR="00737A35" w:rsidRPr="00737A35" w:rsidRDefault="00737A35" w:rsidP="00737A35">
            <w:pPr>
              <w:spacing w:after="0" w:line="240" w:lineRule="auto"/>
              <w:jc w:val="center"/>
              <w:rPr>
                <w:rFonts w:ascii="Calibri" w:eastAsia="Times New Roman" w:hAnsi="Calibri" w:cs="Calibri"/>
                <w:color w:val="1F3864"/>
                <w:sz w:val="18"/>
                <w:szCs w:val="18"/>
                <w:lang w:eastAsia="es-CL"/>
              </w:rPr>
            </w:pPr>
            <w:r w:rsidRPr="00737A35">
              <w:rPr>
                <w:rFonts w:ascii="Calibri" w:eastAsia="Times New Roman" w:hAnsi="Calibri" w:cs="Calibri"/>
                <w:color w:val="1F3864"/>
                <w:sz w:val="18"/>
                <w:szCs w:val="18"/>
                <w:lang w:eastAsia="es-CL"/>
              </w:rPr>
              <w:lastRenderedPageBreak/>
              <w:t>Plan de Trabajo</w:t>
            </w:r>
          </w:p>
        </w:tc>
      </w:tr>
      <w:tr w:rsidR="00737A35" w:rsidRPr="00737A35" w14:paraId="7E364314" w14:textId="77777777" w:rsidTr="00737A35">
        <w:trPr>
          <w:trHeight w:val="1440"/>
        </w:trPr>
        <w:tc>
          <w:tcPr>
            <w:tcW w:w="1098" w:type="dxa"/>
            <w:tcBorders>
              <w:top w:val="single" w:sz="4" w:space="0" w:color="auto"/>
              <w:left w:val="single" w:sz="4" w:space="0" w:color="auto"/>
              <w:bottom w:val="single" w:sz="4" w:space="0" w:color="auto"/>
              <w:right w:val="single" w:sz="4" w:space="0" w:color="auto"/>
            </w:tcBorders>
            <w:vAlign w:val="center"/>
            <w:hideMark/>
          </w:tcPr>
          <w:p w14:paraId="092DE6BE" w14:textId="77777777" w:rsidR="00737A35" w:rsidRPr="00737A35" w:rsidRDefault="00737A35" w:rsidP="00737A35">
            <w:pPr>
              <w:spacing w:after="0" w:line="240" w:lineRule="auto"/>
              <w:jc w:val="center"/>
              <w:rPr>
                <w:rFonts w:ascii="Calibri" w:eastAsia="Times New Roman" w:hAnsi="Calibri" w:cs="Calibri"/>
                <w:color w:val="1F3864"/>
                <w:sz w:val="18"/>
                <w:szCs w:val="18"/>
                <w:lang w:eastAsia="es-CL"/>
              </w:rPr>
            </w:pPr>
            <w:r w:rsidRPr="00737A35">
              <w:rPr>
                <w:rFonts w:ascii="Calibri" w:eastAsia="Times New Roman" w:hAnsi="Calibri" w:cs="Calibri"/>
                <w:color w:val="1F3864"/>
                <w:sz w:val="18"/>
                <w:szCs w:val="18"/>
                <w:lang w:eastAsia="es-CL"/>
              </w:rPr>
              <w:t>Competencia o unidades de competencias</w:t>
            </w:r>
          </w:p>
        </w:tc>
        <w:tc>
          <w:tcPr>
            <w:tcW w:w="1319" w:type="dxa"/>
            <w:tcBorders>
              <w:top w:val="single" w:sz="4" w:space="0" w:color="auto"/>
              <w:left w:val="nil"/>
              <w:bottom w:val="single" w:sz="4" w:space="0" w:color="auto"/>
              <w:right w:val="single" w:sz="4" w:space="0" w:color="auto"/>
            </w:tcBorders>
            <w:vAlign w:val="center"/>
            <w:hideMark/>
          </w:tcPr>
          <w:p w14:paraId="40F9B854" w14:textId="77777777" w:rsidR="00737A35" w:rsidRPr="00737A35" w:rsidRDefault="00737A35" w:rsidP="00737A35">
            <w:pPr>
              <w:spacing w:after="0" w:line="240" w:lineRule="auto"/>
              <w:jc w:val="center"/>
              <w:rPr>
                <w:rFonts w:ascii="Calibri" w:eastAsia="Times New Roman" w:hAnsi="Calibri" w:cs="Calibri"/>
                <w:color w:val="1F3864"/>
                <w:sz w:val="18"/>
                <w:szCs w:val="18"/>
                <w:lang w:eastAsia="es-CL"/>
              </w:rPr>
            </w:pPr>
            <w:r w:rsidRPr="00737A35">
              <w:rPr>
                <w:rFonts w:ascii="Calibri" w:eastAsia="Times New Roman" w:hAnsi="Calibri" w:cs="Calibri"/>
                <w:color w:val="1F3864"/>
                <w:sz w:val="18"/>
                <w:szCs w:val="18"/>
                <w:lang w:eastAsia="es-CL"/>
              </w:rPr>
              <w:t>Actividades</w:t>
            </w:r>
          </w:p>
        </w:tc>
        <w:tc>
          <w:tcPr>
            <w:tcW w:w="1072" w:type="dxa"/>
            <w:tcBorders>
              <w:top w:val="single" w:sz="4" w:space="0" w:color="auto"/>
              <w:left w:val="nil"/>
              <w:bottom w:val="single" w:sz="4" w:space="0" w:color="auto"/>
              <w:right w:val="single" w:sz="4" w:space="0" w:color="auto"/>
            </w:tcBorders>
            <w:vAlign w:val="center"/>
            <w:hideMark/>
          </w:tcPr>
          <w:p w14:paraId="472135EC" w14:textId="77777777" w:rsidR="00737A35" w:rsidRPr="00737A35" w:rsidRDefault="00737A35" w:rsidP="00737A35">
            <w:pPr>
              <w:spacing w:after="0" w:line="240" w:lineRule="auto"/>
              <w:jc w:val="center"/>
              <w:rPr>
                <w:rFonts w:ascii="Calibri" w:eastAsia="Times New Roman" w:hAnsi="Calibri" w:cs="Calibri"/>
                <w:color w:val="1F3864"/>
                <w:sz w:val="18"/>
                <w:szCs w:val="18"/>
                <w:lang w:eastAsia="es-CL"/>
              </w:rPr>
            </w:pPr>
            <w:r w:rsidRPr="00737A35">
              <w:rPr>
                <w:rFonts w:ascii="Calibri" w:eastAsia="Times New Roman" w:hAnsi="Calibri" w:cs="Calibri"/>
                <w:color w:val="1F3864"/>
                <w:sz w:val="18"/>
                <w:szCs w:val="18"/>
                <w:lang w:eastAsia="es-CL"/>
              </w:rPr>
              <w:t>Recursos</w:t>
            </w:r>
          </w:p>
        </w:tc>
        <w:tc>
          <w:tcPr>
            <w:tcW w:w="871" w:type="dxa"/>
            <w:tcBorders>
              <w:top w:val="single" w:sz="4" w:space="0" w:color="auto"/>
              <w:left w:val="nil"/>
              <w:bottom w:val="single" w:sz="4" w:space="0" w:color="auto"/>
              <w:right w:val="single" w:sz="4" w:space="0" w:color="auto"/>
            </w:tcBorders>
            <w:vAlign w:val="center"/>
            <w:hideMark/>
          </w:tcPr>
          <w:p w14:paraId="601E7C8B" w14:textId="77777777" w:rsidR="00737A35" w:rsidRPr="00737A35" w:rsidRDefault="00737A35" w:rsidP="00737A35">
            <w:pPr>
              <w:spacing w:after="0" w:line="240" w:lineRule="auto"/>
              <w:jc w:val="center"/>
              <w:rPr>
                <w:rFonts w:ascii="Calibri" w:eastAsia="Times New Roman" w:hAnsi="Calibri" w:cs="Calibri"/>
                <w:color w:val="1F3864"/>
                <w:sz w:val="18"/>
                <w:szCs w:val="18"/>
                <w:lang w:eastAsia="es-CL"/>
              </w:rPr>
            </w:pPr>
            <w:r w:rsidRPr="00737A35">
              <w:rPr>
                <w:rFonts w:ascii="Calibri" w:eastAsia="Times New Roman" w:hAnsi="Calibri" w:cs="Calibri"/>
                <w:color w:val="1F3864"/>
                <w:sz w:val="18"/>
                <w:szCs w:val="18"/>
                <w:lang w:eastAsia="es-CL"/>
              </w:rPr>
              <w:t>Duración de la actividad</w:t>
            </w:r>
          </w:p>
        </w:tc>
        <w:tc>
          <w:tcPr>
            <w:tcW w:w="1351" w:type="dxa"/>
            <w:tcBorders>
              <w:top w:val="single" w:sz="4" w:space="0" w:color="auto"/>
              <w:left w:val="nil"/>
              <w:bottom w:val="single" w:sz="4" w:space="0" w:color="auto"/>
              <w:right w:val="single" w:sz="4" w:space="0" w:color="auto"/>
            </w:tcBorders>
            <w:vAlign w:val="center"/>
            <w:hideMark/>
          </w:tcPr>
          <w:p w14:paraId="0C9CCA39" w14:textId="77777777" w:rsidR="00737A35" w:rsidRPr="00737A35" w:rsidRDefault="00737A35" w:rsidP="00737A35">
            <w:pPr>
              <w:spacing w:after="0" w:line="240" w:lineRule="auto"/>
              <w:jc w:val="center"/>
              <w:rPr>
                <w:rFonts w:ascii="Aptos Narrow" w:eastAsia="Times New Roman" w:hAnsi="Aptos Narrow" w:cs="Times New Roman"/>
                <w:color w:val="467886"/>
                <w:u w:val="single"/>
                <w:lang w:eastAsia="es-CL"/>
              </w:rPr>
            </w:pPr>
            <w:bookmarkStart w:id="0" w:name="RANGE!E2"/>
            <w:r w:rsidRPr="00737A35">
              <w:rPr>
                <w:rFonts w:ascii="Aptos Narrow" w:eastAsia="Times New Roman" w:hAnsi="Aptos Narrow" w:cs="Times New Roman"/>
                <w:color w:val="467886"/>
                <w:u w:val="single"/>
                <w:lang w:eastAsia="es-CL"/>
              </w:rPr>
              <w:t>Responsable</w:t>
            </w:r>
            <w:bookmarkEnd w:id="0"/>
          </w:p>
        </w:tc>
        <w:tc>
          <w:tcPr>
            <w:tcW w:w="1732" w:type="dxa"/>
            <w:tcBorders>
              <w:top w:val="single" w:sz="4" w:space="0" w:color="auto"/>
              <w:left w:val="nil"/>
              <w:bottom w:val="single" w:sz="4" w:space="0" w:color="auto"/>
              <w:right w:val="single" w:sz="4" w:space="0" w:color="auto"/>
            </w:tcBorders>
            <w:vAlign w:val="center"/>
            <w:hideMark/>
          </w:tcPr>
          <w:p w14:paraId="7606AB7E" w14:textId="77777777" w:rsidR="00737A35" w:rsidRPr="00737A35" w:rsidRDefault="00737A35" w:rsidP="00737A35">
            <w:pPr>
              <w:spacing w:after="0" w:line="240" w:lineRule="auto"/>
              <w:jc w:val="center"/>
              <w:rPr>
                <w:rFonts w:ascii="Calibri" w:eastAsia="Times New Roman" w:hAnsi="Calibri" w:cs="Calibri"/>
                <w:color w:val="1F3864"/>
                <w:sz w:val="18"/>
                <w:szCs w:val="18"/>
                <w:lang w:eastAsia="es-CL"/>
              </w:rPr>
            </w:pPr>
            <w:r w:rsidRPr="00737A35">
              <w:rPr>
                <w:rFonts w:ascii="Calibri" w:eastAsia="Times New Roman" w:hAnsi="Calibri" w:cs="Calibri"/>
                <w:color w:val="1F3864"/>
                <w:sz w:val="18"/>
                <w:szCs w:val="18"/>
                <w:lang w:eastAsia="es-CL"/>
              </w:rPr>
              <w:t>Observaciones</w:t>
            </w:r>
          </w:p>
        </w:tc>
        <w:tc>
          <w:tcPr>
            <w:tcW w:w="772" w:type="dxa"/>
            <w:tcBorders>
              <w:top w:val="single" w:sz="4" w:space="0" w:color="auto"/>
              <w:left w:val="nil"/>
              <w:bottom w:val="single" w:sz="4" w:space="0" w:color="auto"/>
              <w:right w:val="single" w:sz="4" w:space="0" w:color="auto"/>
            </w:tcBorders>
            <w:vAlign w:val="center"/>
            <w:hideMark/>
          </w:tcPr>
          <w:p w14:paraId="78EE0937" w14:textId="77777777" w:rsidR="00737A35" w:rsidRPr="00737A35" w:rsidRDefault="00737A35" w:rsidP="00737A35">
            <w:pPr>
              <w:spacing w:after="0" w:line="240" w:lineRule="auto"/>
              <w:jc w:val="center"/>
              <w:rPr>
                <w:rFonts w:ascii="Calibri" w:eastAsia="Times New Roman" w:hAnsi="Calibri" w:cs="Calibri"/>
                <w:color w:val="1F3864"/>
                <w:sz w:val="18"/>
                <w:szCs w:val="18"/>
                <w:lang w:eastAsia="es-CL"/>
              </w:rPr>
            </w:pPr>
            <w:r w:rsidRPr="00737A35">
              <w:rPr>
                <w:rFonts w:ascii="Calibri" w:eastAsia="Times New Roman" w:hAnsi="Calibri" w:cs="Calibri"/>
                <w:color w:val="1F3864"/>
                <w:sz w:val="18"/>
                <w:szCs w:val="18"/>
                <w:lang w:eastAsia="es-CL"/>
              </w:rPr>
              <w:t>Estado de avance</w:t>
            </w:r>
          </w:p>
        </w:tc>
        <w:tc>
          <w:tcPr>
            <w:tcW w:w="1345" w:type="dxa"/>
            <w:tcBorders>
              <w:top w:val="single" w:sz="4" w:space="0" w:color="auto"/>
              <w:left w:val="nil"/>
              <w:bottom w:val="single" w:sz="4" w:space="0" w:color="auto"/>
              <w:right w:val="single" w:sz="4" w:space="0" w:color="auto"/>
            </w:tcBorders>
            <w:vAlign w:val="center"/>
            <w:hideMark/>
          </w:tcPr>
          <w:p w14:paraId="5EE47A57" w14:textId="77777777" w:rsidR="00737A35" w:rsidRPr="00737A35" w:rsidRDefault="00737A35" w:rsidP="00737A35">
            <w:pPr>
              <w:spacing w:after="0" w:line="240" w:lineRule="auto"/>
              <w:jc w:val="center"/>
              <w:rPr>
                <w:rFonts w:ascii="Calibri" w:eastAsia="Times New Roman" w:hAnsi="Calibri" w:cs="Calibri"/>
                <w:color w:val="1F3864"/>
                <w:sz w:val="18"/>
                <w:szCs w:val="18"/>
                <w:lang w:eastAsia="es-CL"/>
              </w:rPr>
            </w:pPr>
            <w:r w:rsidRPr="00737A35">
              <w:rPr>
                <w:rFonts w:ascii="Calibri" w:eastAsia="Times New Roman" w:hAnsi="Calibri" w:cs="Calibri"/>
                <w:color w:val="1F3864"/>
                <w:sz w:val="18"/>
                <w:szCs w:val="18"/>
                <w:lang w:eastAsia="es-CL"/>
              </w:rPr>
              <w:t>Ajustes</w:t>
            </w:r>
          </w:p>
        </w:tc>
      </w:tr>
      <w:tr w:rsidR="00737A35" w:rsidRPr="00737A35" w14:paraId="5B03FB0C" w14:textId="77777777" w:rsidTr="00737A35">
        <w:trPr>
          <w:trHeight w:val="1901"/>
        </w:trPr>
        <w:tc>
          <w:tcPr>
            <w:tcW w:w="1098" w:type="dxa"/>
            <w:tcBorders>
              <w:top w:val="nil"/>
              <w:left w:val="single" w:sz="4" w:space="0" w:color="auto"/>
              <w:bottom w:val="single" w:sz="4" w:space="0" w:color="auto"/>
              <w:right w:val="single" w:sz="4" w:space="0" w:color="auto"/>
            </w:tcBorders>
            <w:hideMark/>
          </w:tcPr>
          <w:p w14:paraId="02B8508D"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Modelado de datos</w:t>
            </w:r>
          </w:p>
        </w:tc>
        <w:tc>
          <w:tcPr>
            <w:tcW w:w="1319" w:type="dxa"/>
            <w:tcBorders>
              <w:top w:val="nil"/>
              <w:left w:val="nil"/>
              <w:bottom w:val="single" w:sz="4" w:space="0" w:color="auto"/>
              <w:right w:val="single" w:sz="4" w:space="0" w:color="auto"/>
            </w:tcBorders>
            <w:hideMark/>
          </w:tcPr>
          <w:p w14:paraId="73F6F57B"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Entrenamiento del modelo predictivo y conexión con Orthanc</w:t>
            </w:r>
          </w:p>
        </w:tc>
        <w:tc>
          <w:tcPr>
            <w:tcW w:w="1072" w:type="dxa"/>
            <w:tcBorders>
              <w:top w:val="nil"/>
              <w:left w:val="nil"/>
              <w:bottom w:val="single" w:sz="4" w:space="0" w:color="auto"/>
              <w:right w:val="single" w:sz="4" w:space="0" w:color="auto"/>
            </w:tcBorders>
            <w:hideMark/>
          </w:tcPr>
          <w:p w14:paraId="64345BBB"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Python, TensorFlow, pydicom, Orthanc local</w:t>
            </w:r>
          </w:p>
        </w:tc>
        <w:tc>
          <w:tcPr>
            <w:tcW w:w="871" w:type="dxa"/>
            <w:tcBorders>
              <w:top w:val="nil"/>
              <w:left w:val="nil"/>
              <w:bottom w:val="single" w:sz="4" w:space="0" w:color="auto"/>
              <w:right w:val="single" w:sz="4" w:space="0" w:color="auto"/>
            </w:tcBorders>
            <w:hideMark/>
          </w:tcPr>
          <w:p w14:paraId="47B00301"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3 semanas</w:t>
            </w:r>
          </w:p>
        </w:tc>
        <w:tc>
          <w:tcPr>
            <w:tcW w:w="1351" w:type="dxa"/>
            <w:tcBorders>
              <w:top w:val="nil"/>
              <w:left w:val="nil"/>
              <w:bottom w:val="single" w:sz="4" w:space="0" w:color="auto"/>
              <w:right w:val="single" w:sz="4" w:space="0" w:color="auto"/>
            </w:tcBorders>
            <w:hideMark/>
          </w:tcPr>
          <w:p w14:paraId="467010AF"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Diego</w:t>
            </w:r>
          </w:p>
        </w:tc>
        <w:tc>
          <w:tcPr>
            <w:tcW w:w="1732" w:type="dxa"/>
            <w:tcBorders>
              <w:top w:val="nil"/>
              <w:left w:val="nil"/>
              <w:bottom w:val="single" w:sz="4" w:space="0" w:color="auto"/>
              <w:right w:val="single" w:sz="4" w:space="0" w:color="auto"/>
            </w:tcBorders>
            <w:hideMark/>
          </w:tcPr>
          <w:p w14:paraId="543CE2D0"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Facilita: experiencia previa en Python y DICOM. Dificulta: precisión aún insuficiente para generalizar a nuevas TC; tiempos de cómputo.</w:t>
            </w:r>
          </w:p>
        </w:tc>
        <w:tc>
          <w:tcPr>
            <w:tcW w:w="772" w:type="dxa"/>
            <w:tcBorders>
              <w:top w:val="nil"/>
              <w:left w:val="nil"/>
              <w:bottom w:val="single" w:sz="4" w:space="0" w:color="auto"/>
              <w:right w:val="single" w:sz="4" w:space="0" w:color="auto"/>
            </w:tcBorders>
            <w:hideMark/>
          </w:tcPr>
          <w:p w14:paraId="3ED62C37"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En curso</w:t>
            </w:r>
          </w:p>
        </w:tc>
        <w:tc>
          <w:tcPr>
            <w:tcW w:w="1345" w:type="dxa"/>
            <w:tcBorders>
              <w:top w:val="nil"/>
              <w:left w:val="nil"/>
              <w:bottom w:val="single" w:sz="4" w:space="0" w:color="auto"/>
              <w:right w:val="single" w:sz="4" w:space="0" w:color="auto"/>
            </w:tcBorders>
            <w:hideMark/>
          </w:tcPr>
          <w:p w14:paraId="396B0DFA"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Se redujo el subset de LIDC-IDRI para iterar más rápido; se priorizó integración funcional sobre optimización del modelo.</w:t>
            </w:r>
          </w:p>
        </w:tc>
      </w:tr>
      <w:tr w:rsidR="00737A35" w:rsidRPr="00737A35" w14:paraId="5AF67745" w14:textId="77777777" w:rsidTr="00737A35">
        <w:trPr>
          <w:trHeight w:val="1603"/>
        </w:trPr>
        <w:tc>
          <w:tcPr>
            <w:tcW w:w="1098" w:type="dxa"/>
            <w:tcBorders>
              <w:top w:val="nil"/>
              <w:left w:val="single" w:sz="4" w:space="0" w:color="auto"/>
              <w:bottom w:val="single" w:sz="4" w:space="0" w:color="auto"/>
              <w:right w:val="single" w:sz="4" w:space="0" w:color="auto"/>
            </w:tcBorders>
            <w:hideMark/>
          </w:tcPr>
          <w:p w14:paraId="42C2E349"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Desarrollo de software</w:t>
            </w:r>
          </w:p>
        </w:tc>
        <w:tc>
          <w:tcPr>
            <w:tcW w:w="1319" w:type="dxa"/>
            <w:tcBorders>
              <w:top w:val="nil"/>
              <w:left w:val="nil"/>
              <w:bottom w:val="single" w:sz="4" w:space="0" w:color="auto"/>
              <w:right w:val="single" w:sz="4" w:space="0" w:color="auto"/>
            </w:tcBorders>
            <w:hideMark/>
          </w:tcPr>
          <w:p w14:paraId="49963EE3"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Implementación de la API y conexión con Orthanc</w:t>
            </w:r>
          </w:p>
        </w:tc>
        <w:tc>
          <w:tcPr>
            <w:tcW w:w="1072" w:type="dxa"/>
            <w:tcBorders>
              <w:top w:val="nil"/>
              <w:left w:val="nil"/>
              <w:bottom w:val="single" w:sz="4" w:space="0" w:color="auto"/>
              <w:right w:val="single" w:sz="4" w:space="0" w:color="auto"/>
            </w:tcBorders>
            <w:hideMark/>
          </w:tcPr>
          <w:p w14:paraId="23F75C5D"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FastAPI, REST API, Docker local</w:t>
            </w:r>
          </w:p>
        </w:tc>
        <w:tc>
          <w:tcPr>
            <w:tcW w:w="871" w:type="dxa"/>
            <w:tcBorders>
              <w:top w:val="nil"/>
              <w:left w:val="nil"/>
              <w:bottom w:val="single" w:sz="4" w:space="0" w:color="auto"/>
              <w:right w:val="single" w:sz="4" w:space="0" w:color="auto"/>
            </w:tcBorders>
            <w:hideMark/>
          </w:tcPr>
          <w:p w14:paraId="639F23B7"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3 semanas</w:t>
            </w:r>
          </w:p>
        </w:tc>
        <w:tc>
          <w:tcPr>
            <w:tcW w:w="1351" w:type="dxa"/>
            <w:tcBorders>
              <w:top w:val="nil"/>
              <w:left w:val="nil"/>
              <w:bottom w:val="single" w:sz="4" w:space="0" w:color="auto"/>
              <w:right w:val="single" w:sz="4" w:space="0" w:color="auto"/>
            </w:tcBorders>
            <w:hideMark/>
          </w:tcPr>
          <w:p w14:paraId="6B2A0BB4"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Diego y Millaray</w:t>
            </w:r>
          </w:p>
        </w:tc>
        <w:tc>
          <w:tcPr>
            <w:tcW w:w="1732" w:type="dxa"/>
            <w:tcBorders>
              <w:top w:val="nil"/>
              <w:left w:val="nil"/>
              <w:bottom w:val="single" w:sz="4" w:space="0" w:color="auto"/>
              <w:right w:val="single" w:sz="4" w:space="0" w:color="auto"/>
            </w:tcBorders>
            <w:hideMark/>
          </w:tcPr>
          <w:p w14:paraId="470FEBA1"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Facilita: endpoints ya responden y loguean. Dificulta: falta automatizar consulta directa a Orthanc (pull/push).</w:t>
            </w:r>
          </w:p>
        </w:tc>
        <w:tc>
          <w:tcPr>
            <w:tcW w:w="772" w:type="dxa"/>
            <w:tcBorders>
              <w:top w:val="nil"/>
              <w:left w:val="nil"/>
              <w:bottom w:val="single" w:sz="4" w:space="0" w:color="auto"/>
              <w:right w:val="single" w:sz="4" w:space="0" w:color="auto"/>
            </w:tcBorders>
            <w:hideMark/>
          </w:tcPr>
          <w:p w14:paraId="48CF676A"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En curso</w:t>
            </w:r>
          </w:p>
        </w:tc>
        <w:tc>
          <w:tcPr>
            <w:tcW w:w="1345" w:type="dxa"/>
            <w:tcBorders>
              <w:top w:val="nil"/>
              <w:left w:val="nil"/>
              <w:bottom w:val="single" w:sz="4" w:space="0" w:color="auto"/>
              <w:right w:val="single" w:sz="4" w:space="0" w:color="auto"/>
            </w:tcBorders>
            <w:hideMark/>
          </w:tcPr>
          <w:p w14:paraId="57BF24E0"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Se reordenó backlog: primero estabilizar lectura/escritura DICOM y luego orquestación automática.</w:t>
            </w:r>
          </w:p>
        </w:tc>
      </w:tr>
      <w:tr w:rsidR="00737A35" w:rsidRPr="00737A35" w14:paraId="3A9D7023" w14:textId="77777777" w:rsidTr="00737A35">
        <w:trPr>
          <w:trHeight w:val="1920"/>
        </w:trPr>
        <w:tc>
          <w:tcPr>
            <w:tcW w:w="1098" w:type="dxa"/>
            <w:tcBorders>
              <w:top w:val="nil"/>
              <w:left w:val="single" w:sz="4" w:space="0" w:color="auto"/>
              <w:bottom w:val="single" w:sz="4" w:space="0" w:color="auto"/>
              <w:right w:val="single" w:sz="4" w:space="0" w:color="auto"/>
            </w:tcBorders>
            <w:hideMark/>
          </w:tcPr>
          <w:p w14:paraId="3C4A805D"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Desarrollo de software (Front End)</w:t>
            </w:r>
          </w:p>
        </w:tc>
        <w:tc>
          <w:tcPr>
            <w:tcW w:w="1319" w:type="dxa"/>
            <w:tcBorders>
              <w:top w:val="nil"/>
              <w:left w:val="nil"/>
              <w:bottom w:val="single" w:sz="4" w:space="0" w:color="auto"/>
              <w:right w:val="single" w:sz="4" w:space="0" w:color="auto"/>
            </w:tcBorders>
            <w:hideMark/>
          </w:tcPr>
          <w:p w14:paraId="112B31A6"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Creación de interfaz en React y visualización de resultados</w:t>
            </w:r>
          </w:p>
        </w:tc>
        <w:tc>
          <w:tcPr>
            <w:tcW w:w="1072" w:type="dxa"/>
            <w:tcBorders>
              <w:top w:val="nil"/>
              <w:left w:val="nil"/>
              <w:bottom w:val="single" w:sz="4" w:space="0" w:color="auto"/>
              <w:right w:val="single" w:sz="4" w:space="0" w:color="auto"/>
            </w:tcBorders>
            <w:hideMark/>
          </w:tcPr>
          <w:p w14:paraId="411C7A2E"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React, OHIF Viewer, JS</w:t>
            </w:r>
          </w:p>
        </w:tc>
        <w:tc>
          <w:tcPr>
            <w:tcW w:w="871" w:type="dxa"/>
            <w:tcBorders>
              <w:top w:val="nil"/>
              <w:left w:val="nil"/>
              <w:bottom w:val="single" w:sz="4" w:space="0" w:color="auto"/>
              <w:right w:val="single" w:sz="4" w:space="0" w:color="auto"/>
            </w:tcBorders>
            <w:hideMark/>
          </w:tcPr>
          <w:p w14:paraId="7C881E7C"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3 semanas</w:t>
            </w:r>
          </w:p>
        </w:tc>
        <w:tc>
          <w:tcPr>
            <w:tcW w:w="1351" w:type="dxa"/>
            <w:tcBorders>
              <w:top w:val="nil"/>
              <w:left w:val="nil"/>
              <w:bottom w:val="single" w:sz="4" w:space="0" w:color="auto"/>
              <w:right w:val="single" w:sz="4" w:space="0" w:color="auto"/>
            </w:tcBorders>
            <w:hideMark/>
          </w:tcPr>
          <w:p w14:paraId="0D066AD8"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Tais</w:t>
            </w:r>
          </w:p>
        </w:tc>
        <w:tc>
          <w:tcPr>
            <w:tcW w:w="1732" w:type="dxa"/>
            <w:tcBorders>
              <w:top w:val="nil"/>
              <w:left w:val="nil"/>
              <w:bottom w:val="single" w:sz="4" w:space="0" w:color="auto"/>
              <w:right w:val="single" w:sz="4" w:space="0" w:color="auto"/>
            </w:tcBorders>
            <w:hideMark/>
          </w:tcPr>
          <w:p w14:paraId="4A3D943E"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Facilita: UI se carga al abrir el viewer y renderiza marcas. Dificulta: aún no está conectada al “modelo de datos” final por temas de precisión.</w:t>
            </w:r>
          </w:p>
        </w:tc>
        <w:tc>
          <w:tcPr>
            <w:tcW w:w="772" w:type="dxa"/>
            <w:tcBorders>
              <w:top w:val="nil"/>
              <w:left w:val="nil"/>
              <w:bottom w:val="single" w:sz="4" w:space="0" w:color="auto"/>
              <w:right w:val="single" w:sz="4" w:space="0" w:color="auto"/>
            </w:tcBorders>
            <w:hideMark/>
          </w:tcPr>
          <w:p w14:paraId="376CFC12"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En curso</w:t>
            </w:r>
          </w:p>
        </w:tc>
        <w:tc>
          <w:tcPr>
            <w:tcW w:w="1345" w:type="dxa"/>
            <w:tcBorders>
              <w:top w:val="nil"/>
              <w:left w:val="nil"/>
              <w:bottom w:val="single" w:sz="4" w:space="0" w:color="auto"/>
              <w:right w:val="single" w:sz="4" w:space="0" w:color="auto"/>
            </w:tcBorders>
            <w:hideMark/>
          </w:tcPr>
          <w:p w14:paraId="6B0F0771"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Se agregó capa de mock/placeholder para visualización mientras se ajusta el modelo.</w:t>
            </w:r>
          </w:p>
        </w:tc>
      </w:tr>
      <w:tr w:rsidR="00737A35" w:rsidRPr="00737A35" w14:paraId="17A20D25" w14:textId="77777777" w:rsidTr="00737A35">
        <w:trPr>
          <w:trHeight w:val="1612"/>
        </w:trPr>
        <w:tc>
          <w:tcPr>
            <w:tcW w:w="1098" w:type="dxa"/>
            <w:tcBorders>
              <w:top w:val="nil"/>
              <w:left w:val="single" w:sz="4" w:space="0" w:color="auto"/>
              <w:bottom w:val="single" w:sz="4" w:space="0" w:color="auto"/>
              <w:right w:val="single" w:sz="4" w:space="0" w:color="auto"/>
            </w:tcBorders>
            <w:hideMark/>
          </w:tcPr>
          <w:p w14:paraId="44E3D2BE"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Modelado de datos</w:t>
            </w:r>
          </w:p>
        </w:tc>
        <w:tc>
          <w:tcPr>
            <w:tcW w:w="1319" w:type="dxa"/>
            <w:tcBorders>
              <w:top w:val="nil"/>
              <w:left w:val="nil"/>
              <w:bottom w:val="single" w:sz="4" w:space="0" w:color="auto"/>
              <w:right w:val="single" w:sz="4" w:space="0" w:color="auto"/>
            </w:tcBorders>
            <w:hideMark/>
          </w:tcPr>
          <w:p w14:paraId="7318AFAB"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Configuración de base de datos</w:t>
            </w:r>
          </w:p>
        </w:tc>
        <w:tc>
          <w:tcPr>
            <w:tcW w:w="1072" w:type="dxa"/>
            <w:tcBorders>
              <w:top w:val="nil"/>
              <w:left w:val="nil"/>
              <w:bottom w:val="single" w:sz="4" w:space="0" w:color="auto"/>
              <w:right w:val="single" w:sz="4" w:space="0" w:color="auto"/>
            </w:tcBorders>
            <w:hideMark/>
          </w:tcPr>
          <w:p w14:paraId="15181B80"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PostgreSQL</w:t>
            </w:r>
          </w:p>
        </w:tc>
        <w:tc>
          <w:tcPr>
            <w:tcW w:w="871" w:type="dxa"/>
            <w:tcBorders>
              <w:top w:val="nil"/>
              <w:left w:val="nil"/>
              <w:bottom w:val="single" w:sz="4" w:space="0" w:color="auto"/>
              <w:right w:val="single" w:sz="4" w:space="0" w:color="auto"/>
            </w:tcBorders>
            <w:hideMark/>
          </w:tcPr>
          <w:p w14:paraId="58E3B206"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2 semanas</w:t>
            </w:r>
          </w:p>
        </w:tc>
        <w:tc>
          <w:tcPr>
            <w:tcW w:w="1351" w:type="dxa"/>
            <w:tcBorders>
              <w:top w:val="nil"/>
              <w:left w:val="nil"/>
              <w:bottom w:val="single" w:sz="4" w:space="0" w:color="auto"/>
              <w:right w:val="single" w:sz="4" w:space="0" w:color="auto"/>
            </w:tcBorders>
            <w:hideMark/>
          </w:tcPr>
          <w:p w14:paraId="323176AF"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Equipo</w:t>
            </w:r>
          </w:p>
        </w:tc>
        <w:tc>
          <w:tcPr>
            <w:tcW w:w="1732" w:type="dxa"/>
            <w:tcBorders>
              <w:top w:val="nil"/>
              <w:left w:val="nil"/>
              <w:bottom w:val="single" w:sz="4" w:space="0" w:color="auto"/>
              <w:right w:val="single" w:sz="4" w:space="0" w:color="auto"/>
            </w:tcBorders>
            <w:hideMark/>
          </w:tcPr>
          <w:p w14:paraId="2EA2DDA2"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Decisión: posponer DB porque hoy el flujo funciona con almacenamiento local en el servidor.</w:t>
            </w:r>
          </w:p>
        </w:tc>
        <w:tc>
          <w:tcPr>
            <w:tcW w:w="772" w:type="dxa"/>
            <w:tcBorders>
              <w:top w:val="nil"/>
              <w:left w:val="nil"/>
              <w:bottom w:val="single" w:sz="4" w:space="0" w:color="auto"/>
              <w:right w:val="single" w:sz="4" w:space="0" w:color="auto"/>
            </w:tcBorders>
            <w:hideMark/>
          </w:tcPr>
          <w:p w14:paraId="391D6353"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No iniciado</w:t>
            </w:r>
          </w:p>
        </w:tc>
        <w:tc>
          <w:tcPr>
            <w:tcW w:w="1345" w:type="dxa"/>
            <w:tcBorders>
              <w:top w:val="nil"/>
              <w:left w:val="nil"/>
              <w:bottom w:val="single" w:sz="4" w:space="0" w:color="auto"/>
              <w:right w:val="single" w:sz="4" w:space="0" w:color="auto"/>
            </w:tcBorders>
            <w:hideMark/>
          </w:tcPr>
          <w:p w14:paraId="377827F7"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Se traslada a la siguiente iteración; se definirá esquema mínimo (results, studies, nodules) antes de montar.</w:t>
            </w:r>
          </w:p>
        </w:tc>
      </w:tr>
      <w:tr w:rsidR="00737A35" w:rsidRPr="00737A35" w14:paraId="4678ECF7" w14:textId="77777777" w:rsidTr="00737A35">
        <w:trPr>
          <w:trHeight w:val="2400"/>
        </w:trPr>
        <w:tc>
          <w:tcPr>
            <w:tcW w:w="1098" w:type="dxa"/>
            <w:tcBorders>
              <w:top w:val="nil"/>
              <w:left w:val="single" w:sz="4" w:space="0" w:color="auto"/>
              <w:bottom w:val="single" w:sz="4" w:space="0" w:color="auto"/>
              <w:right w:val="single" w:sz="4" w:space="0" w:color="auto"/>
            </w:tcBorders>
            <w:hideMark/>
          </w:tcPr>
          <w:p w14:paraId="3EDEF2D3"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Gestión de proyectos</w:t>
            </w:r>
          </w:p>
        </w:tc>
        <w:tc>
          <w:tcPr>
            <w:tcW w:w="1319" w:type="dxa"/>
            <w:tcBorders>
              <w:top w:val="nil"/>
              <w:left w:val="nil"/>
              <w:bottom w:val="single" w:sz="4" w:space="0" w:color="auto"/>
              <w:right w:val="single" w:sz="4" w:space="0" w:color="auto"/>
            </w:tcBorders>
            <w:hideMark/>
          </w:tcPr>
          <w:p w14:paraId="0A164CD7"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Monitoreo y documentación (Jira, informes, evidencias)</w:t>
            </w:r>
          </w:p>
        </w:tc>
        <w:tc>
          <w:tcPr>
            <w:tcW w:w="1072" w:type="dxa"/>
            <w:tcBorders>
              <w:top w:val="nil"/>
              <w:left w:val="nil"/>
              <w:bottom w:val="single" w:sz="4" w:space="0" w:color="auto"/>
              <w:right w:val="single" w:sz="4" w:space="0" w:color="auto"/>
            </w:tcBorders>
            <w:hideMark/>
          </w:tcPr>
          <w:p w14:paraId="148E92D3"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Jira, GitHub, Word</w:t>
            </w:r>
          </w:p>
        </w:tc>
        <w:tc>
          <w:tcPr>
            <w:tcW w:w="871" w:type="dxa"/>
            <w:tcBorders>
              <w:top w:val="nil"/>
              <w:left w:val="nil"/>
              <w:bottom w:val="single" w:sz="4" w:space="0" w:color="auto"/>
              <w:right w:val="single" w:sz="4" w:space="0" w:color="auto"/>
            </w:tcBorders>
            <w:hideMark/>
          </w:tcPr>
          <w:p w14:paraId="3CA35D67"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2 semanas (recurr.)</w:t>
            </w:r>
          </w:p>
        </w:tc>
        <w:tc>
          <w:tcPr>
            <w:tcW w:w="1351" w:type="dxa"/>
            <w:tcBorders>
              <w:top w:val="nil"/>
              <w:left w:val="nil"/>
              <w:bottom w:val="single" w:sz="4" w:space="0" w:color="auto"/>
              <w:right w:val="single" w:sz="4" w:space="0" w:color="auto"/>
            </w:tcBorders>
            <w:hideMark/>
          </w:tcPr>
          <w:p w14:paraId="62430D76"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Millaray</w:t>
            </w:r>
          </w:p>
        </w:tc>
        <w:tc>
          <w:tcPr>
            <w:tcW w:w="1732" w:type="dxa"/>
            <w:tcBorders>
              <w:top w:val="nil"/>
              <w:left w:val="nil"/>
              <w:bottom w:val="single" w:sz="4" w:space="0" w:color="auto"/>
              <w:right w:val="single" w:sz="4" w:space="0" w:color="auto"/>
            </w:tcBorders>
            <w:hideMark/>
          </w:tcPr>
          <w:p w14:paraId="416847ED"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Facilita: reuniones semanales y retro cortas. Dificulta: al inicio costó organizar el tablero y dependencias.</w:t>
            </w:r>
          </w:p>
        </w:tc>
        <w:tc>
          <w:tcPr>
            <w:tcW w:w="772" w:type="dxa"/>
            <w:tcBorders>
              <w:top w:val="nil"/>
              <w:left w:val="nil"/>
              <w:bottom w:val="single" w:sz="4" w:space="0" w:color="auto"/>
              <w:right w:val="single" w:sz="4" w:space="0" w:color="auto"/>
            </w:tcBorders>
            <w:hideMark/>
          </w:tcPr>
          <w:p w14:paraId="589C23B1"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En curso</w:t>
            </w:r>
          </w:p>
        </w:tc>
        <w:tc>
          <w:tcPr>
            <w:tcW w:w="1345" w:type="dxa"/>
            <w:tcBorders>
              <w:top w:val="nil"/>
              <w:left w:val="nil"/>
              <w:bottom w:val="single" w:sz="4" w:space="0" w:color="auto"/>
              <w:right w:val="single" w:sz="4" w:space="0" w:color="auto"/>
            </w:tcBorders>
            <w:hideMark/>
          </w:tcPr>
          <w:p w14:paraId="791219E9"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Ajustada la cadencia: sprints de 1 semana; backlog simplificado por componentes (modelo/API/UI).</w:t>
            </w:r>
          </w:p>
        </w:tc>
      </w:tr>
      <w:tr w:rsidR="00737A35" w:rsidRPr="00737A35" w14:paraId="6D2EB7A0" w14:textId="77777777" w:rsidTr="00737A35">
        <w:trPr>
          <w:trHeight w:val="1920"/>
        </w:trPr>
        <w:tc>
          <w:tcPr>
            <w:tcW w:w="1098" w:type="dxa"/>
            <w:tcBorders>
              <w:top w:val="nil"/>
              <w:left w:val="single" w:sz="4" w:space="0" w:color="auto"/>
              <w:bottom w:val="single" w:sz="4" w:space="0" w:color="auto"/>
              <w:right w:val="single" w:sz="4" w:space="0" w:color="auto"/>
            </w:tcBorders>
            <w:hideMark/>
          </w:tcPr>
          <w:p w14:paraId="28279A2C"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Integración</w:t>
            </w:r>
          </w:p>
        </w:tc>
        <w:tc>
          <w:tcPr>
            <w:tcW w:w="1319" w:type="dxa"/>
            <w:tcBorders>
              <w:top w:val="nil"/>
              <w:left w:val="nil"/>
              <w:bottom w:val="single" w:sz="4" w:space="0" w:color="auto"/>
              <w:right w:val="single" w:sz="4" w:space="0" w:color="auto"/>
            </w:tcBorders>
            <w:hideMark/>
          </w:tcPr>
          <w:p w14:paraId="125246AE"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Pruebas de interoperabilidad y demo</w:t>
            </w:r>
          </w:p>
        </w:tc>
        <w:tc>
          <w:tcPr>
            <w:tcW w:w="1072" w:type="dxa"/>
            <w:tcBorders>
              <w:top w:val="nil"/>
              <w:left w:val="nil"/>
              <w:bottom w:val="single" w:sz="4" w:space="0" w:color="auto"/>
              <w:right w:val="single" w:sz="4" w:space="0" w:color="auto"/>
            </w:tcBorders>
            <w:hideMark/>
          </w:tcPr>
          <w:p w14:paraId="796E39A1"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Orthanc (local), logs, capturas, scripts</w:t>
            </w:r>
          </w:p>
        </w:tc>
        <w:tc>
          <w:tcPr>
            <w:tcW w:w="871" w:type="dxa"/>
            <w:tcBorders>
              <w:top w:val="nil"/>
              <w:left w:val="nil"/>
              <w:bottom w:val="single" w:sz="4" w:space="0" w:color="auto"/>
              <w:right w:val="single" w:sz="4" w:space="0" w:color="auto"/>
            </w:tcBorders>
            <w:hideMark/>
          </w:tcPr>
          <w:p w14:paraId="14A5CD14"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2 semanas</w:t>
            </w:r>
          </w:p>
        </w:tc>
        <w:tc>
          <w:tcPr>
            <w:tcW w:w="1351" w:type="dxa"/>
            <w:tcBorders>
              <w:top w:val="nil"/>
              <w:left w:val="nil"/>
              <w:bottom w:val="single" w:sz="4" w:space="0" w:color="auto"/>
              <w:right w:val="single" w:sz="4" w:space="0" w:color="auto"/>
            </w:tcBorders>
            <w:hideMark/>
          </w:tcPr>
          <w:p w14:paraId="37B927D9"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Equipo</w:t>
            </w:r>
          </w:p>
        </w:tc>
        <w:tc>
          <w:tcPr>
            <w:tcW w:w="1732" w:type="dxa"/>
            <w:tcBorders>
              <w:top w:val="nil"/>
              <w:left w:val="nil"/>
              <w:bottom w:val="single" w:sz="4" w:space="0" w:color="auto"/>
              <w:right w:val="single" w:sz="4" w:space="0" w:color="auto"/>
            </w:tcBorders>
            <w:hideMark/>
          </w:tcPr>
          <w:p w14:paraId="553A706B"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Facilita: ya se visualizan segmentaciones en el visor. Dificulta: falta canal directo Drive→Orthanc→API sin pasos manuales.</w:t>
            </w:r>
          </w:p>
        </w:tc>
        <w:tc>
          <w:tcPr>
            <w:tcW w:w="772" w:type="dxa"/>
            <w:tcBorders>
              <w:top w:val="nil"/>
              <w:left w:val="nil"/>
              <w:bottom w:val="single" w:sz="4" w:space="0" w:color="auto"/>
              <w:right w:val="single" w:sz="4" w:space="0" w:color="auto"/>
            </w:tcBorders>
            <w:hideMark/>
          </w:tcPr>
          <w:p w14:paraId="3DF7A8BD"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En curso</w:t>
            </w:r>
          </w:p>
        </w:tc>
        <w:tc>
          <w:tcPr>
            <w:tcW w:w="1345" w:type="dxa"/>
            <w:tcBorders>
              <w:top w:val="nil"/>
              <w:left w:val="nil"/>
              <w:bottom w:val="single" w:sz="4" w:space="0" w:color="auto"/>
              <w:right w:val="single" w:sz="4" w:space="0" w:color="auto"/>
            </w:tcBorders>
            <w:hideMark/>
          </w:tcPr>
          <w:p w14:paraId="61113BC4" w14:textId="77777777" w:rsidR="00737A35" w:rsidRPr="00737A35" w:rsidRDefault="00737A35" w:rsidP="00737A35">
            <w:pPr>
              <w:spacing w:after="0" w:line="240" w:lineRule="auto"/>
              <w:rPr>
                <w:rFonts w:ascii="Calibri" w:eastAsia="Times New Roman" w:hAnsi="Calibri" w:cs="Calibri"/>
                <w:i/>
                <w:iCs/>
                <w:color w:val="548DD4"/>
                <w:sz w:val="18"/>
                <w:szCs w:val="18"/>
                <w:lang w:eastAsia="es-CL"/>
              </w:rPr>
            </w:pPr>
            <w:r w:rsidRPr="00737A35">
              <w:rPr>
                <w:rFonts w:ascii="Calibri" w:eastAsia="Times New Roman" w:hAnsi="Calibri" w:cs="Calibri"/>
                <w:i/>
                <w:iCs/>
                <w:color w:val="548DD4"/>
                <w:sz w:val="18"/>
                <w:szCs w:val="18"/>
                <w:lang w:eastAsia="es-CL"/>
              </w:rPr>
              <w:t>Se definió script de orquestación temporal y se planificó watcher para ingestión automática.</w:t>
            </w:r>
          </w:p>
        </w:tc>
      </w:tr>
    </w:tbl>
    <w:p w14:paraId="2D7A7A0C" w14:textId="77777777" w:rsidR="00737A35" w:rsidRDefault="00737A35" w:rsidP="0003309E">
      <w:pPr>
        <w:rPr>
          <w:rFonts w:cs="Calibri Light"/>
          <w:color w:val="595959" w:themeColor="text1" w:themeTint="A6"/>
          <w:sz w:val="24"/>
          <w:szCs w:val="24"/>
          <w:lang w:val="es-ES"/>
        </w:rPr>
      </w:pPr>
    </w:p>
    <w:p w14:paraId="421E7B85" w14:textId="77777777" w:rsidR="00737A35" w:rsidRDefault="00737A35"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150EF8C6"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29A65730" w14:textId="2C4B4702" w:rsidR="00737A35" w:rsidRPr="00737A35" w:rsidRDefault="0003309E" w:rsidP="00737A35">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737A35" w:rsidRPr="00737A35">
              <w:rPr>
                <w:rFonts w:ascii="Calibri" w:hAnsi="Calibri" w:cs="Arial"/>
                <w:i/>
                <w:iCs/>
                <w:color w:val="548DD4"/>
                <w:sz w:val="20"/>
                <w:szCs w:val="20"/>
                <w:lang w:eastAsia="es-CL"/>
              </w:rPr>
              <w:t xml:space="preserve">Entre los principales facilitadores se encuentran la buena </w:t>
            </w:r>
            <w:r w:rsidR="00737A35">
              <w:rPr>
                <w:rFonts w:ascii="Calibri" w:hAnsi="Calibri" w:cs="Arial"/>
                <w:i/>
                <w:iCs/>
                <w:color w:val="548DD4"/>
                <w:sz w:val="20"/>
                <w:szCs w:val="20"/>
                <w:lang w:eastAsia="es-CL"/>
              </w:rPr>
              <w:t>disposición</w:t>
            </w:r>
            <w:r w:rsidR="00737A35" w:rsidRPr="00737A35">
              <w:rPr>
                <w:rFonts w:ascii="Calibri" w:hAnsi="Calibri" w:cs="Arial"/>
                <w:i/>
                <w:iCs/>
                <w:color w:val="548DD4"/>
                <w:sz w:val="20"/>
                <w:szCs w:val="20"/>
                <w:lang w:eastAsia="es-CL"/>
              </w:rPr>
              <w:t xml:space="preserve"> del equipo, el dominio de herramientas como pydicom y React, </w:t>
            </w:r>
            <w:r w:rsidR="00737A35">
              <w:rPr>
                <w:rFonts w:ascii="Calibri" w:hAnsi="Calibri" w:cs="Arial"/>
                <w:i/>
                <w:iCs/>
                <w:color w:val="548DD4"/>
                <w:sz w:val="20"/>
                <w:szCs w:val="20"/>
                <w:lang w:eastAsia="es-CL"/>
              </w:rPr>
              <w:t>y el interés por llevar a cabo el proyecto</w:t>
            </w:r>
            <w:r w:rsidR="00737A35" w:rsidRPr="00737A35">
              <w:rPr>
                <w:rFonts w:ascii="Calibri" w:hAnsi="Calibri" w:cs="Arial"/>
                <w:i/>
                <w:iCs/>
                <w:color w:val="548DD4"/>
                <w:sz w:val="20"/>
                <w:szCs w:val="20"/>
                <w:lang w:eastAsia="es-CL"/>
              </w:rPr>
              <w:t>.</w:t>
            </w:r>
          </w:p>
          <w:p w14:paraId="55313032" w14:textId="134AF409" w:rsidR="0003309E" w:rsidRPr="00737A35" w:rsidRDefault="00737A35" w:rsidP="00C5122E">
            <w:pPr>
              <w:jc w:val="both"/>
              <w:rPr>
                <w:rFonts w:ascii="Calibri" w:hAnsi="Calibri" w:cs="Arial"/>
                <w:i/>
                <w:iCs/>
                <w:color w:val="548DD4"/>
                <w:sz w:val="20"/>
                <w:szCs w:val="20"/>
                <w:lang w:eastAsia="es-CL"/>
              </w:rPr>
            </w:pPr>
            <w:r w:rsidRPr="00737A35">
              <w:rPr>
                <w:rFonts w:ascii="Calibri" w:hAnsi="Calibri" w:cs="Arial"/>
                <w:i/>
                <w:iCs/>
                <w:color w:val="548DD4"/>
                <w:sz w:val="20"/>
                <w:szCs w:val="20"/>
                <w:lang w:eastAsia="es-CL"/>
              </w:rPr>
              <w:t>Las principales dificultades han estado relacionadas con la precisión del modelo y la integración completa entre Orthanc y la API, ya que las pruebas locales requieren ajustes técnicos constantes. Para enfrentarlo, se optó por simplificar los flujos, priorizando la integración visual y funcional antes de avanzar a la automatización total.</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3B4EBD17" w14:textId="3B1E45CB" w:rsidR="0003309E" w:rsidRPr="00711C16"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737A35" w:rsidRPr="00737A35">
              <w:rPr>
                <w:rFonts w:ascii="Calibri" w:hAnsi="Calibri" w:cs="Arial"/>
                <w:i/>
                <w:color w:val="548DD4"/>
                <w:sz w:val="20"/>
                <w:szCs w:val="20"/>
                <w:lang w:eastAsia="es-CL"/>
              </w:rPr>
              <w:t>Se ajustó el alcance de la etapa de modelado, enfocando los esfuerzos en lograr una conexión funcional entre los módulos antes de optimizar la precisión del modelo. También se modificó el orden de las tareas: la conexión directa con Orthanc se trasladó a la siguiente fase para garantizar estabilidad en las pruebas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5D8D4132" w14:textId="252293BF" w:rsidR="00FD5149" w:rsidRPr="00CD38BD"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737A35" w:rsidRPr="00737A35">
              <w:rPr>
                <w:rFonts w:ascii="Calibri" w:hAnsi="Calibri" w:cs="Arial"/>
                <w:i/>
                <w:color w:val="548DD4"/>
                <w:sz w:val="20"/>
                <w:szCs w:val="20"/>
                <w:lang w:eastAsia="es-CL"/>
              </w:rPr>
              <w:t>La implementación de la base de datos en PostgreSQL se mantiene pendiente debido a que las pruebas actuales funcionan con almacenamiento local. Este cambio fue necesario para evitar interrupciones en las pruebas del servidor. Se planificó realizar esta integración en paralelo con las pruebas de automatización durante el último mes del proyecto.</w:t>
            </w: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8CA7A" w14:textId="77777777" w:rsidR="009E5B65" w:rsidRDefault="009E5B65" w:rsidP="0003309E">
      <w:pPr>
        <w:spacing w:after="0" w:line="240" w:lineRule="auto"/>
      </w:pPr>
      <w:r>
        <w:separator/>
      </w:r>
    </w:p>
  </w:endnote>
  <w:endnote w:type="continuationSeparator" w:id="0">
    <w:p w14:paraId="563ADE26" w14:textId="77777777" w:rsidR="009E5B65" w:rsidRDefault="009E5B65"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A786F" w14:textId="77777777" w:rsidR="009E5B65" w:rsidRDefault="009E5B65" w:rsidP="0003309E">
      <w:pPr>
        <w:spacing w:after="0" w:line="240" w:lineRule="auto"/>
      </w:pPr>
      <w:r>
        <w:separator/>
      </w:r>
    </w:p>
  </w:footnote>
  <w:footnote w:type="continuationSeparator" w:id="0">
    <w:p w14:paraId="43A3ADCB" w14:textId="77777777" w:rsidR="009E5B65" w:rsidRDefault="009E5B65"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17F20D8"/>
    <w:multiLevelType w:val="hybridMultilevel"/>
    <w:tmpl w:val="8FBA61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698D0399"/>
    <w:multiLevelType w:val="hybridMultilevel"/>
    <w:tmpl w:val="6E18EA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59971133">
    <w:abstractNumId w:val="0"/>
  </w:num>
  <w:num w:numId="2" w16cid:durableId="727730813">
    <w:abstractNumId w:val="2"/>
  </w:num>
  <w:num w:numId="3" w16cid:durableId="751583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94E0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37A35"/>
    <w:rsid w:val="00806DE0"/>
    <w:rsid w:val="0081536B"/>
    <w:rsid w:val="008479F5"/>
    <w:rsid w:val="0085275A"/>
    <w:rsid w:val="008F621F"/>
    <w:rsid w:val="009378F7"/>
    <w:rsid w:val="009552E5"/>
    <w:rsid w:val="00976ABB"/>
    <w:rsid w:val="009E52DF"/>
    <w:rsid w:val="009E5B65"/>
    <w:rsid w:val="00B31361"/>
    <w:rsid w:val="00B4258F"/>
    <w:rsid w:val="00B8164D"/>
    <w:rsid w:val="00BE1024"/>
    <w:rsid w:val="00C20F3D"/>
    <w:rsid w:val="00C44557"/>
    <w:rsid w:val="00C5122E"/>
    <w:rsid w:val="00CE0AA8"/>
    <w:rsid w:val="00D250E0"/>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D250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1110</Words>
  <Characters>6200</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DIEGO . CASTANEDA MUNOZ</cp:lastModifiedBy>
  <cp:revision>5</cp:revision>
  <dcterms:created xsi:type="dcterms:W3CDTF">2022-08-24T18:14:00Z</dcterms:created>
  <dcterms:modified xsi:type="dcterms:W3CDTF">2025-10-17T20:19:00Z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