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1FBE89">
      <w:pPr>
        <w:pStyle w:val="style0"/>
        <w:rPr>
          <w:rFonts w:ascii="Times New Roman" w:cs="Times New Roman" w:hAnsi="Times New Roman"/>
          <w:b/>
          <w:bCs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bCs/>
          <w:sz w:val="36"/>
          <w:szCs w:val="36"/>
          <w:u w:val="single"/>
        </w:rPr>
        <w:t xml:space="preserve">TASK </w:t>
      </w:r>
      <w:r>
        <w:rPr>
          <w:rFonts w:ascii="Times New Roman" w:cs="Times New Roman" w:hAnsi="Times New Roman"/>
          <w:b/>
          <w:bCs/>
          <w:sz w:val="36"/>
          <w:szCs w:val="36"/>
          <w:u w:val="single"/>
        </w:rPr>
        <w:t>3</w:t>
      </w:r>
      <w:r>
        <w:rPr>
          <w:rFonts w:ascii="Times New Roman" w:cs="Times New Roman" w:hAnsi="Times New Roman"/>
          <w:b/>
          <w:bCs/>
          <w:sz w:val="36"/>
          <w:szCs w:val="36"/>
          <w:u w:val="single"/>
        </w:rPr>
        <w:t xml:space="preserve"> – CAUSALITY ASSESSMENT</w:t>
      </w:r>
    </w:p>
    <w:p w14:paraId="0464654F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Task Overview</w:t>
      </w:r>
    </w:p>
    <w:p w14:paraId="6F334C2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task focused on Causality Assessment, where a suspected relationship between a medicine and an adverse reaction was evaluated using standard pharmacovigilance approaches.</w:t>
      </w:r>
    </w:p>
    <w:p w14:paraId="5604AE56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Case Summary</w:t>
      </w:r>
    </w:p>
    <w:p w14:paraId="74CF2E0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case involved a 32-year-old male patient weighing 65 kg, diagnosed with Acute Bacterial Sinusitis. The patient was prescribed Amoxicillin 500 mg orally, TID.</w:t>
      </w:r>
    </w:p>
    <w:p w14:paraId="4B24BCF2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patient started Amoxicillin on 1 March 2026. On 3 March 2026, he developed </w:t>
      </w:r>
      <w:r>
        <w:rPr>
          <w:rFonts w:ascii="Times New Roman" w:cs="Times New Roman" w:hAnsi="Times New Roman"/>
        </w:rPr>
        <w:t>generalised</w:t>
      </w:r>
      <w:r>
        <w:rPr>
          <w:rFonts w:ascii="Times New Roman" w:cs="Times New Roman" w:hAnsi="Times New Roman"/>
        </w:rPr>
        <w:t xml:space="preserve"> itching and skin rashes over the chest. The suspected drug was stopped on the same day, and the patient was treated with antihistamines. He recovered completely by 6 March 2026.</w:t>
      </w:r>
    </w:p>
    <w:p w14:paraId="5B716EFF">
      <w:pPr>
        <w:pStyle w:val="style0"/>
        <w:rPr>
          <w:rFonts w:ascii="Times New Roman" w:cs="Times New Roman" w:hAnsi="Times New Roman"/>
        </w:rPr>
      </w:pPr>
    </w:p>
    <w:p w14:paraId="29BC19BC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Causality Assessment</w:t>
      </w:r>
    </w:p>
    <w:p w14:paraId="6A133017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case was assessed to understand whether the reported reaction was associated with the suspected medication.</w:t>
      </w:r>
    </w:p>
    <w:p w14:paraId="7D28E421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The assessment considered important factors such as:</w:t>
      </w:r>
    </w:p>
    <w:p w14:paraId="24C4B6E8">
      <w:pPr>
        <w:pStyle w:val="style0"/>
        <w:rPr>
          <w:rFonts w:ascii="Times New Roman" w:cs="Times New Roman" w:hAnsi="Times New Roman"/>
        </w:rPr>
      </w:pPr>
    </w:p>
    <w:p w14:paraId="6E1BD485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Temporal relationship between drug administration and the reaction</w:t>
      </w:r>
    </w:p>
    <w:p w14:paraId="027884B5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Appearance of the reaction after administration of the suspected drug</w:t>
      </w:r>
    </w:p>
    <w:p w14:paraId="49AAC052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Improvement after discontinuation of the drug (</w:t>
      </w:r>
      <w:r>
        <w:rPr>
          <w:rFonts w:ascii="Times New Roman" w:cs="Times New Roman" w:hAnsi="Times New Roman"/>
        </w:rPr>
        <w:t>dechallenge</w:t>
      </w:r>
      <w:r>
        <w:rPr>
          <w:rFonts w:ascii="Times New Roman" w:cs="Times New Roman" w:hAnsi="Times New Roman"/>
        </w:rPr>
        <w:t>)</w:t>
      </w:r>
    </w:p>
    <w:p w14:paraId="56299F12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Reappearance of the reaction after re-administration (rechallenge)</w:t>
      </w:r>
    </w:p>
    <w:p w14:paraId="441AE58F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Possible alternative causes</w:t>
      </w:r>
    </w:p>
    <w:p w14:paraId="3F0F4FC2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Previous reports of similar reactions</w:t>
      </w:r>
    </w:p>
    <w:p w14:paraId="73A8389D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Dose-response relationship</w:t>
      </w:r>
    </w:p>
    <w:p w14:paraId="1790C8E9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evidence supporting the reaction</w:t>
      </w:r>
    </w:p>
    <w:p w14:paraId="28785F73">
      <w:pPr>
        <w:pStyle w:val="style0"/>
        <w:rPr>
          <w:rFonts w:ascii="Times New Roman" w:cs="Times New Roman" w:hAnsi="Times New Roman"/>
        </w:rPr>
      </w:pPr>
    </w:p>
    <w:p w14:paraId="2CF27939">
      <w:pPr>
        <w:pStyle w:val="style0"/>
        <w:rPr>
          <w:rFonts w:ascii="Times New Roman" w:cs="Times New Roman" w:hAnsi="Times New Roman"/>
        </w:rPr>
      </w:pPr>
    </w:p>
    <w:p w14:paraId="6D214D41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Naranjo ADR Probability Scale</w:t>
      </w:r>
    </w:p>
    <w:p w14:paraId="78011CB7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task introduced the Naranjo Adverse Drug Reaction Probability Scale, which is used to assess the probability that an adverse reaction is related to a suspected drug.</w:t>
      </w:r>
    </w:p>
    <w:p w14:paraId="7FCE76CB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The scale considers questions related to:</w:t>
      </w:r>
    </w:p>
    <w:p w14:paraId="45107864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Previous conclusive reports</w:t>
      </w:r>
    </w:p>
    <w:p w14:paraId="7E2CF3CD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Temporal association</w:t>
      </w:r>
    </w:p>
    <w:p w14:paraId="0518C0E0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Dechallenge</w:t>
      </w:r>
    </w:p>
    <w:p w14:paraId="61DAF2FE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Rechallenge</w:t>
      </w:r>
    </w:p>
    <w:p w14:paraId="13DE02B3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Alternative causes</w:t>
      </w:r>
    </w:p>
    <w:p w14:paraId="579EEA36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Placebo response</w:t>
      </w:r>
    </w:p>
    <w:p w14:paraId="44B0E287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Drug concentration</w:t>
      </w:r>
    </w:p>
    <w:p w14:paraId="0031A4F2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Dose-response relationship</w:t>
      </w:r>
    </w:p>
    <w:p w14:paraId="68E83526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Previous similar reactions</w:t>
      </w:r>
    </w:p>
    <w:p w14:paraId="252CE0EA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evidence</w:t>
      </w:r>
    </w:p>
    <w:p w14:paraId="45BD2EAC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resulting score can be used to classify the suspected relationship as Definite, Probable, Possible, or Doubtful.</w:t>
      </w:r>
    </w:p>
    <w:p w14:paraId="05B46922">
      <w:pPr>
        <w:pStyle w:val="style0"/>
        <w:rPr>
          <w:rFonts w:ascii="Times New Roman" w:cs="Times New Roman" w:hAnsi="Times New Roman"/>
        </w:rPr>
      </w:pPr>
    </w:p>
    <w:p w14:paraId="7531FF5C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WHO-UMC Causality Assessment</w:t>
      </w:r>
    </w:p>
    <w:p w14:paraId="1A1E6D9A">
      <w:pPr>
        <w:pStyle w:val="style0"/>
        <w:rPr>
          <w:rFonts w:ascii="Times New Roman" w:cs="Times New Roman" w:hAnsi="Times New Roman"/>
        </w:rPr>
      </w:pPr>
    </w:p>
    <w:p w14:paraId="12DD5715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task also introduced the WHO-UMC causality assessment approach for evaluating the relationship between a medicine and an adverse reaction.</w:t>
      </w:r>
    </w:p>
    <w:p w14:paraId="6B0A4D1E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helped demonstrate that causality assessment involves considering the timing of the reaction, response after withdrawal, alternative explanations and other available clinical information rather than relying on a single factor.</w:t>
      </w:r>
    </w:p>
    <w:p w14:paraId="203B65F5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Adverse Event vs Adverse Drug Reaction</w:t>
      </w:r>
    </w:p>
    <w:p w14:paraId="55722A50"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task also covered the distinction between an Adverse Event (AE) and an Adverse Drug Reaction (ADR).</w:t>
      </w:r>
    </w:p>
    <w:p w14:paraId="759BCB51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 adverse event is an unwanted medical occurrence following the use of a medicine, while an adverse drug reaction involves a suspected relationship with the medicinal product.</w:t>
      </w:r>
    </w:p>
    <w:p w14:paraId="10F8D640">
      <w:pPr>
        <w:pStyle w:val="style0"/>
        <w:rPr>
          <w:rFonts w:ascii="Times New Roman" w:cs="Times New Roman" w:hAnsi="Times New Roman"/>
        </w:rPr>
      </w:pPr>
    </w:p>
    <w:p w14:paraId="5758EB3A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Key Learning Outcomes</w:t>
      </w:r>
    </w:p>
    <w:p w14:paraId="344FBB7F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Through this task, I learned how to:</w:t>
      </w:r>
    </w:p>
    <w:p w14:paraId="26B8EE47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Assess the temporal relationship between a drug and an adverse reaction.</w:t>
      </w:r>
    </w:p>
    <w:p w14:paraId="6D4A405F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Understand the importance of </w:t>
      </w:r>
      <w:r>
        <w:rPr>
          <w:rFonts w:ascii="Times New Roman" w:cs="Times New Roman" w:hAnsi="Times New Roman"/>
        </w:rPr>
        <w:t>dechallenge</w:t>
      </w:r>
      <w:r>
        <w:rPr>
          <w:rFonts w:ascii="Times New Roman" w:cs="Times New Roman" w:hAnsi="Times New Roman"/>
        </w:rPr>
        <w:t xml:space="preserve"> and rechallenge.</w:t>
      </w:r>
    </w:p>
    <w:p w14:paraId="5B53FA56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Identify possible alternative causes.</w:t>
      </w:r>
    </w:p>
    <w:p w14:paraId="00B981A4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Apply the Naranjo ADR Probability Scale.</w:t>
      </w:r>
    </w:p>
    <w:p w14:paraId="43D36C99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Understand the WHO-UMC causality assessment approach.</w:t>
      </w:r>
    </w:p>
    <w:p w14:paraId="20F9FB08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Differentiate an adverse event from an adverse drug reaction.</w:t>
      </w:r>
    </w:p>
    <w:p w14:paraId="396DA4EB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Understand how causality assessment supports pharmacovigilance and patient safety.</w:t>
      </w:r>
    </w:p>
    <w:p w14:paraId="00F3548C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Document and evaluate suspected ADR information systematically.</w:t>
      </w:r>
    </w:p>
    <w:p w14:paraId="11FF2A79">
      <w:pPr>
        <w:pStyle w:val="style0"/>
        <w:rPr>
          <w:rFonts w:ascii="Times New Roman" w:cs="Times New Roman" w:hAnsi="Times New Roman"/>
        </w:rPr>
      </w:pPr>
    </w:p>
    <w:p w14:paraId="60A52D61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Conclusion</w:t>
      </w:r>
    </w:p>
    <w:p w14:paraId="20834917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This task provided practical exposure to causality assessment in pharmacovigilance. By working through the Amoxicillin case, I understood how clinical information such as timing, </w:t>
      </w:r>
      <w:r>
        <w:rPr>
          <w:rFonts w:ascii="Times New Roman" w:cs="Times New Roman" w:hAnsi="Times New Roman"/>
        </w:rPr>
        <w:t>dechallenge</w:t>
      </w:r>
      <w:r>
        <w:rPr>
          <w:rFonts w:ascii="Times New Roman" w:cs="Times New Roman" w:hAnsi="Times New Roman"/>
        </w:rPr>
        <w:t>, rechallenge and alternative causes is considered when evaluating a suspected drug–reaction relationship. The activity helped me understand the practical application of causality assessment methods in promoting patient safety and rational pharmacovigilance reporting.</w:t>
      </w:r>
    </w:p>
    <w:p w14:paraId="63FB71FA">
      <w:pPr>
        <w:pStyle w:val="style0"/>
        <w:rPr>
          <w:rFonts w:ascii="Times New Roman" w:cs="Times New Roman" w:hAnsi="Times New Roman"/>
        </w:rPr>
      </w:pPr>
    </w:p>
    <w:p w14:paraId="17184C6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Name: </w:t>
      </w:r>
      <w:r>
        <w:rPr>
          <w:rFonts w:ascii="Times New Roman" w:cs="Times New Roman" w:hAnsi="Times New Roman"/>
        </w:rPr>
        <w:t>Rakshita Chauhan</w:t>
      </w:r>
    </w:p>
    <w:p w14:paraId="1A38D16F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Course: </w:t>
      </w:r>
      <w:r>
        <w:rPr>
          <w:rFonts w:ascii="Times New Roman" w:cs="Times New Roman" w:hAnsi="Times New Roman"/>
        </w:rPr>
        <w:t>B.Pharm</w:t>
      </w:r>
    </w:p>
    <w:p w14:paraId="10C74F0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Internship Domain: Pharmacovigilance</w:t>
      </w:r>
    </w:p>
    <w:p w14:paraId="492F0F1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Task: Task </w:t>
      </w:r>
      <w:r>
        <w:rPr>
          <w:rFonts w:ascii="Times New Roman" w:cs="Times New Roman" w:hAnsi="Times New Roman"/>
        </w:rPr>
        <w:t>3</w:t>
      </w:r>
      <w:r>
        <w:rPr>
          <w:rFonts w:ascii="Times New Roman" w:cs="Times New Roman" w:hAnsi="Times New Roman"/>
        </w:rPr>
        <w:t xml:space="preserve"> – </w:t>
      </w:r>
      <w:r>
        <w:rPr>
          <w:rFonts w:ascii="Times New Roman" w:cs="Times New Roman" w:hAnsi="Times New Roman"/>
        </w:rPr>
        <w:t>Causality Assessment</w:t>
      </w:r>
    </w:p>
    <w:p w14:paraId="66AD07F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Organisation</w:t>
      </w:r>
      <w:r>
        <w:rPr>
          <w:rFonts w:ascii="Times New Roman" w:cs="Times New Roman" w:hAnsi="Times New Roman"/>
        </w:rPr>
        <w:t>: VirtualWorks Lab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BC25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1D8F0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D0A8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09CC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95E23D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13086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2EE4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523db03-2274-4c7b-b6ed-d5771e621a0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d8e4be8a-f5fa-404e-bbfd-0a36a2d00a78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290a453f-f995-4be4-952d-7ae30455f6e1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394e2d35-a172-46cf-8ac2-1c7d7f9278c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34a0ab62-51c8-44ce-86e1-ea5b9ae08b68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333c88dc-54d3-4b73-9043-611e1e720d6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52b005f-1753-4dc7-ab5c-0ebd63c6796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a76fa89-2982-4f84-a4d6-367030fe70e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63f2d71-a0df-4d79-b37c-0a96b875bc8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d2b672a3-cab5-48a3-9058-e0ec0183530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e184f72-7512-4c52-86b0-a3788731196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9f52389-3056-42f9-8888-66286c644fd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494</Words>
  <Pages>3</Pages>
  <Characters>3185</Characters>
  <Application>WPS Office</Application>
  <DocSecurity>0</DocSecurity>
  <Paragraphs>63</Paragraphs>
  <ScaleCrop>false</ScaleCrop>
  <LinksUpToDate>false</LinksUpToDate>
  <CharactersWithSpaces>3625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2026-10-11T04:43:00Z</dcterms:created>
  <dc:creator>Linkan swain</dc:creator>
  <lastModifiedBy>SM-E166P</lastModifiedBy>
  <dcterms:modified xsi:type="dcterms:W3CDTF">2026-10-11T05:50:11Z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f15e137c-8612-4872-b140-5c1bf012a96f</vt:lpwstr>
  </property>
  <property fmtid="{D5CDD505-2E9C-101B-9397-08002B2CF9AE}" pid="3" name="ICV">
    <vt:lpwstr>870c64d1168b468e84cba26ef4c1a326_23</vt:lpwstr>
  </property>
</Properties>
</file>