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The Boeing Company (BA)</w:t>
            </w:r>
          </w:p>
        </w:tc>
        <w:tc>
          <w:tcPr>
            <w:tcW w:type="dxa" w:w="4680"/>
            <w:tcBorders>
              <w:top w:val="none"/>
              <w:left w:val="none"/>
              <w:bottom w:val="none"/>
              <w:right w:val="none"/>
            </w:tcBorders>
            <w:shd w:fill="1B3A5C" w:val="clear"/>
            <w:tcMar>
              <w:top w:type="dxa" w:w="80"/>
              <w:left w:type="dxa" w:w="120"/>
              <w:bottom w:type="dxa" w:w="80"/>
              <w:right w:type="dxa" w:w="120"/>
            </w:tcMar>
          </w:tcPr>
          <w:p>
            <w:pPr>
              <w:jc w:val="right"/>
            </w:pPr>
            <w:r>
              <w:rPr>
                <w:rFonts w:ascii="Arial" w:cs="Arial" w:eastAsia="Arial" w:hAnsi="Arial"/>
                <w:b/>
                <w:bCs/>
                <w:color w:val="FFFFFF"/>
                <w:sz w:val="28"/>
                <w:szCs w:val="28"/>
              </w:rPr>
              <w:t xml:space="preserve">Tone &amp; Sentiment Analysis | Q1–Q4 2025</w:t>
            </w:r>
          </w:p>
        </w:tc>
      </w:tr>
    </w:tbl>
    <w:p>
      <w:pPr>
        <w:spacing w:after="120" w:before="120"/>
      </w:pPr>
      <w:r>
        <w:t xml:space="preserve"/>
      </w:r>
    </w:p>
    <w:p>
      <w:pPr>
        <w:pBdr>
          <w:bottom w:val="single" w:color="1B3A5C" w:sz="12"/>
        </w:pBdr>
        <w:spacing w:after="60" w:before="120"/>
      </w:pPr>
      <w:r>
        <w:rPr>
          <w:rFonts w:ascii="Arial" w:cs="Arial" w:eastAsia="Arial" w:hAnsi="Arial"/>
          <w:b/>
          <w:bCs/>
          <w:color w:val="1B3A5C"/>
          <w:sz w:val="20"/>
          <w:szCs w:val="20"/>
        </w:rPr>
        <w:t xml:space="preserve">OVERALL TONE ARC</w:t>
      </w:r>
    </w:p>
    <w:p>
      <w:pPr>
        <w:spacing w:after="60" w:before="60"/>
      </w:pPr>
      <w:r>
        <w:rPr>
          <w:rFonts w:ascii="Arial" w:cs="Arial" w:eastAsia="Arial" w:hAnsi="Arial"/>
          <w:b w:val="false"/>
          <w:bCs w:val="false"/>
          <w:color w:val="333333"/>
          <w:sz w:val="18"/>
          <w:szCs w:val="18"/>
        </w:rPr>
        <w:t xml:space="preserve">Boeing management entered 2025 with pronounced confidence—delivering strong Q1 results and emphasizing recovery momentum. However, this confidence steadily eroded through Q2-Q3 as the 777X program faced mounting certification delays and cost overruns, with a $4.9B charge in Q3 marking the inflection point. CEO Kelly Ortberg's language shifted from active, direct commitments in Q1 ("we will deliver") to increasingly hedged, conditional phrasing by Q3 ("assuming certification timelines," "subject to FAA requirements"). Q4 2025 showed a partial recovery in tone—management signaled renewed conviction around cost discipline and long-term cash generation—but with lingering caution about near-term commerci­al aircraft dynamics. The overall arc: early-cycle confidence → mid-cycle adversity with defensive repositioning → late-cycle stabilization with tempered optimism.</w:t>
      </w:r>
    </w:p>
    <w:p>
      <w:pPr>
        <w:spacing w:after="60" w:before="60"/>
      </w:pPr>
      <w:r>
        <w:t xml:space="preserve"/>
      </w:r>
    </w:p>
    <w:p>
      <w:pPr>
        <w:pBdr>
          <w:bottom w:val="single" w:color="1B3A5C" w:sz="12"/>
        </w:pBdr>
        <w:spacing w:after="60" w:before="120"/>
      </w:pPr>
      <w:r>
        <w:rPr>
          <w:rFonts w:ascii="Arial" w:cs="Arial" w:eastAsia="Arial" w:hAnsi="Arial"/>
          <w:b/>
          <w:bCs/>
          <w:color w:val="1B3A5C"/>
          <w:sz w:val="20"/>
          <w:szCs w:val="20"/>
        </w:rPr>
        <w:t xml:space="preserve">CONFIDENCE TREND</w:t>
      </w:r>
    </w:p>
    <w:p>
      <w:pPr>
        <w:spacing w:after="60" w:before="60"/>
      </w:pPr>
      <w:r>
        <w:rPr>
          <w:rFonts w:ascii="Arial" w:cs="Arial" w:eastAsia="Arial" w:hAnsi="Arial"/>
          <w:b w:val="false"/>
          <w:bCs w:val="false"/>
          <w:color w:val="333333"/>
          <w:sz w:val="18"/>
          <w:szCs w:val="18"/>
        </w:rPr>
        <w:t xml:space="preserve">Quarter-by-quarter confidence assessment based on ratio of conviction language ("will," "committed," "expect") to hedge markers ("anticipate," "working toward," "assuming"):</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Quarter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Confidence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Key Evidence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Q1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6"/>
                <w:szCs w:val="16"/>
              </w:rPr>
              <w:t xml:space="preserv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Deliveries beat expectations; CEO emphasized "strong recovery" and confidence in 2025 trajectory.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Q2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6"/>
                <w:szCs w:val="16"/>
              </w:rPr>
              <w:t xml:space="preserv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Revenue beat; major order announcement. Language shifted to "working toward" certifications; increasing hedge language on near-term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Q3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16"/>
                <w:szCs w:val="16"/>
              </w:rPr>
              <w:t xml:space="preserv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$4.9B 777X charge; delayed 777-9 delivery to 2027. Tone became defensive; CFO used conditional language extensively.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Q4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6"/>
                <w:szCs w:val="16"/>
              </w:rPr>
              <w:t xml:space="preserv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Record revenue ($23.9B) and strong backlog. Cautiously optimistic language returned; CEO signaled 2026 cash flow targets.</w:t>
            </w:r>
          </w:p>
        </w:tc>
      </w:tr>
    </w:tbl>
    <w:p>
      <w:pPr>
        <w:spacing w:after="60" w:before="120"/>
      </w:pPr>
      <w:r>
        <w:t xml:space="preserve"/>
      </w:r>
    </w:p>
    <w:p>
      <w:pPr>
        <w:pBdr>
          <w:bottom w:val="single" w:color="1B3A5C" w:sz="12"/>
        </w:pBdr>
        <w:spacing w:after="60" w:before="120"/>
      </w:pPr>
      <w:r>
        <w:rPr>
          <w:rFonts w:ascii="Arial" w:cs="Arial" w:eastAsia="Arial" w:hAnsi="Arial"/>
          <w:b/>
          <w:bCs/>
          <w:color w:val="1B3A5C"/>
          <w:sz w:val="20"/>
          <w:szCs w:val="20"/>
        </w:rPr>
        <w:t xml:space="preserve">SPECIFICITY TREND</w:t>
      </w:r>
    </w:p>
    <w:p>
      <w:pPr>
        <w:spacing w:after="60" w:before="60"/>
      </w:pPr>
      <w:r>
        <w:rPr>
          <w:rFonts w:ascii="Arial" w:cs="Arial" w:eastAsia="Arial" w:hAnsi="Arial"/>
          <w:b w:val="false"/>
          <w:bCs w:val="false"/>
          <w:color w:val="333333"/>
          <w:sz w:val="18"/>
          <w:szCs w:val="18"/>
        </w:rPr>
        <w:t xml:space="preserve">Management's precision in forward guidance degrades when facing uncertainty. Scores range from 1 (vague, indefinite) to 3 (exact numbers, named timelines). A decline from 2.8 → 2.1 over two quarters is a material signal of reduced confidence in near-term visibility.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Quarter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Specificity</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Pattern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Q1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6"/>
                <w:szCs w:val="16"/>
              </w:rPr>
              <w:t xml:space="preserve">High (2.8)</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Specific numbers: "130 airplanes delivered"; "18% YoY growth"; quantified free cash 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Q2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6"/>
                <w:szCs w:val="16"/>
              </w:rPr>
              <w:t xml:space="preserve">High (2.7)</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"150 commercial jets"; $22.7B revenue; 210-aircraft order. But: certification timelines shifted to "2026".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Q3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F57F17"/>
                <w:sz w:val="16"/>
                <w:szCs w:val="16"/>
              </w:rPr>
              <w:t xml:space="preserve">Medium (2.1)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Degraded specificity. "777X timeline now 2027" (moved 1 year); $4.9B charge but limited detail on future costs.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Q4 2025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6"/>
                <w:szCs w:val="16"/>
              </w:rPr>
              <w:t xml:space="preserve">High (2.6)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Recovered specificity. "$23.9B Q4 revenue"; "600 deliveries in 2025"; FCF target "$1-3B" for 2026.</w:t>
            </w:r>
          </w:p>
        </w:tc>
      </w:tr>
    </w:tbl>
    <w:p>
      <w:pPr>
        <w:spacing w:after="60" w:before="120"/>
      </w:pPr>
      <w:r>
        <w:t xml:space="preserve"/>
      </w:r>
    </w:p>
    <w:p>
      <w:pPr>
        <w:pBdr>
          <w:bottom w:val="single" w:color="1B3A5C" w:sz="12"/>
        </w:pBdr>
        <w:spacing w:after="60" w:before="120"/>
      </w:pPr>
      <w:r>
        <w:rPr>
          <w:rFonts w:ascii="Arial" w:cs="Arial" w:eastAsia="Arial" w:hAnsi="Arial"/>
          <w:b/>
          <w:bCs/>
          <w:color w:val="1B3A5C"/>
          <w:sz w:val="20"/>
          <w:szCs w:val="20"/>
        </w:rPr>
        <w:t xml:space="preserve">TOPIC MAP</w:t>
      </w:r>
    </w:p>
    <w:p>
      <w:pPr>
        <w:spacing w:after="60" w:before="60"/>
      </w:pPr>
      <w:r>
        <w:rPr>
          <w:rFonts w:ascii="Arial" w:cs="Arial" w:eastAsia="Arial" w:hAnsi="Arial"/>
          <w:b w:val="false"/>
          <w:bCs w:val="false"/>
          <w:color w:val="333333"/>
          <w:sz w:val="18"/>
          <w:szCs w:val="18"/>
        </w:rPr>
        <w:t xml:space="preserve">Topics that dominated prepared remarks early in the window vs. those that disappeared or re-emerged:</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Emerged / Intensified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Dropped / De-emphasized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Certification challenges (Q2-Q3): FAA requirements, unanticipated delays became central to prepared remarks.</w:t>
            </w:r>
          </w:p>
          <w:p>
            <w:pPr>
              <w:spacing w:after="0" w:before="60"/>
            </w:pPr>
            <w:r>
              <w:rPr>
                <w:rFonts w:ascii="Arial" w:cs="Arial" w:eastAsia="Arial" w:hAnsi="Arial"/>
                <w:sz w:val="16"/>
                <w:szCs w:val="16"/>
              </w:rPr>
              <w:t xml:space="preserve">Rework costs &amp; premium labor (Q3): Explicit discussion of cost inflation tied to 777X, not mentioned in Q1-Q2.</w:t>
            </w:r>
          </w:p>
          <w:p>
            <w:pPr>
              <w:spacing w:after="0" w:before="60"/>
            </w:pPr>
            <w:r>
              <w:rPr>
                <w:rFonts w:ascii="Arial" w:cs="Arial" w:eastAsia="Arial" w:hAnsi="Arial"/>
                <w:sz w:val="16"/>
                <w:szCs w:val="16"/>
              </w:rPr>
              <w:t xml:space="preserve">Defense growth (Q3-Q4): Record $76B backlog, +25% revenue. Defense framed as bright spot amid commercial challenges.</w:t>
            </w:r>
          </w:p>
          <w:p>
            <w:pPr>
              <w:spacing w:after="0" w:before="60"/>
            </w:pPr>
            <w:r>
              <w:rPr>
                <w:rFonts w:ascii="Arial" w:cs="Arial" w:eastAsia="Arial" w:hAnsi="Arial"/>
                <w:sz w:val="16"/>
                <w:szCs w:val="16"/>
              </w:rPr>
              <w:t xml:space="preserve">Free cash flow targets (Q4): CEO committed to $10B LT FCF; return to earnings power theme.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Production rate increases (Q1-Q2 optimism): In Q3, "incremental rate hikes only 5-unit steps with 6+ month gaps" signaled caution.</w:t>
            </w:r>
          </w:p>
          <w:p>
            <w:pPr>
              <w:spacing w:after="0" w:before="60"/>
            </w:pPr>
            <w:r>
              <w:rPr>
                <w:rFonts w:ascii="Arial" w:cs="Arial" w:eastAsia="Arial" w:hAnsi="Arial"/>
                <w:sz w:val="16"/>
                <w:szCs w:val="16"/>
              </w:rPr>
              <w:t xml:space="preserve">Supply chain flexibility (Q1-Q2): References to supply resilience faded after Q2, replaced with cost/labor constraints.</w:t>
            </w:r>
          </w:p>
          <w:p>
            <w:pPr>
              <w:spacing w:after="0" w:before="60"/>
            </w:pPr>
            <w:r>
              <w:rPr>
                <w:rFonts w:ascii="Arial" w:cs="Arial" w:eastAsia="Arial" w:hAnsi="Arial"/>
                <w:sz w:val="16"/>
                <w:szCs w:val="16"/>
              </w:rPr>
              <w:t xml:space="preserve">737-7/10 roadmap (Q2 prominent): Dropped from focus after 2026 delay confirmed; barely mentioned Q3-Q4.</w:t>
            </w:r>
          </w:p>
        </w:tc>
      </w:tr>
    </w:tbl>
    <w:p>
      <w:pPr>
        <w:spacing w:after="60" w:before="120"/>
      </w:pPr>
      <w:r>
        <w:t xml:space="preserve"/>
      </w:r>
    </w:p>
    <w:p>
      <w:pPr>
        <w:pBdr>
          <w:bottom w:val="single" w:color="1B3A5C" w:sz="12"/>
        </w:pBdr>
        <w:spacing w:after="60" w:before="120"/>
      </w:pPr>
      <w:r>
        <w:rPr>
          <w:rFonts w:ascii="Arial" w:cs="Arial" w:eastAsia="Arial" w:hAnsi="Arial"/>
          <w:b/>
          <w:bCs/>
          <w:color w:val="1B3A5C"/>
          <w:sz w:val="20"/>
          <w:szCs w:val="20"/>
        </w:rPr>
        <w:t xml:space="preserve">RED FLAGS &amp; GREEN FLAGS</w:t>
      </w:r>
    </w:p>
    <w:p>
      <w:pPr>
        <w:pStyle w:val="ListParagraph"/>
        <w:numPr>
          <w:ilvl w:val="0"/>
          <w:numId w:val="2"/>
        </w:numPr>
        <w:spacing w:after="60" w:before="60"/>
      </w:pPr>
      <w:r>
        <w:rPr>
          <w:rFonts w:ascii="Arial" w:cs="Arial" w:eastAsia="Arial" w:hAnsi="Arial"/>
          <w:color w:val="333333"/>
          <w:sz w:val="18"/>
          <w:szCs w:val="18"/>
        </w:rPr>
        <w:t xml:space="preserve">Red Flag — Q2 Specificity Erosion on Certification: "2026" replaced specific quarters. Language: "We remain confident certification will occur in 2026, though timing depends on FAA validation steps." Signal: CFO unwilling to commit to quarterly granularity—a leading indicator of missed milestones.</w:t>
      </w:r>
    </w:p>
    <w:p>
      <w:pPr>
        <w:pStyle w:val="ListParagraph"/>
        <w:numPr>
          <w:ilvl w:val="0"/>
          <w:numId w:val="2"/>
        </w:numPr>
        <w:spacing w:after="60" w:before="60"/>
      </w:pPr>
      <w:r>
        <w:rPr>
          <w:rFonts w:ascii="Arial" w:cs="Arial" w:eastAsia="Arial" w:hAnsi="Arial"/>
          <w:color w:val="333333"/>
          <w:sz w:val="18"/>
          <w:szCs w:val="18"/>
        </w:rPr>
        <w:t xml:space="preserve">Red Flag — Q3 Passive Voice on Costs: "Margins were impacted by 777X headwinds" vs. "We increased investments in 777X rework". Passive construction shields accountability for cost overruns—textbook defensive repositioning.</w:t>
      </w:r>
    </w:p>
    <w:p>
      <w:pPr>
        <w:pStyle w:val="ListParagraph"/>
        <w:numPr>
          <w:ilvl w:val="0"/>
          <w:numId w:val="2"/>
        </w:numPr>
        <w:spacing w:after="60" w:before="60"/>
      </w:pPr>
      <w:r>
        <w:rPr>
          <w:rFonts w:ascii="Arial" w:cs="Arial" w:eastAsia="Arial" w:hAnsi="Arial"/>
          <w:color w:val="333333"/>
          <w:sz w:val="18"/>
          <w:szCs w:val="18"/>
        </w:rPr>
        <w:t xml:space="preserve">Red Flag — Q3 Q&amp;A Avoidance: Multiple analyst questions about 777X recovery timeline met with "We're focused on achieving certification safety standards; let's not speculate on timelines." Deflection signals management lacks confidence in delivery window.</w:t>
      </w:r>
    </w:p>
    <w:p>
      <w:pPr>
        <w:pStyle w:val="ListParagraph"/>
        <w:numPr>
          <w:ilvl w:val="0"/>
          <w:numId w:val="2"/>
        </w:numPr>
        <w:spacing w:after="60" w:before="60"/>
      </w:pPr>
      <w:r>
        <w:rPr>
          <w:rFonts w:ascii="Arial" w:cs="Arial" w:eastAsia="Arial" w:hAnsi="Arial"/>
          <w:color w:val="333333"/>
          <w:sz w:val="18"/>
          <w:szCs w:val="18"/>
        </w:rPr>
        <w:t xml:space="preserve">Green Flag — Q4 Specificity Recovery &amp; Volunteer Detail: CEO unprompted provided $10B LT FCF target and quantified "not if, but when" language. Volunteering specificity is high-confidence signal. Suggests management repositioned risk narrative after Q3 stabilization.</w:t>
      </w:r>
    </w:p>
    <w:p>
      <w:pPr>
        <w:pStyle w:val="ListParagraph"/>
        <w:numPr>
          <w:ilvl w:val="0"/>
          <w:numId w:val="2"/>
        </w:numPr>
        <w:spacing w:after="60" w:before="60"/>
      </w:pPr>
      <w:r>
        <w:rPr>
          <w:rFonts w:ascii="Arial" w:cs="Arial" w:eastAsia="Arial" w:hAnsi="Arial"/>
          <w:color w:val="333333"/>
          <w:sz w:val="18"/>
          <w:szCs w:val="18"/>
        </w:rPr>
        <w:t xml:space="preserve">Green Flag — Q4 Defense Segment Dominance: Management allocated &gt;30% of prepared remarks to record $76B Defense backlog. Positive reframing to growth story (Defense) when core (Commercial) is challenged signals strategic communication discipline and genuine diversification benefit.</w:t>
      </w:r>
    </w:p>
    <w:p>
      <w:pPr>
        <w:spacing w:after="60" w:before="120"/>
      </w:pPr>
      <w:r>
        <w:t xml:space="preserve"/>
      </w:r>
    </w:p>
    <w:p>
      <w:pPr>
        <w:pBdr>
          <w:top w:val="single" w:color="1B3A5C" w:sz="6"/>
        </w:pBdr>
        <w:spacing w:after="0" w:before="120"/>
      </w:pPr>
      <w:r>
        <w:rPr>
          <w:rFonts w:ascii="Arial" w:cs="Arial" w:eastAsia="Arial" w:hAnsi="Arial"/>
          <w:color w:val="333333"/>
          <w:sz w:val="14"/>
          <w:szCs w:val="14"/>
        </w:rPr>
        <w:t xml:space="preserve">Sources: Boeing Q1 2025 Earnings Call Transcript (Apr 23, 2025); Q2 2025 (Aug 6, 2025); Q3 2025 (Oct 29, 2025); Q4 2025 (Jan 27, 2026). Transcripts sourced from The Motley Fool, Seeking Alpha, and Investing.com. Analysis focuses on prepared remarks (CEO Kelly Ortberg, CFO Jesus Malave / Brian West) and Q&amp;A defensiveness patterns. Tone framework per earnings-call-brief references/tone-analysis-framework.md.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2026-03-14T13:12:30.738Z</dcterms:created>
  <dcterms:modified xsi:type="dcterms:W3CDTF">2026-03-14T13:12:30.738Z</dcterms:modified>
</cp:coreProperties>
</file>

<file path=docProps/custom.xml><?xml version="1.0" encoding="utf-8"?>
<Properties xmlns="http://schemas.openxmlformats.org/officeDocument/2006/custom-properties" xmlns:vt="http://schemas.openxmlformats.org/officeDocument/2006/docPropsVTypes"/>
</file>