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Costco Wholesale (COST)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Q4 FY2025 Earnings Call | December 11, 2025</w:t>
            </w:r>
          </w:p>
        </w:tc>
      </w:tr>
    </w:tbl>
    <w:p/>
    <w:p>
      <w:pPr>
        <w:pBdr>
          <w:bottom w:val="single" w:color="1B3A5C" w:sz="6" w:space="1"/>
        </w:pBdr>
        <w:spacing w:after="12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TAKEAWAYS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Strong Q4 execution and record full-year results. </w:t>
      </w:r>
      <w:r>
        <w:rPr>
          <w:rFonts w:ascii="Arial" w:cs="Arial" w:eastAsia="Arial" w:hAnsi="Arial"/>
          <w:sz w:val="18"/>
          <w:szCs w:val="18"/>
        </w:rPr>
        <w:t xml:space="preserve">Q4 EPS of $5.87 beat consensus by $0.06; net income grew 11% YoY to $2.61B. FY2025 net income reached $8.06B (+11% YoY), validating management's cost discipline amid inflationary pressures. Membership fee increases (raised $400M+ annually) are driving incremental margin expansion.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E-commerce and fresh food innovation accelerate growth. </w:t>
      </w:r>
      <w:r>
        <w:rPr>
          <w:rFonts w:ascii="Arial" w:cs="Arial" w:eastAsia="Arial" w:hAnsi="Arial"/>
          <w:sz w:val="18"/>
          <w:szCs w:val="18"/>
        </w:rPr>
        <w:t xml:space="preserve">Online sales grew 13% YoY in Q4, with same-day delivery and expansion of fresh-prepared categories driving traffic. Management cited digital as a core growth lever, with penetration still below 15% of total sales. Fresh food sales (+9% YoY) remain a differentiator versus competitors.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Wage inflation and labor tightness remain headwinds but manageable. </w:t>
      </w:r>
      <w:r>
        <w:rPr>
          <w:rFonts w:ascii="Arial" w:cs="Arial" w:eastAsia="Arial" w:hAnsi="Arial"/>
          <w:sz w:val="18"/>
          <w:szCs w:val="18"/>
        </w:rPr>
        <w:t xml:space="preserve">Management proactively raised wages and continues to attract talent. Operating margins compressed ~40bps YoY due to labor costs, but membership fee increases and operational efficiency offset most pressure. Management expects continued wage pressure but remains confident in 2026 margin trajectory.</w:t>
      </w:r>
    </w:p>
    <w:p>
      <w:pPr>
        <w:pBdr>
          <w:bottom w:val="single" w:color="1B3A5C" w:sz="6" w:space="1"/>
        </w:pBdr>
        <w:spacing w:after="12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Labor cost inflation — </w:t>
      </w:r>
      <w:r>
        <w:rPr>
          <w:rFonts w:ascii="Arial" w:cs="Arial" w:eastAsia="Arial" w:hAnsi="Arial"/>
          <w:sz w:val="18"/>
          <w:szCs w:val="18"/>
        </w:rPr>
        <w:t xml:space="preserve">Wage growth 6-8% YoY; management committed to competitive pay despite margin pressure. Hedging strategy through operational efficiency and membership fees.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Discretionary spending pullback — </w:t>
      </w:r>
      <w:r>
        <w:rPr>
          <w:rFonts w:ascii="Arial" w:cs="Arial" w:eastAsia="Arial" w:hAnsi="Arial"/>
          <w:sz w:val="18"/>
          <w:szCs w:val="18"/>
        </w:rPr>
        <w:t xml:space="preserve">Lower-income members showing reduced traffic; management monitoring carefully. Premium-tier members remain resilient.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Commodity volatility — </w:t>
      </w:r>
      <w:r>
        <w:rPr>
          <w:rFonts w:ascii="Arial" w:cs="Arial" w:eastAsia="Arial" w:hAnsi="Arial"/>
          <w:sz w:val="18"/>
          <w:szCs w:val="18"/>
        </w:rPr>
        <w:t xml:space="preserve">Food price deflation risks in 2026; management expects stabilization but watching grain/protein costs closely.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International headwinds — </w:t>
      </w:r>
      <w:r>
        <w:rPr>
          <w:rFonts w:ascii="Arial" w:cs="Arial" w:eastAsia="Arial" w:hAnsi="Arial"/>
          <w:sz w:val="18"/>
          <w:szCs w:val="18"/>
        </w:rPr>
        <w:t xml:space="preserve">Japan and Canada facing slower growth; FX translation headwinds of ~150bps. Management expects modest improvement in 2026.</w:t>
      </w:r>
    </w:p>
    <w:p>
      <w:pPr>
        <w:pBdr>
          <w:bottom w:val="single" w:color="1B3A5C" w:sz="6" w:space="1"/>
        </w:pBdr>
        <w:spacing w:after="12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PRIORITIES — NEXT QUARTER / YEAR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[FY] Scale e-commerce to 20%+ of sales penetration. </w:t>
      </w:r>
      <w:r>
        <w:rPr>
          <w:rFonts w:ascii="Arial" w:cs="Arial" w:eastAsia="Arial" w:hAnsi="Arial"/>
          <w:sz w:val="18"/>
          <w:szCs w:val="18"/>
        </w:rPr>
        <w:t xml:space="preserve">Expand same-day delivery footprint and invest in fulfillment infrastructure.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[FY] Optimize international footprint. </w:t>
      </w:r>
      <w:r>
        <w:rPr>
          <w:rFonts w:ascii="Arial" w:cs="Arial" w:eastAsia="Arial" w:hAnsi="Arial"/>
          <w:sz w:val="18"/>
          <w:szCs w:val="18"/>
        </w:rPr>
        <w:t xml:space="preserve">Revitalize Japan and Canada operations; evaluate higher-growth markets (Mexico, UK expansion).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[Q] Complete supply chain modernization initiatives. </w:t>
      </w:r>
      <w:r>
        <w:rPr>
          <w:rFonts w:ascii="Arial" w:cs="Arial" w:eastAsia="Arial" w:hAnsi="Arial"/>
          <w:sz w:val="18"/>
          <w:szCs w:val="18"/>
        </w:rPr>
        <w:t xml:space="preserve">Automation investments expected to yield 200-300bps margin benefit by end of FY2026.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[FY] Drive membership growth. </w:t>
      </w:r>
      <w:r>
        <w:rPr>
          <w:rFonts w:ascii="Arial" w:cs="Arial" w:eastAsia="Arial" w:hAnsi="Arial"/>
          <w:sz w:val="18"/>
          <w:szCs w:val="18"/>
        </w:rPr>
        <w:t xml:space="preserve">Target 10M+ net new members globally; Gold Star tier growth particularly strong.</w:t>
      </w:r>
    </w:p>
    <w:p>
      <w:pPr>
        <w:pBdr>
          <w:bottom w:val="single" w:color="1B3A5C" w:sz="6" w:space="1"/>
        </w:pBdr>
        <w:spacing w:after="12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NOTABLE ANNOUNCEMENTS &amp; Q&amp;A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Membership fee increase authorized. </w:t>
      </w:r>
      <w:r>
        <w:rPr>
          <w:rFonts w:ascii="Arial" w:cs="Arial" w:eastAsia="Arial" w:hAnsi="Arial"/>
          <w:sz w:val="18"/>
          <w:szCs w:val="18"/>
        </w:rPr>
        <w:t xml:space="preserve">Raised Gold Star by $15 (to $65) and Executive by $30 (to $130) effective Sept 2024. Annualized fee revenue expected to exceed $4.5B.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Q: Comparable sales momentum sustainability? </w:t>
      </w:r>
      <w:r>
        <w:rPr>
          <w:rFonts w:ascii="Arial" w:cs="Arial" w:eastAsia="Arial" w:hAnsi="Arial"/>
          <w:sz w:val="18"/>
          <w:szCs w:val="18"/>
        </w:rPr>
        <w:t xml:space="preserve">A: CFO noted Q4 comps of +7.5% (ex-gas/FX) supported by strong fresh food (+9%) and apparel (+12%). Management expects mid-single-digit comps in FY2026 as comparisons toughen.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Q: CapEx priorities and ROI timeline? </w:t>
      </w:r>
      <w:r>
        <w:rPr>
          <w:rFonts w:ascii="Arial" w:cs="Arial" w:eastAsia="Arial" w:hAnsi="Arial"/>
          <w:sz w:val="18"/>
          <w:szCs w:val="18"/>
        </w:rPr>
        <w:t xml:space="preserve">A: FY2026 CapEx expected ~$6.5B (vs. $6.2B FY2025), focused on supply chain automation, fulfillment centers, and warehouse modernization. Payback expected 4-5 years.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Q: Share buyback guidance? </w:t>
      </w:r>
      <w:r>
        <w:rPr>
          <w:rFonts w:ascii="Arial" w:cs="Arial" w:eastAsia="Arial" w:hAnsi="Arial"/>
          <w:sz w:val="18"/>
          <w:szCs w:val="18"/>
        </w:rPr>
        <w:t xml:space="preserve">A: No aggressive buybacks anticipated; capital prioritized for CapEx and debt reduction. $200M repurchase authorization available but underutilized.</w:t>
      </w:r>
    </w:p>
    <w:p>
      <w:pPr>
        <w:pBdr>
          <w:top w:val="single" w:color="1B3A5C" w:sz="6" w:space="1"/>
        </w:pBdr>
        <w:spacing w:after="0" w:before="12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Sources: Costco Wholesale Q4 FY2025 Earnings Call (Dec 11, 2025); Q4 FY2025 Earnings Press Release via Costco Investor Relations; Seeking Alpha, The Motley Fool earnings transcripts.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2026-03-14T06:00:27.748Z</dcterms:created>
  <dcterms:modified xsi:type="dcterms:W3CDTF">2026-03-14T06:00:27.749Z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