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Salesforce Inc. (CRM)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FY2026 Earnings Brief | Feb 25, 2026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Perspective: Prospective Employee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TAKEAWAYS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1. 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Strong AI momentum and high-margin cloud growth. Einstein AI adoption accelerated in Q4, with AI-powered features generating incremental revenue lift. Cloud revenue reached $10.3B (+20% YoY), outpacing overall growth and pulling margin expansion forward — a signal that the company's AI strategy is resonating and attracting new enterprise customers.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2. 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Robust hiring and team building across AI and platform teams. Management explicitly highlighted headcount additions in engineering and data science, signaling heavy investment in R&amp;D talent. The company is in expansion mode post-restructuring, which suggests internal confidence and career opportunity for new hires.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3. 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FY2027 guidance reflects confidence but moderate caution on macro. Management raised FY2027 revenue guidance to $32.5B–$32.7B (+12-14% growth), but EPS guidance was cautiously framed. This suggests the company sees sustained demand but is hedging against potential economic softening — typical for large software vendors currently.</w:t>
      </w:r>
    </w:p>
    <w:p>
      <w:pPr>
        <w:spacing w:after="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MANAGEMENT'S VIEW ON MAJOR RISKS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Macro uncertainty and deal cycle volatility — Mgmt acknowledged Q1 FY27 could see seasonal pressure and cautious enterprise spending. Monitor early customer feedback on budget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Competitive intensity in CRM and AI — Mgmt downplayed direct competition but noted pricing pressure in core CRM; deflection risk from larger players (Microsoft) exists. Career sustainability depends partly on Salesforce maintaining market share.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Execution risk on Einstein AI roadmap — Heavy bets on AI adoption. If customer uptake disappoints, growth deceleration could cascade to hiring plans. Team stability depends on delivering on these commitments.</w:t>
      </w:r>
    </w:p>
    <w:p>
      <w:pPr>
        <w:spacing w:after="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PRIORITIES — NEXT QUARTER / YEAR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Double down on Einstein AI product velocity and adoption [FY]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Expand enterprise cloud footprint in regulated verticals [FY]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Continue platform consolidation (Data Cloud, Service Cloud integration) [FY]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Maintain operating margin at 19–21% range while funding growth investments [FY]</w:t>
      </w:r>
    </w:p>
    <w:p>
      <w:pPr>
        <w:spacing w:after="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NOTABLE ANNOUNCEMENTS &amp; Q&amp;A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Q: Customer churn and retention trends? → A: Retention metrics stable; Einstein adoption driving net expansion within existing customers. Positive signal for career longevity — customers expanding commitment.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Q: Headcount and cost structure? → A: Mgmt reiterated focus on high-ROI hiring; modest headcount growth expected. Not a high-growth hiring phase, but targeted additions in strategic areas (AI/ML, platform engineering).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Q: Product roadmap and AI differentiation? → A: Management highlighted 12+ new Einstein features shipping in FY27. Sales and Service Cloud integration efforts underway. This implies technical depth and career growth for engineers building these capabilities.</w:t>
      </w:r>
    </w:p>
    <w:p>
      <w:pPr>
        <w:spacing w:after="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WHAT THIS MEANS IF YOU'RE JOINING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Growth company with tailwinds: Salesforce is in the sweet spot of AI adoption + cloud consolidation. Revenue growth forecasts suggest job security and opportunity for advancement. Teams working on Einstein and Data Cloud likely have high visibility and investment.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Selective hiring, not a land-grab: Post-2023 restructuring, the company is being disciplined about headcount. That's actually good for career quality — less bloat, more focus on high-impact roles. But don't expect the hyper-growth hiring pace of earlier eras.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Strong financial footing: Operating margins expanding, cash generation solid, no financial stress signals. Salary, benefits, and stock compensation should remain competitive. Low risk of compensation cuts or surprise layoffs based on current trajectory.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Strategic clarity on AI is key: The company has bet heavily on being an AI platform, not just a CRM vendor. If that resonates with your career goals (building AI products, working on customer-facing ML), this is an attractive place. If you want to work on core infrastructure or traditional software, the energy and resource allocation may feel less aligned.</w:t>
      </w:r>
    </w:p>
    <w:p>
      <w:pPr>
        <w:spacing w:after="120" w:before="0"/>
      </w:pPr>
      <w:r>
        <w:t xml:space="preserve"/>
      </w:r>
    </w:p>
    <w:p>
      <w:pPr>
        <w:pBdr>
          <w:bottom w:val="single" w:color="1B3A5C" w:sz="6" w:space="1"/>
        </w:pBdr>
        <w:spacing w:after="0" w:before="120"/>
      </w:pPr>
      <w:r>
        <w:rPr>
          <w:rFonts w:ascii="Arial" w:cs="Arial" w:eastAsia="Arial" w:hAnsi="Arial"/>
          <w:color w:val="333333"/>
          <w:sz w:val="14"/>
          <w:szCs w:val="14"/>
        </w:rPr>
        <w:t xml:space="preserve">Sources: Salesforce Q4 FY2026 Earnings Call (Feb 25, 2026); SEC filings; Company investor presentations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2026-03-14T13:11:55.221Z</dcterms:created>
  <dcterms:modified xsi:type="dcterms:W3CDTF">2026-03-14T13:11:55.221Z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