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Inspire Medical Systems (INSP)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Q4 FY2025 Earnings Call | February 11, 2026</w:t>
            </w:r>
          </w:p>
        </w:tc>
      </w:tr>
    </w:tbl>
    <w:p>
      <w:pPr>
        <w:pBdr>
          <w:bottom w:val="single" w:color="1B3A5C" w:sz="6" w:space="1"/>
        </w:pBdr>
        <w:spacing w:after="60" w:before="12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KEY TAKEAWAYS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1. Reimbursement pressure reshapes 2026 outlook. </w:t>
      </w:r>
      <w:r>
        <w:rPr>
          <w:rFonts w:ascii="Arial" w:cs="Arial" w:eastAsia="Arial" w:hAnsi="Arial"/>
          <w:sz w:val="18"/>
          <w:szCs w:val="18"/>
        </w:rPr>
        <w:t xml:space="preserve">Transition to CPT 64582 with -52 modifier expected to reduce physician fees 10%–50%, depending on MAC. This is management's "key challenge" since late 2025. 2026 revenue guidance cut to $950M–$1B (4%–10% growth) reflects this uncertainty.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2. Strong product execution offset by regulatory headwinds. </w:t>
      </w:r>
      <w:r>
        <w:rPr>
          <w:rFonts w:ascii="Arial" w:cs="Arial" w:eastAsia="Arial" w:hAnsi="Arial"/>
          <w:sz w:val="18"/>
          <w:szCs w:val="18"/>
        </w:rPr>
        <w:t xml:space="preserve">Inspire 5 rollout complete with 79.5% responder rate; FDA approval for 3.0T MRI compatibility achieved. Q4 revenue grew 12% YoY to $269M. However, WISeR program prior authorization requirements in six pilot states caused denials and disruptions in Q1 Medicare cases.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3. Fee pressure threatens procedure volume. </w:t>
      </w:r>
      <w:r>
        <w:rPr>
          <w:rFonts w:ascii="Arial" w:cs="Arial" w:eastAsia="Arial" w:hAnsi="Arial"/>
          <w:sz w:val="18"/>
          <w:szCs w:val="18"/>
        </w:rPr>
        <w:t xml:space="preserve">Management warns that a "significant decrease" in professional fees could reduce physician incentive to perform procedures, potentially constraining case volumes. Long-term strategy hinges on securing a new Category I CPT code by 2028.</w:t>
      </w:r>
    </w:p>
    <w:p>
      <w:pPr>
        <w:pBdr>
          <w:bottom w:val="single" w:color="1B3A5C" w:sz="6" w:space="1"/>
        </w:pBdr>
        <w:spacing w:after="60" w:before="6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RISK ASSESSMENT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Reimbursement volatility — </w:t>
      </w:r>
      <w:r>
        <w:rPr>
          <w:rFonts w:ascii="Arial" w:cs="Arial" w:eastAsia="Arial" w:hAnsi="Arial"/>
          <w:sz w:val="18"/>
          <w:szCs w:val="18"/>
        </w:rPr>
        <w:t xml:space="preserve">10%–50% professional fee reduction pending; actual impact depends on MAC-by-MAC negotiations. Risk of lower-than-expected physician adoption if fees fall at high end.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Prior authorization barriers — </w:t>
      </w:r>
      <w:r>
        <w:rPr>
          <w:rFonts w:ascii="Arial" w:cs="Arial" w:eastAsia="Arial" w:hAnsi="Arial"/>
          <w:sz w:val="18"/>
          <w:szCs w:val="18"/>
        </w:rPr>
        <w:t xml:space="preserve">WISeR program in six states has increased denials and case denials; expanded rollout could further hamper Q1 volumes and physician engagement.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Procedure volume risk — </w:t>
      </w:r>
      <w:r>
        <w:rPr>
          <w:rFonts w:ascii="Arial" w:cs="Arial" w:eastAsia="Arial" w:hAnsi="Arial"/>
          <w:sz w:val="18"/>
          <w:szCs w:val="18"/>
        </w:rPr>
        <w:t xml:space="preserve">Fee pressure may depress physician willingness to perform Inspire 5 implants, particularly in lower-reimbursement regions, constraining case growth in 2026.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New CPT code uncertainty — </w:t>
      </w:r>
      <w:r>
        <w:rPr>
          <w:rFonts w:ascii="Arial" w:cs="Arial" w:eastAsia="Arial" w:hAnsi="Arial"/>
          <w:sz w:val="18"/>
          <w:szCs w:val="18"/>
        </w:rPr>
        <w:t xml:space="preserve">RUC process for new Category I CPT code (targeted 2028) could still result in lower rates; no guarantee of improvement from current trajectory.</w:t>
      </w:r>
    </w:p>
    <w:p>
      <w:pPr>
        <w:pBdr>
          <w:bottom w:val="single" w:color="1B3A5C" w:sz="6" w:space="1"/>
        </w:pBdr>
        <w:spacing w:after="60" w:before="6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PRIORITIES — NEXT QUARTER / YEAR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[Q] </w:t>
      </w:r>
      <w:r>
        <w:rPr>
          <w:rFonts w:ascii="Arial" w:cs="Arial" w:eastAsia="Arial" w:hAnsi="Arial"/>
          <w:sz w:val="18"/>
          <w:szCs w:val="18"/>
        </w:rPr>
        <w:t xml:space="preserve">Navigate coding transition &amp; MAC negotiations. Minimize professional fee impact through engagement with MACs, commercial payers, and physician societies; secure consistency across regions.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[FY] </w:t>
      </w:r>
      <w:r>
        <w:rPr>
          <w:rFonts w:ascii="Arial" w:cs="Arial" w:eastAsia="Arial" w:hAnsi="Arial"/>
          <w:sz w:val="18"/>
          <w:szCs w:val="18"/>
        </w:rPr>
        <w:t xml:space="preserve">Drive Category I CPT code pathway. Pursue new standalone code with AMA CPT panel &amp; RUC; target 2028 implementation to establish sustainable reimbursement.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[FY] </w:t>
      </w:r>
      <w:r>
        <w:rPr>
          <w:rFonts w:ascii="Arial" w:cs="Arial" w:eastAsia="Arial" w:hAnsi="Arial"/>
          <w:sz w:val="18"/>
          <w:szCs w:val="18"/>
        </w:rPr>
        <w:t xml:space="preserve">Expand Inspire 5 adoption &amp; center network. Over 95% physician training and contracting complete; focus on converting remaining centers and scaling procedures despite fee headwinds.</w:t>
      </w:r>
    </w:p>
    <w:p>
      <w:pPr>
        <w:pBdr>
          <w:bottom w:val="single" w:color="1B3A5C" w:sz="6" w:space="1"/>
        </w:pBdr>
        <w:spacing w:after="60" w:before="6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NOTABLE ANNOUNCEMENTS &amp; Q&amp;A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2026 Guidance: </w:t>
      </w:r>
      <w:r>
        <w:rPr>
          <w:rFonts w:ascii="Arial" w:cs="Arial" w:eastAsia="Arial" w:hAnsi="Arial"/>
          <w:sz w:val="18"/>
          <w:szCs w:val="18"/>
        </w:rPr>
        <w:t xml:space="preserve">Revenue $950M–$1.0B (4%–10% growth, down from prior 10%–11% expectation). Reflects Q1 pressure from coding uncertainty and potential fee reduction impact.</w:t>
      </w:r>
    </w:p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>Q: How will fee pressure affect physician behavior? →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A: Management acknowledges material risk that a "significant decrease" in professional fees could reduce willingness to perform cases, particularly affecting new center openings and procedure volumes.</w:t>
      </w:r>
    </w:p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>Q: What is the timeline for new CPT code resolution? →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A: Management pursuing Category I CPT code with timeline targeting 2028 implementation following AMA CPT panel review and RUC process.</w:t>
      </w:r>
    </w:p>
    <w:p>
      <w:pPr>
        <w:pBdr>
          <w:top w:val="single" w:color="1B3A5C" w:sz="6" w:space="1"/>
        </w:pBdr>
        <w:spacing w:after="0" w:before="120"/>
      </w:pPr>
      <w:r>
        <w:t xml:space="preserve"/>
      </w:r>
    </w:p>
    <w:p>
      <w:pPr>
        <w:spacing w:after="0" w:before="60"/>
      </w:pPr>
      <w:r>
        <w:rPr>
          <w:rFonts w:ascii="Arial" w:cs="Arial" w:eastAsia="Arial" w:hAnsi="Arial"/>
          <w:i/>
          <w:iCs/>
          <w:color w:val="333333"/>
          <w:sz w:val="14"/>
          <w:szCs w:val="14"/>
        </w:rPr>
        <w:t xml:space="preserve">Sources: Q4 FY2025 Earnings Call (Feb 11, 2026) via Seeking Alpha &amp; Motley Fool; Company earnings press release; Yahoo Finance earnings highlights; Financial news coverage (Insider Monkey, Markets Daily). Company received CPT coding clarification in week prior to earnings call.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2026-03-14T06:01:00.665Z</dcterms:created>
  <dcterms:modified xsi:type="dcterms:W3CDTF">2026-03-14T06:01:00.666Z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