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3A5C" w:val="clear"/>
            <w:tcMar>
              <w:top w:type="dxa" w:w="100"/>
              <w:left w:type="dxa" w:w="100"/>
              <w:bottom w:type="dxa" w:w="100"/>
              <w:right w:type="dxa" w:w="100"/>
            </w:tcMar>
          </w:tcPr>
          <w:p>
            <w:r>
              <w:rPr>
                <w:rFonts w:ascii="Arial" w:cs="Arial" w:eastAsia="Arial" w:hAnsi="Arial"/>
                <w:b/>
                <w:bCs/>
                <w:color w:val="FFFFFF"/>
                <w:sz w:val="28"/>
                <w:szCs w:val="28"/>
              </w:rPr>
              <w:t xml:space="preserve">Eli Lilly and Company (LLY)</w:t>
            </w:r>
          </w:p>
        </w:tc>
        <w:tc>
          <w:tcPr>
            <w:tcW w:type="dxa" w:w="4680"/>
            <w:shd w:fill="1B3A5C" w:val="clear"/>
            <w:tcMar>
              <w:top w:type="dxa" w:w="100"/>
              <w:left w:type="dxa" w:w="100"/>
              <w:bottom w:type="dxa" w:w="100"/>
              <w:right w:type="dxa" w:w="100"/>
            </w:tcMar>
          </w:tcPr>
          <w:p>
            <w:pPr>
              <w:jc w:val="right"/>
            </w:pPr>
            <w:r>
              <w:rPr>
                <w:rFonts w:ascii="Arial" w:cs="Arial" w:eastAsia="Arial" w:hAnsi="Arial"/>
                <w:b/>
                <w:bCs/>
                <w:color w:val="FFFFFF"/>
                <w:sz w:val="28"/>
                <w:szCs w:val="28"/>
              </w:rPr>
              <w:t xml:space="preserve">Earnings Call Evolution | Q1–Q4 FY2025</w:t>
            </w:r>
          </w:p>
        </w:tc>
      </w:tr>
    </w:tbl>
    <w:p>
      <w:pPr>
        <w:spacing w:after="0" w:before="240"/>
      </w:pPr>
    </w:p>
    <w:p>
      <w:pPr>
        <w:pBdr>
          <w:bottom w:val="single" w:color="1B3A5C" w:sz="6"/>
        </w:pBdr>
        <w:spacing w:after="120" w:before="120"/>
      </w:pPr>
      <w:r>
        <w:rPr>
          <w:rFonts w:ascii="Arial" w:cs="Arial" w:eastAsia="Arial" w:hAnsi="Arial"/>
          <w:b/>
          <w:bCs/>
          <w:color w:val="1B3A5C"/>
          <w:sz w:val="20"/>
          <w:szCs w:val="20"/>
        </w:rPr>
        <w:t xml:space="preserve">EXECUTIVE SUMMARY</w:t>
      </w:r>
    </w:p>
    <w:p>
      <w:pPr>
        <w:spacing w:after="240" w:before="0"/>
      </w:pPr>
      <w:r>
        <w:rPr>
          <w:rFonts w:ascii="Arial" w:cs="Arial" w:eastAsia="Arial" w:hAnsi="Arial"/>
          <w:color w:val="333333"/>
          <w:sz w:val="18"/>
          <w:szCs w:val="18"/>
        </w:rPr>
        <w:t xml:space="preserve">Eli Lilly's narrative evolved from disciplined execution amid manufacturing constraints in Q1 to a story of explosive cardiometabolic momentum by year-end. Q1 emphasized pricing pressure and supply constraints; by Q4, the company had dramatically expanded capacity and begun pricing recovery. Management's tone shifted from cautious optimization to confident domination of the obesity and diabetes markets. The business plan itself matured from supply-driven guidance into a comprehensive manufacturing and pipeline strategy, with obesity now positioned as a multi-billion-dollar platform (Mounjaro and Zepbound combined) alongside legacy diabetes and cardiovascular franchises. By Q4, the dominant theme was validation: proof that the company could scale production, sustain premium pricing, and maintain market leadership across therapeutic areas—all while expanding its clinical pipeline.</w:t>
      </w:r>
    </w:p>
    <w:p>
      <w:pPr>
        <w:pBdr>
          <w:bottom w:val="single" w:color="1B3A5C" w:sz="6"/>
        </w:pBdr>
        <w:spacing w:after="120" w:before="120"/>
      </w:pPr>
      <w:r>
        <w:rPr>
          <w:rFonts w:ascii="Arial" w:cs="Arial" w:eastAsia="Arial" w:hAnsi="Arial"/>
          <w:b/>
          <w:bCs/>
          <w:color w:val="1B3A5C"/>
          <w:sz w:val="20"/>
          <w:szCs w:val="20"/>
        </w:rPr>
        <w:t xml:space="preserve">STRATEGIC DIRECTION &amp; BUSINESS PLAN EVOLUTION</w:t>
      </w:r>
    </w:p>
    <w:p>
      <w:pPr>
        <w:spacing w:after="100" w:before="0"/>
      </w:pPr>
      <w:r>
        <w:rPr>
          <w:rFonts w:ascii="Arial" w:cs="Arial" w:eastAsia="Arial" w:hAnsi="Arial"/>
          <w:b/>
          <w:bCs/>
          <w:color w:val="333333"/>
          <w:sz w:val="18"/>
          <w:szCs w:val="18"/>
        </w:rPr>
        <w:t xml:space="preserve">Q1 2025: Supply Optimization &amp; Disciplined Growth</w:t>
      </w:r>
    </w:p>
    <w:p>
      <w:pPr>
        <w:spacing w:after="200" w:before="0"/>
      </w:pPr>
      <w:r>
        <w:rPr>
          <w:rFonts w:ascii="Arial" w:cs="Arial" w:eastAsia="Arial" w:hAnsi="Arial"/>
          <w:color w:val="333333"/>
          <w:sz w:val="18"/>
          <w:szCs w:val="18"/>
        </w:rPr>
        <w:t xml:space="preserve">In Q1, management's priorities centered on managing demand against manufacturing bottlenecks. Mounjaro and Zepbound volumes were growing rapidly, but supply constraints remained a binding constraint on market capture. The company announced plans to more than double manufacturing investment, with over $50 billion in total new U.S. manufacturing investments announced since 2020. Management emphasized "disciplined" pricing strategy in the face of mid-to-high single-digit price erosion (minus 6% in Q1). Capital allocation was conservative: $1.3B in dividends and $1.2B in share repurchases, signaling confidence but measured execution.</w:t>
      </w:r>
    </w:p>
    <w:p>
      <w:pPr>
        <w:spacing w:after="100" w:before="0"/>
      </w:pPr>
      <w:r>
        <w:rPr>
          <w:rFonts w:ascii="Arial" w:cs="Arial" w:eastAsia="Arial" w:hAnsi="Arial"/>
          <w:b/>
          <w:bCs/>
          <w:color w:val="333333"/>
          <w:sz w:val="18"/>
          <w:szCs w:val="18"/>
        </w:rPr>
        <w:t xml:space="preserve">Q2 2025: Capacity Unlock &amp; Market Dominance</w:t>
      </w:r>
    </w:p>
    <w:p>
      <w:pPr>
        <w:spacing w:after="200" w:before="0"/>
      </w:pPr>
      <w:r>
        <w:rPr>
          <w:rFonts w:ascii="Arial" w:cs="Arial" w:eastAsia="Arial" w:hAnsi="Arial"/>
          <w:color w:val="333333"/>
          <w:sz w:val="18"/>
          <w:szCs w:val="18"/>
        </w:rPr>
        <w:t xml:space="preserve">By Q2, the strategic narrative pivoted sharply. Production of salable incretin doses more than 1.6x the prior-year level signaled a dramatic capacity unlock. Market share surged above 57% (up 3.8 points from Q1), and management's tone became more aggressive. The ATTAIN-one trial demonstrated 12.4% weight loss at the highest dose of Orforglipron (a next-generation candidate), and SURPASS-CVOT showed tirzepatide's cardiovascular benefits. Guidance was raised significantly: full-year revenue to $60–62B (from prior guidance) and EPS to $21.75–23. Management now spoke of obesity as a massive addressable market, with Mounjaro and Zepbound poised to capture substantial share.</w:t>
      </w:r>
    </w:p>
    <w:p>
      <w:pPr>
        <w:spacing w:after="100" w:before="0"/>
      </w:pPr>
      <w:r>
        <w:rPr>
          <w:rFonts w:ascii="Arial" w:cs="Arial" w:eastAsia="Arial" w:hAnsi="Arial"/>
          <w:b/>
          <w:bCs/>
          <w:color w:val="333333"/>
          <w:sz w:val="18"/>
          <w:szCs w:val="18"/>
        </w:rPr>
        <w:t xml:space="preserve">Q3 2025: Pipeline Confidence &amp; Margin Expansion</w:t>
      </w:r>
    </w:p>
    <w:p>
      <w:pPr>
        <w:spacing w:after="200" w:before="0"/>
      </w:pPr>
      <w:r>
        <w:rPr>
          <w:rFonts w:ascii="Arial" w:cs="Arial" w:eastAsia="Arial" w:hAnsi="Arial"/>
          <w:color w:val="333333"/>
          <w:sz w:val="18"/>
          <w:szCs w:val="18"/>
        </w:rPr>
        <w:t xml:space="preserve">Q3 marked an inflection in management confidence. Revenue grew 54% YoY to $17.60B; gross margin expanded to 83.6%. Management announced positive Phase 3 data for Orforglipron across type 2 diabetes and obesity, validating a next-generation pipeline. The strategic priorities shifted to three pillars: (1) volume growth from Mounjaro/Zepbound, (2) portfolio expansion via pipeline advancement, and (3) manufacturing scale-up. Guidance was raised again: full-year revenue to $63–63.5B and EPS to $23–23.70. Notably, management began describing the obesity franchise as "transformational," not just growth-accretive. The tone was celebratory but disciplined—acknowledging pricing pressure while emphasizing volume and margin potential.</w:t>
      </w:r>
    </w:p>
    <w:p>
      <w:pPr>
        <w:spacing w:after="100" w:before="0"/>
      </w:pPr>
      <w:r>
        <w:rPr>
          <w:rFonts w:ascii="Arial" w:cs="Arial" w:eastAsia="Arial" w:hAnsi="Arial"/>
          <w:b/>
          <w:bCs/>
          <w:color w:val="333333"/>
          <w:sz w:val="18"/>
          <w:szCs w:val="18"/>
        </w:rPr>
        <w:t xml:space="preserve">Q4 2025: Market Leadership &amp; Optionality</w:t>
      </w:r>
    </w:p>
    <w:p>
      <w:pPr>
        <w:spacing w:after="240" w:before="0"/>
      </w:pPr>
      <w:r>
        <w:rPr>
          <w:rFonts w:ascii="Arial" w:cs="Arial" w:eastAsia="Arial" w:hAnsi="Arial"/>
          <w:color w:val="333333"/>
          <w:sz w:val="18"/>
          <w:szCs w:val="18"/>
        </w:rPr>
        <w:t xml:space="preserve">By Q4, the strategy had fully crystallized: dominate cardiometabolic markets while building strategic optionality. Full-year revenue reached $65.2B (45% growth YoY); EPS grew 86% to $24.21. Q4 EPS hit $7.54 vs. forecast $7.20; revenue $19.3B vs. forecast $17.87B. Kisanlo (amyloid-targeting treatment) achieved &gt;50% U.S. market share, signaling Alzheimer's franchise strength. 2026 guidance pointed to 25% top-line growth, with Medicare obesity medicine access expected by July 2026 (unlocking significant volume upside). Management now spoke of a "portfolio approach"—Mounjaro/Zepbound in obesity, Kisanlo in Alzheimer's, next-gen candidates in diabetes and beyond. Capital allocation shifted: major manufacturing investments continued, but share buybacks resumed, signaling confidence in valuation.</w:t>
      </w:r>
    </w:p>
    <w:p>
      <w:r>
        <w:br w:type="page"/>
      </w:r>
    </w:p>
    <w:p>
      <w:pPr>
        <w:pBdr>
          <w:bottom w:val="single" w:color="1B3A5C" w:sz="6"/>
        </w:pBdr>
        <w:spacing w:after="120" w:before="120"/>
      </w:pPr>
      <w:r>
        <w:rPr>
          <w:rFonts w:ascii="Arial" w:cs="Arial" w:eastAsia="Arial" w:hAnsi="Arial"/>
          <w:b/>
          <w:bCs/>
          <w:color w:val="1B3A5C"/>
          <w:sz w:val="20"/>
          <w:szCs w:val="20"/>
        </w:rPr>
        <w:t xml:space="preserve">RISK LANDSCAPE EVOLUTION</w:t>
      </w:r>
    </w:p>
    <w:p>
      <w:pPr>
        <w:spacing w:after="100" w:before="0"/>
      </w:pPr>
      <w:r>
        <w:rPr>
          <w:rFonts w:ascii="Arial" w:cs="Arial" w:eastAsia="Arial" w:hAnsi="Arial"/>
          <w:b/>
          <w:bCs/>
          <w:color w:val="333333"/>
          <w:sz w:val="18"/>
          <w:szCs w:val="18"/>
        </w:rPr>
        <w:t xml:space="preserve">Q1: Manufacturing Constraints &amp; Pricing Pressure</w:t>
      </w:r>
    </w:p>
    <w:p>
      <w:pPr>
        <w:spacing w:after="200" w:before="0"/>
      </w:pPr>
      <w:r>
        <w:rPr>
          <w:rFonts w:ascii="Arial" w:cs="Arial" w:eastAsia="Arial" w:hAnsi="Arial"/>
          <w:color w:val="333333"/>
          <w:sz w:val="18"/>
          <w:szCs w:val="18"/>
        </w:rPr>
        <w:t xml:space="preserve">Management acknowledged acute supply-side constraints and mid-to-high single-digit pricing erosion as the two largest headwinds. Tone: defensive but committed to scaling. Risk framing: temporary, addressable via capex.</w:t>
      </w:r>
    </w:p>
    <w:p>
      <w:pPr>
        <w:spacing w:after="100" w:before="0"/>
      </w:pPr>
      <w:r>
        <w:rPr>
          <w:rFonts w:ascii="Arial" w:cs="Arial" w:eastAsia="Arial" w:hAnsi="Arial"/>
          <w:b/>
          <w:bCs/>
          <w:color w:val="333333"/>
          <w:sz w:val="18"/>
          <w:szCs w:val="18"/>
        </w:rPr>
        <w:t xml:space="preserve">Q2: Competitive Intensity &amp; Payability</w:t>
      </w:r>
    </w:p>
    <w:p>
      <w:pPr>
        <w:spacing w:after="200" w:before="0"/>
      </w:pPr>
      <w:r>
        <w:rPr>
          <w:rFonts w:ascii="Arial" w:cs="Arial" w:eastAsia="Arial" w:hAnsi="Arial"/>
          <w:color w:val="333333"/>
          <w:sz w:val="18"/>
          <w:szCs w:val="18"/>
        </w:rPr>
        <w:t xml:space="preserve">As capacity unlocked, management pivoted to competitive dynamics. Concern: other GLP-1 makers (Novo Nordisk, Roche) scaling production. Payability risk emerged as insurers tightened coverage. Tone: proactive—management noted that Lilly's efficacy and manufacturing scale provided competitive moat. Emphasized Medicare coverage expansion as strategic priority.</w:t>
      </w:r>
    </w:p>
    <w:p>
      <w:pPr>
        <w:spacing w:after="100" w:before="0"/>
      </w:pPr>
      <w:r>
        <w:rPr>
          <w:rFonts w:ascii="Arial" w:cs="Arial" w:eastAsia="Arial" w:hAnsi="Arial"/>
          <w:b/>
          <w:bCs/>
          <w:color w:val="333333"/>
          <w:sz w:val="18"/>
          <w:szCs w:val="18"/>
        </w:rPr>
        <w:t xml:space="preserve">Q3: Regulatory &amp; Clinical Validation</w:t>
      </w:r>
    </w:p>
    <w:p>
      <w:pPr>
        <w:spacing w:after="200" w:before="0"/>
      </w:pPr>
      <w:r>
        <w:rPr>
          <w:rFonts w:ascii="Arial" w:cs="Arial" w:eastAsia="Arial" w:hAnsi="Arial"/>
          <w:color w:val="333333"/>
          <w:sz w:val="18"/>
          <w:szCs w:val="18"/>
        </w:rPr>
        <w:t xml:space="preserve">Risks evolved: manufacturing still mentioned but de-emphasized. New focus: regulatory pathway for next-gen candidates (Orforglipron). Clinical validation became the dominant risk frame—positive Phase 3 data materially reduced execution risk. Management noted FDA's faster approval timelines as tailwind. Tone: increasingly confident in pipeline.</w:t>
      </w:r>
    </w:p>
    <w:p>
      <w:pPr>
        <w:spacing w:after="100" w:before="0"/>
      </w:pPr>
      <w:r>
        <w:rPr>
          <w:rFonts w:ascii="Arial" w:cs="Arial" w:eastAsia="Arial" w:hAnsi="Arial"/>
          <w:b/>
          <w:bCs/>
          <w:color w:val="333333"/>
          <w:sz w:val="18"/>
          <w:szCs w:val="18"/>
        </w:rPr>
        <w:t xml:space="preserve">Q4: Macro FX &amp; Pricing Headwinds</w:t>
      </w:r>
    </w:p>
    <w:p>
      <w:pPr>
        <w:spacing w:after="240" w:before="0"/>
      </w:pPr>
      <w:r>
        <w:rPr>
          <w:rFonts w:ascii="Arial" w:cs="Arial" w:eastAsia="Arial" w:hAnsi="Arial"/>
          <w:color w:val="333333"/>
          <w:sz w:val="18"/>
          <w:szCs w:val="18"/>
        </w:rPr>
        <w:t xml:space="preserve">By Q4, manufacturing and competitive risks had been largely neutralized in management's framing. Emerging risks: 2026 guidance acknowledged "price headwinds in the low to mid-teens," suggesting insurance reimbursement pressure persists. FX headwinds cited. Regulatory risk mentioned but minimized. Tone: pragmatic—management presented pricing decline as manageable given volume upside and pipeline optionality. No mention of existential competitive threats.</w:t>
      </w:r>
    </w:p>
    <w:p>
      <w:pPr>
        <w:pBdr>
          <w:bottom w:val="single" w:color="1B3A5C" w:sz="6"/>
        </w:pBdr>
        <w:spacing w:after="120" w:before="120"/>
      </w:pPr>
      <w:r>
        <w:rPr>
          <w:rFonts w:ascii="Arial" w:cs="Arial" w:eastAsia="Arial" w:hAnsi="Arial"/>
          <w:b/>
          <w:bCs/>
          <w:color w:val="1B3A5C"/>
          <w:sz w:val="20"/>
          <w:szCs w:val="20"/>
        </w:rPr>
        <w:t xml:space="preserve">MANAGEMENT CREDIBILITY CHECK</w:t>
      </w:r>
    </w:p>
    <w:p>
      <w:pPr>
        <w:spacing w:after="140" w:before="0"/>
      </w:pPr>
      <w:r>
        <w:rPr>
          <w:rFonts w:ascii="Arial" w:cs="Arial" w:eastAsia="Arial" w:hAnsi="Arial"/>
          <w:color w:val="333333"/>
          <w:sz w:val="18"/>
          <w:szCs w:val="18"/>
        </w:rPr>
        <w:t xml:space="preserve">One of the most revealing measures of management quality is whether they deliver on prior commitments. Eli Lilly management demonstrated exceptional credibility across four quarters:</w:t>
      </w:r>
    </w:p>
    <w:p>
      <w:pPr>
        <w:spacing w:after="140" w:before="0"/>
      </w:pPr>
      <w:r>
        <w:rPr>
          <w:rFonts w:ascii="Arial" w:cs="Arial" w:eastAsia="Arial" w:hAnsi="Arial"/>
          <w:b/>
          <w:bCs/>
          <w:color w:val="333333"/>
          <w:sz w:val="18"/>
          <w:szCs w:val="18"/>
        </w:rPr>
        <w:t xml:space="preserve">Q1 Commitment → Q4 Delivery: </w:t>
      </w:r>
      <w:r>
        <w:rPr>
          <w:rFonts w:ascii="Arial" w:cs="Arial" w:eastAsia="Arial" w:hAnsi="Arial"/>
          <w:color w:val="333333"/>
          <w:sz w:val="18"/>
          <w:szCs w:val="18"/>
        </w:rPr>
        <w:t xml:space="preserve">"We will scale manufacturing." By Q4, capacity delivered: cumulative production 1.6x+, with manufacturing investments hitting $50B+. Raised guidance every quarter after Q1.</w:t>
      </w:r>
    </w:p>
    <w:p>
      <w:pPr>
        <w:spacing w:after="140" w:before="0"/>
      </w:pPr>
      <w:r>
        <w:rPr>
          <w:rFonts w:ascii="Arial" w:cs="Arial" w:eastAsia="Arial" w:hAnsi="Arial"/>
          <w:b/>
          <w:bCs/>
          <w:color w:val="333333"/>
          <w:sz w:val="18"/>
          <w:szCs w:val="18"/>
        </w:rPr>
        <w:t xml:space="preserve">Q2 Commitment → Q3 Delivery: </w:t>
      </w:r>
      <w:r>
        <w:rPr>
          <w:rFonts w:ascii="Arial" w:cs="Arial" w:eastAsia="Arial" w:hAnsi="Arial"/>
          <w:color w:val="333333"/>
          <w:sz w:val="18"/>
          <w:szCs w:val="18"/>
        </w:rPr>
        <w:t xml:space="preserve">"Orforglipron will show superior weight loss efficacy." Q3 brought Phase 3 data: 12.4% weight loss at highest dose, validating the next-generation story.</w:t>
      </w:r>
    </w:p>
    <w:p>
      <w:pPr>
        <w:spacing w:after="140" w:before="0"/>
      </w:pPr>
      <w:r>
        <w:rPr>
          <w:rFonts w:ascii="Arial" w:cs="Arial" w:eastAsia="Arial" w:hAnsi="Arial"/>
          <w:b/>
          <w:bCs/>
          <w:color w:val="333333"/>
          <w:sz w:val="18"/>
          <w:szCs w:val="18"/>
        </w:rPr>
        <w:t xml:space="preserve">Q3 Commitment → Q4 Delivery: </w:t>
      </w:r>
      <w:r>
        <w:rPr>
          <w:rFonts w:ascii="Arial" w:cs="Arial" w:eastAsia="Arial" w:hAnsi="Arial"/>
          <w:color w:val="333333"/>
          <w:sz w:val="18"/>
          <w:szCs w:val="18"/>
        </w:rPr>
        <w:t xml:space="preserve">"We expect strong Q4 and will guide for 25%+ 2026 growth." Q4 beat consensus on revenue and EPS; 2026 guidance confirmed at 25% midpoint.</w:t>
      </w:r>
    </w:p>
    <w:p>
      <w:pPr>
        <w:spacing w:after="240" w:before="0"/>
      </w:pPr>
      <w:r>
        <w:rPr>
          <w:rFonts w:ascii="Arial" w:cs="Arial" w:eastAsia="Arial" w:hAnsi="Arial"/>
          <w:color w:val="333333"/>
          <w:sz w:val="18"/>
          <w:szCs w:val="18"/>
        </w:rPr>
        <w:t xml:space="preserve">Guidance Raises: Management raised full-year guidance in each call after Q1 (Q2, Q3, Q4), signaling confidence and accuracy of forecasting.</w:t>
      </w:r>
    </w:p>
    <w:p>
      <w:pPr>
        <w:spacing w:after="240" w:before="0"/>
      </w:pPr>
      <w:r>
        <w:rPr>
          <w:rFonts w:ascii="Arial" w:cs="Arial" w:eastAsia="Arial" w:hAnsi="Arial"/>
          <w:color w:val="333333"/>
          <w:sz w:val="18"/>
          <w:szCs w:val="18"/>
        </w:rPr>
        <w:t xml:space="preserve">Assessment: Management demonstrated exceptional execution and predictability. David Ricks (CEO) and Lucas Montarce (CFO) built credibility through consistent delivery, raising guidance, and proving manufacturing scalability. This is a management team a strategic investor can trust.</w:t>
      </w:r>
    </w:p>
    <w:p>
      <w:pPr>
        <w:pBdr>
          <w:bottom w:val="single" w:color="1B3A5C" w:sz="6"/>
        </w:pBdr>
        <w:spacing w:after="120" w:before="120"/>
      </w:pPr>
      <w:r>
        <w:rPr>
          <w:rFonts w:ascii="Arial" w:cs="Arial" w:eastAsia="Arial" w:hAnsi="Arial"/>
          <w:b/>
          <w:bCs/>
          <w:color w:val="1B3A5C"/>
          <w:sz w:val="20"/>
          <w:szCs w:val="20"/>
        </w:rPr>
        <w:t xml:space="preserve">KEY METRICS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B3A5C" w:val="clear"/>
            <w:tcMar>
              <w:top w:type="dxa" w:w="80"/>
              <w:left w:type="dxa" w:w="100"/>
              <w:bottom w:type="dxa" w:w="80"/>
              <w:right w:type="dxa" w:w="100"/>
            </w:tcMar>
          </w:tcPr>
          <w:p>
            <w:r>
              <w:rPr>
                <w:rFonts w:ascii="Arial" w:cs="Arial" w:eastAsia="Arial" w:hAnsi="Arial"/>
                <w:b/>
                <w:bCs/>
                <w:color w:val="FFFFFF"/>
                <w:sz w:val="16"/>
                <w:szCs w:val="16"/>
              </w:rPr>
              <w:t xml:space="preserve">Metric</w:t>
            </w:r>
          </w:p>
        </w:tc>
        <w:tc>
          <w:tcPr>
            <w:tcW w:type="dxa" w:w="1872"/>
            <w:shd w:fill="1B3A5C" w:val="clear"/>
            <w:tcMar>
              <w:top w:type="dxa" w:w="80"/>
              <w:left w:type="dxa" w:w="100"/>
              <w:bottom w:type="dxa" w:w="80"/>
              <w:right w:type="dxa" w:w="100"/>
            </w:tcMar>
          </w:tcPr>
          <w:p>
            <w:r>
              <w:rPr>
                <w:rFonts w:ascii="Arial" w:cs="Arial" w:eastAsia="Arial" w:hAnsi="Arial"/>
                <w:b/>
                <w:bCs/>
                <w:color w:val="FFFFFF"/>
                <w:sz w:val="16"/>
                <w:szCs w:val="16"/>
              </w:rPr>
              <w:t xml:space="preserve">Q1</w:t>
            </w:r>
          </w:p>
        </w:tc>
        <w:tc>
          <w:tcPr>
            <w:tcW w:type="dxa" w:w="1872"/>
            <w:shd w:fill="1B3A5C" w:val="clear"/>
            <w:tcMar>
              <w:top w:type="dxa" w:w="80"/>
              <w:left w:type="dxa" w:w="100"/>
              <w:bottom w:type="dxa" w:w="80"/>
              <w:right w:type="dxa" w:w="100"/>
            </w:tcMar>
          </w:tcPr>
          <w:p>
            <w:r>
              <w:rPr>
                <w:rFonts w:ascii="Arial" w:cs="Arial" w:eastAsia="Arial" w:hAnsi="Arial"/>
                <w:b/>
                <w:bCs/>
                <w:color w:val="FFFFFF"/>
                <w:sz w:val="16"/>
                <w:szCs w:val="16"/>
              </w:rPr>
              <w:t xml:space="preserve">Q2</w:t>
            </w:r>
          </w:p>
        </w:tc>
        <w:tc>
          <w:tcPr>
            <w:tcW w:type="dxa" w:w="1872"/>
            <w:shd w:fill="1B3A5C" w:val="clear"/>
            <w:tcMar>
              <w:top w:type="dxa" w:w="80"/>
              <w:left w:type="dxa" w:w="100"/>
              <w:bottom w:type="dxa" w:w="80"/>
              <w:right w:type="dxa" w:w="100"/>
            </w:tcMar>
          </w:tcPr>
          <w:p>
            <w:r>
              <w:rPr>
                <w:rFonts w:ascii="Arial" w:cs="Arial" w:eastAsia="Arial" w:hAnsi="Arial"/>
                <w:b/>
                <w:bCs/>
                <w:color w:val="FFFFFF"/>
                <w:sz w:val="16"/>
                <w:szCs w:val="16"/>
              </w:rPr>
              <w:t xml:space="preserve">Q3</w:t>
            </w:r>
          </w:p>
        </w:tc>
        <w:tc>
          <w:tcPr>
            <w:tcW w:type="dxa" w:w="1872"/>
            <w:shd w:fill="1B3A5C" w:val="clear"/>
            <w:tcMar>
              <w:top w:type="dxa" w:w="80"/>
              <w:left w:type="dxa" w:w="100"/>
              <w:bottom w:type="dxa" w:w="80"/>
              <w:right w:type="dxa" w:w="100"/>
            </w:tcMar>
          </w:tcPr>
          <w:p>
            <w:r>
              <w:rPr>
                <w:rFonts w:ascii="Arial" w:cs="Arial" w:eastAsia="Arial" w:hAnsi="Arial"/>
                <w:b/>
                <w:bCs/>
                <w:color w:val="FFFFFF"/>
                <w:sz w:val="16"/>
                <w:szCs w:val="16"/>
              </w:rPr>
              <w:t xml:space="preserve">Q4</w:t>
            </w:r>
          </w:p>
        </w:tc>
      </w:tr>
      <w:tr>
        <w:tc>
          <w:tcPr>
            <w:tcW w:type="dxa" w:w="1872"/>
            <w:tcMar>
              <w:top w:type="dxa" w:w="80"/>
              <w:left w:type="dxa" w:w="100"/>
              <w:bottom w:type="dxa" w:w="80"/>
              <w:right w:type="dxa" w:w="100"/>
            </w:tcMar>
          </w:tcPr>
          <w:p>
            <w:r>
              <w:rPr>
                <w:rFonts w:ascii="Arial" w:cs="Arial" w:eastAsia="Arial" w:hAnsi="Arial"/>
                <w:sz w:val="16"/>
                <w:szCs w:val="16"/>
              </w:rPr>
              <w:t xml:space="preserve">Revenue Growth YoY</w:t>
            </w:r>
          </w:p>
        </w:tc>
        <w:tc>
          <w:tcPr>
            <w:tcW w:type="dxa" w:w="1872"/>
            <w:tcMar>
              <w:top w:type="dxa" w:w="80"/>
              <w:left w:type="dxa" w:w="100"/>
              <w:bottom w:type="dxa" w:w="80"/>
              <w:right w:type="dxa" w:w="100"/>
            </w:tcMar>
          </w:tcPr>
          <w:p>
            <w:r>
              <w:rPr>
                <w:rFonts w:ascii="Arial" w:cs="Arial" w:eastAsia="Arial" w:hAnsi="Arial"/>
                <w:sz w:val="16"/>
                <w:szCs w:val="16"/>
              </w:rPr>
              <w:t xml:space="preserve">45%</w:t>
            </w:r>
          </w:p>
        </w:tc>
        <w:tc>
          <w:tcPr>
            <w:tcW w:type="dxa" w:w="1872"/>
            <w:tcMar>
              <w:top w:type="dxa" w:w="80"/>
              <w:left w:type="dxa" w:w="100"/>
              <w:bottom w:type="dxa" w:w="80"/>
              <w:right w:type="dxa" w:w="100"/>
            </w:tcMar>
          </w:tcPr>
          <w:p>
            <w:r>
              <w:rPr>
                <w:rFonts w:ascii="Arial" w:cs="Arial" w:eastAsia="Arial" w:hAnsi="Arial"/>
                <w:sz w:val="16"/>
                <w:szCs w:val="16"/>
              </w:rPr>
              <w:t xml:space="preserve">38%</w:t>
            </w:r>
          </w:p>
        </w:tc>
        <w:tc>
          <w:tcPr>
            <w:tcW w:type="dxa" w:w="1872"/>
            <w:tcMar>
              <w:top w:type="dxa" w:w="80"/>
              <w:left w:type="dxa" w:w="100"/>
              <w:bottom w:type="dxa" w:w="80"/>
              <w:right w:type="dxa" w:w="100"/>
            </w:tcMar>
          </w:tcPr>
          <w:p>
            <w:r>
              <w:rPr>
                <w:rFonts w:ascii="Arial" w:cs="Arial" w:eastAsia="Arial" w:hAnsi="Arial"/>
                <w:sz w:val="16"/>
                <w:szCs w:val="16"/>
              </w:rPr>
              <w:t xml:space="preserve">54%</w:t>
            </w:r>
          </w:p>
        </w:tc>
        <w:tc>
          <w:tcPr>
            <w:tcW w:type="dxa" w:w="1872"/>
            <w:tcMar>
              <w:top w:type="dxa" w:w="80"/>
              <w:left w:type="dxa" w:w="100"/>
              <w:bottom w:type="dxa" w:w="80"/>
              <w:right w:type="dxa" w:w="100"/>
            </w:tcMar>
          </w:tcPr>
          <w:p>
            <w:r>
              <w:rPr>
                <w:rFonts w:ascii="Arial" w:cs="Arial" w:eastAsia="Arial" w:hAnsi="Arial"/>
                <w:sz w:val="16"/>
                <w:szCs w:val="16"/>
              </w:rPr>
              <w:t xml:space="preserve">45% FY</w:t>
            </w:r>
          </w:p>
        </w:tc>
      </w:tr>
      <w:tr>
        <w:tc>
          <w:tcPr>
            <w:tcW w:type="dxa" w:w="1872"/>
            <w:tcMar>
              <w:top w:type="dxa" w:w="80"/>
              <w:left w:type="dxa" w:w="100"/>
              <w:bottom w:type="dxa" w:w="80"/>
              <w:right w:type="dxa" w:w="100"/>
            </w:tcMar>
          </w:tcPr>
          <w:p>
            <w:r>
              <w:rPr>
                <w:rFonts w:ascii="Arial" w:cs="Arial" w:eastAsia="Arial" w:hAnsi="Arial"/>
                <w:sz w:val="16"/>
                <w:szCs w:val="16"/>
              </w:rPr>
              <w:t xml:space="preserve">EPS</w:t>
            </w:r>
          </w:p>
        </w:tc>
        <w:tc>
          <w:tcPr>
            <w:tcW w:type="dxa" w:w="1872"/>
            <w:tcMar>
              <w:top w:type="dxa" w:w="80"/>
              <w:left w:type="dxa" w:w="100"/>
              <w:bottom w:type="dxa" w:w="80"/>
              <w:right w:type="dxa" w:w="100"/>
            </w:tcMar>
          </w:tcPr>
          <w:p>
            <w:r>
              <w:rPr>
                <w:rFonts w:ascii="Arial" w:cs="Arial" w:eastAsia="Arial" w:hAnsi="Arial"/>
                <w:sz w:val="16"/>
                <w:szCs w:val="16"/>
              </w:rPr>
              <w:t xml:space="preserve">$3.34</w:t>
            </w:r>
          </w:p>
        </w:tc>
        <w:tc>
          <w:tcPr>
            <w:tcW w:type="dxa" w:w="1872"/>
            <w:tcMar>
              <w:top w:type="dxa" w:w="80"/>
              <w:left w:type="dxa" w:w="100"/>
              <w:bottom w:type="dxa" w:w="80"/>
              <w:right w:type="dxa" w:w="100"/>
            </w:tcMar>
          </w:tcPr>
          <w:p>
            <w:r>
              <w:rPr>
                <w:rFonts w:ascii="Arial" w:cs="Arial" w:eastAsia="Arial" w:hAnsi="Arial"/>
                <w:sz w:val="16"/>
                <w:szCs w:val="16"/>
              </w:rPr>
              <w:t xml:space="preserve">$6.31</w:t>
            </w:r>
          </w:p>
        </w:tc>
        <w:tc>
          <w:tcPr>
            <w:tcW w:type="dxa" w:w="1872"/>
            <w:tcMar>
              <w:top w:type="dxa" w:w="80"/>
              <w:left w:type="dxa" w:w="100"/>
              <w:bottom w:type="dxa" w:w="80"/>
              <w:right w:type="dxa" w:w="100"/>
            </w:tcMar>
          </w:tcPr>
          <w:p>
            <w:r>
              <w:rPr>
                <w:rFonts w:ascii="Arial" w:cs="Arial" w:eastAsia="Arial" w:hAnsi="Arial"/>
                <w:sz w:val="16"/>
                <w:szCs w:val="16"/>
              </w:rPr>
              <w:t xml:space="preserve">$7.02</w:t>
            </w:r>
          </w:p>
        </w:tc>
        <w:tc>
          <w:tcPr>
            <w:tcW w:type="dxa" w:w="1872"/>
            <w:tcMar>
              <w:top w:type="dxa" w:w="80"/>
              <w:left w:type="dxa" w:w="100"/>
              <w:bottom w:type="dxa" w:w="80"/>
              <w:right w:type="dxa" w:w="100"/>
            </w:tcMar>
          </w:tcPr>
          <w:p>
            <w:r>
              <w:rPr>
                <w:rFonts w:ascii="Arial" w:cs="Arial" w:eastAsia="Arial" w:hAnsi="Arial"/>
                <w:sz w:val="16"/>
                <w:szCs w:val="16"/>
              </w:rPr>
              <w:t xml:space="preserve">$7.54</w:t>
            </w:r>
          </w:p>
        </w:tc>
      </w:tr>
      <w:tr>
        <w:tc>
          <w:tcPr>
            <w:tcW w:type="dxa" w:w="1872"/>
            <w:tcMar>
              <w:top w:type="dxa" w:w="80"/>
              <w:left w:type="dxa" w:w="100"/>
              <w:bottom w:type="dxa" w:w="80"/>
              <w:right w:type="dxa" w:w="100"/>
            </w:tcMar>
          </w:tcPr>
          <w:p>
            <w:r>
              <w:rPr>
                <w:rFonts w:ascii="Arial" w:cs="Arial" w:eastAsia="Arial" w:hAnsi="Arial"/>
                <w:sz w:val="16"/>
                <w:szCs w:val="16"/>
              </w:rPr>
              <w:t xml:space="preserve">Gross Margin</w:t>
            </w:r>
          </w:p>
        </w:tc>
        <w:tc>
          <w:tcPr>
            <w:tcW w:type="dxa" w:w="1872"/>
            <w:tcMar>
              <w:top w:type="dxa" w:w="80"/>
              <w:left w:type="dxa" w:w="100"/>
              <w:bottom w:type="dxa" w:w="80"/>
              <w:right w:type="dxa" w:w="100"/>
            </w:tcMar>
          </w:tcPr>
          <w:p>
            <w:r>
              <w:rPr>
                <w:rFonts w:ascii="Arial" w:cs="Arial" w:eastAsia="Arial" w:hAnsi="Arial"/>
                <w:sz w:val="16"/>
                <w:szCs w:val="16"/>
              </w:rPr>
              <w:t xml:space="preserve">~78%</w:t>
            </w:r>
          </w:p>
        </w:tc>
        <w:tc>
          <w:tcPr>
            <w:tcW w:type="dxa" w:w="1872"/>
            <w:tcMar>
              <w:top w:type="dxa" w:w="80"/>
              <w:left w:type="dxa" w:w="100"/>
              <w:bottom w:type="dxa" w:w="80"/>
              <w:right w:type="dxa" w:w="100"/>
            </w:tcMar>
          </w:tcPr>
          <w:p>
            <w:r>
              <w:rPr>
                <w:rFonts w:ascii="Arial" w:cs="Arial" w:eastAsia="Arial" w:hAnsi="Arial"/>
                <w:sz w:val="16"/>
                <w:szCs w:val="16"/>
              </w:rPr>
              <w:t xml:space="preserve">~80%</w:t>
            </w:r>
          </w:p>
        </w:tc>
        <w:tc>
          <w:tcPr>
            <w:tcW w:type="dxa" w:w="1872"/>
            <w:tcMar>
              <w:top w:type="dxa" w:w="80"/>
              <w:left w:type="dxa" w:w="100"/>
              <w:bottom w:type="dxa" w:w="80"/>
              <w:right w:type="dxa" w:w="100"/>
            </w:tcMar>
          </w:tcPr>
          <w:p>
            <w:r>
              <w:rPr>
                <w:rFonts w:ascii="Arial" w:cs="Arial" w:eastAsia="Arial" w:hAnsi="Arial"/>
                <w:sz w:val="16"/>
                <w:szCs w:val="16"/>
              </w:rPr>
              <w:t xml:space="preserve">83.6%</w:t>
            </w:r>
          </w:p>
        </w:tc>
        <w:tc>
          <w:tcPr>
            <w:tcW w:type="dxa" w:w="1872"/>
            <w:tcMar>
              <w:top w:type="dxa" w:w="80"/>
              <w:left w:type="dxa" w:w="100"/>
              <w:bottom w:type="dxa" w:w="80"/>
              <w:right w:type="dxa" w:w="100"/>
            </w:tcMar>
          </w:tcPr>
          <w:p>
            <w:r>
              <w:rPr>
                <w:rFonts w:ascii="Arial" w:cs="Arial" w:eastAsia="Arial" w:hAnsi="Arial"/>
                <w:sz w:val="16"/>
                <w:szCs w:val="16"/>
              </w:rPr>
              <w:t xml:space="preserve">~83%</w:t>
            </w:r>
          </w:p>
        </w:tc>
      </w:tr>
      <w:tr>
        <w:tc>
          <w:tcPr>
            <w:tcW w:type="dxa" w:w="1872"/>
            <w:tcMar>
              <w:top w:type="dxa" w:w="80"/>
              <w:left w:type="dxa" w:w="100"/>
              <w:bottom w:type="dxa" w:w="80"/>
              <w:right w:type="dxa" w:w="100"/>
            </w:tcMar>
          </w:tcPr>
          <w:p>
            <w:r>
              <w:rPr>
                <w:rFonts w:ascii="Arial" w:cs="Arial" w:eastAsia="Arial" w:hAnsi="Arial"/>
                <w:sz w:val="16"/>
                <w:szCs w:val="16"/>
              </w:rPr>
              <w:t xml:space="preserve">Price Erosion</w:t>
            </w:r>
          </w:p>
        </w:tc>
        <w:tc>
          <w:tcPr>
            <w:tcW w:type="dxa" w:w="1872"/>
            <w:tcMar>
              <w:top w:type="dxa" w:w="80"/>
              <w:left w:type="dxa" w:w="100"/>
              <w:bottom w:type="dxa" w:w="80"/>
              <w:right w:type="dxa" w:w="100"/>
            </w:tcMar>
          </w:tcPr>
          <w:p>
            <w:r>
              <w:rPr>
                <w:rFonts w:ascii="Arial" w:cs="Arial" w:eastAsia="Arial" w:hAnsi="Arial"/>
                <w:sz w:val="16"/>
                <w:szCs w:val="16"/>
              </w:rPr>
              <w:t xml:space="preserve">-6%</w:t>
            </w:r>
          </w:p>
        </w:tc>
        <w:tc>
          <w:tcPr>
            <w:tcW w:type="dxa" w:w="1872"/>
            <w:tcMar>
              <w:top w:type="dxa" w:w="80"/>
              <w:left w:type="dxa" w:w="100"/>
              <w:bottom w:type="dxa" w:w="80"/>
              <w:right w:type="dxa" w:w="100"/>
            </w:tcMar>
          </w:tcPr>
          <w:p>
            <w:r>
              <w:rPr>
                <w:rFonts w:ascii="Arial" w:cs="Arial" w:eastAsia="Arial" w:hAnsi="Arial"/>
                <w:sz w:val="16"/>
                <w:szCs w:val="16"/>
              </w:rPr>
              <w:t xml:space="preserve">-4% to -5%</w:t>
            </w:r>
          </w:p>
        </w:tc>
        <w:tc>
          <w:tcPr>
            <w:tcW w:type="dxa" w:w="1872"/>
            <w:tcMar>
              <w:top w:type="dxa" w:w="80"/>
              <w:left w:type="dxa" w:w="100"/>
              <w:bottom w:type="dxa" w:w="80"/>
              <w:right w:type="dxa" w:w="100"/>
            </w:tcMar>
          </w:tcPr>
          <w:p>
            <w:r>
              <w:rPr>
                <w:rFonts w:ascii="Arial" w:cs="Arial" w:eastAsia="Arial" w:hAnsi="Arial"/>
                <w:sz w:val="16"/>
                <w:szCs w:val="16"/>
              </w:rPr>
              <w:t xml:space="preserve">-3% to -4%</w:t>
            </w:r>
          </w:p>
        </w:tc>
        <w:tc>
          <w:tcPr>
            <w:tcW w:type="dxa" w:w="1872"/>
            <w:tcMar>
              <w:top w:type="dxa" w:w="80"/>
              <w:left w:type="dxa" w:w="100"/>
              <w:bottom w:type="dxa" w:w="80"/>
              <w:right w:type="dxa" w:w="100"/>
            </w:tcMar>
          </w:tcPr>
          <w:p>
            <w:r>
              <w:rPr>
                <w:rFonts w:ascii="Arial" w:cs="Arial" w:eastAsia="Arial" w:hAnsi="Arial"/>
                <w:sz w:val="16"/>
                <w:szCs w:val="16"/>
              </w:rPr>
              <w:t xml:space="preserve">-13 to -15% (2026E)</w:t>
            </w:r>
          </w:p>
        </w:tc>
      </w:tr>
    </w:tbl>
    <w:p>
      <w:pPr>
        <w:spacing w:after="0" w:before="120"/>
      </w:pPr>
    </w:p>
    <w:p>
      <w:pPr>
        <w:spacing w:after="240" w:before="0"/>
      </w:pPr>
      <w:r>
        <w:rPr>
          <w:rFonts w:ascii="Arial" w:cs="Arial" w:eastAsia="Arial" w:hAnsi="Arial"/>
          <w:color w:val="333333"/>
          <w:sz w:val="18"/>
          <w:szCs w:val="18"/>
        </w:rPr>
        <w:t xml:space="preserve">Key Observations: Revenue growth accelerated Q1→Q3, then moderating in Q4 (but remain strong at 45% FY). EPS trajectory is the strongest signal: $3.34→$7.54, compounding dramatically, validating management's capital allocation and operational excellence. Gross margin expanded throughout the year (78%→83.6%), indicating pricing resilience and manufacturing leverage—a key validation of the scaling thesis. Price erosion showed improvement Q1→Q3 (declining headwind), then reset for 2026 guidance (expecting -13 to -15%), signaling that the 2026 outlook incorporates renewed insurance pressure. Overall: metrics validate management's ability to grow rapidly while improving profitability—a rare combination.</w:t>
      </w:r>
    </w:p>
    <w:p>
      <w:r>
        <w:br w:type="page"/>
      </w:r>
    </w:p>
    <w:p>
      <w:pPr>
        <w:pBdr>
          <w:bottom w:val="single" w:color="1B3A5C" w:sz="6"/>
        </w:pBdr>
        <w:spacing w:after="120" w:before="120"/>
      </w:pPr>
      <w:r>
        <w:rPr>
          <w:rFonts w:ascii="Arial" w:cs="Arial" w:eastAsia="Arial" w:hAnsi="Arial"/>
          <w:b/>
          <w:bCs/>
          <w:color w:val="1B3A5C"/>
          <w:sz w:val="20"/>
          <w:szCs w:val="20"/>
        </w:rPr>
        <w:t xml:space="preserve">OUTLOOK &amp; STRATEGIC INVESTOR IMPLICATIONS</w:t>
      </w:r>
    </w:p>
    <w:p>
      <w:pPr>
        <w:spacing w:after="80" w:before="0"/>
      </w:pPr>
      <w:r>
        <w:rPr>
          <w:rFonts w:ascii="Arial" w:cs="Arial" w:eastAsia="Arial" w:hAnsi="Arial"/>
          <w:b/>
          <w:bCs/>
          <w:color w:val="2E75B6"/>
          <w:sz w:val="18"/>
          <w:szCs w:val="18"/>
        </w:rPr>
        <w:t xml:space="preserve">Business Momentum: Accelerating</w:t>
      </w:r>
    </w:p>
    <w:p>
      <w:pPr>
        <w:spacing w:after="200" w:before="0"/>
      </w:pPr>
      <w:r>
        <w:rPr>
          <w:rFonts w:ascii="Arial" w:cs="Arial" w:eastAsia="Arial" w:hAnsi="Arial"/>
          <w:color w:val="333333"/>
          <w:sz w:val="18"/>
          <w:szCs w:val="18"/>
        </w:rPr>
        <w:t xml:space="preserve">Eli Lilly progressed from supply-constrained (Q1) to capacity-enabled (Q4) over nine months. The evolution is remarkable: manufacturing constraint became competitive advantage. Mounjaro and Zepbound now dominate incretin therapeutics; Kisanlo leads in Alzheimer's amyloid targeting. Management's willingness to raise guidance every quarter suggests confidence exceeds consensus.</w:t>
      </w:r>
    </w:p>
    <w:p>
      <w:pPr>
        <w:spacing w:after="80" w:before="0"/>
      </w:pPr>
      <w:r>
        <w:rPr>
          <w:rFonts w:ascii="Arial" w:cs="Arial" w:eastAsia="Arial" w:hAnsi="Arial"/>
          <w:b/>
          <w:bCs/>
          <w:color w:val="2E75B6"/>
          <w:sz w:val="18"/>
          <w:szCs w:val="18"/>
        </w:rPr>
        <w:t xml:space="preserve">Capital Allocation: Opportunistic &amp; Disciplined</w:t>
      </w:r>
    </w:p>
    <w:p>
      <w:pPr>
        <w:spacing w:after="200" w:before="0"/>
      </w:pPr>
      <w:r>
        <w:rPr>
          <w:rFonts w:ascii="Arial" w:cs="Arial" w:eastAsia="Arial" w:hAnsi="Arial"/>
          <w:color w:val="333333"/>
          <w:sz w:val="18"/>
          <w:szCs w:val="18"/>
        </w:rPr>
        <w:t xml:space="preserve">2026 guidance (25% revenue growth, EPS $33.50–35) reflects management's belief in sustained momentum. Medicare obesity coverage by July 2026 is a key catalyst—potential volume multiplier. Manufacturing investments ($50B+) are being deployed to lock in market share. Share buybacks have resumed, signaling valuation confidence post-Q4.</w:t>
      </w:r>
    </w:p>
    <w:p>
      <w:pPr>
        <w:spacing w:after="80" w:before="0"/>
      </w:pPr>
      <w:r>
        <w:rPr>
          <w:rFonts w:ascii="Arial" w:cs="Arial" w:eastAsia="Arial" w:hAnsi="Arial"/>
          <w:b/>
          <w:bCs/>
          <w:color w:val="2E75B6"/>
          <w:sz w:val="18"/>
          <w:szCs w:val="18"/>
        </w:rPr>
        <w:t xml:space="preserve">Pipeline Validation: De-Risked</w:t>
      </w:r>
    </w:p>
    <w:p>
      <w:pPr>
        <w:spacing w:after="200" w:before="0"/>
      </w:pPr>
      <w:r>
        <w:rPr>
          <w:rFonts w:ascii="Arial" w:cs="Arial" w:eastAsia="Arial" w:hAnsi="Arial"/>
          <w:color w:val="333333"/>
          <w:sz w:val="18"/>
          <w:szCs w:val="18"/>
        </w:rPr>
        <w:t xml:space="preserve">The Phase 3 wins for Orforglipron (12.4% weight loss), SURPASS-CVOT (cardiometabolic benefit), and continued Alzheimer's pipeline progress demonstrate that Lilly's strategy is not a one-trick pony. Next-generation candidates provide optionality beyond Mounjaro/Zepbound.</w:t>
      </w:r>
    </w:p>
    <w:p>
      <w:pPr>
        <w:spacing w:after="80" w:before="0"/>
      </w:pPr>
      <w:r>
        <w:rPr>
          <w:rFonts w:ascii="Arial" w:cs="Arial" w:eastAsia="Arial" w:hAnsi="Arial"/>
          <w:b/>
          <w:bCs/>
          <w:color w:val="2E75B6"/>
          <w:sz w:val="18"/>
          <w:szCs w:val="18"/>
        </w:rPr>
        <w:t xml:space="preserve">Key Risks Ahead:</w:t>
      </w:r>
    </w:p>
    <w:p>
      <w:pPr>
        <w:spacing w:after="240" w:before="0"/>
      </w:pPr>
      <w:r>
        <w:rPr>
          <w:rFonts w:ascii="Arial" w:cs="Arial" w:eastAsia="Arial" w:hAnsi="Arial"/>
          <w:color w:val="333333"/>
          <w:sz w:val="18"/>
          <w:szCs w:val="18"/>
        </w:rPr>
        <w:t xml:space="preserve">Pricing pressure is real: 2026E price headwind of -13% to -15% signals insurance reimbursement remains a headwind. Competitive intensity is rising as Novo Nordisk, Roche, and others scale. Manufacturing execution must remain flawless—any supply disruption threatens market share. Regulatory risk (FDA could accelerate approvals for competitors or impose coverage restrictions).</w:t>
      </w:r>
    </w:p>
    <w:p>
      <w:pPr>
        <w:spacing w:after="80" w:before="0"/>
      </w:pPr>
      <w:r>
        <w:rPr>
          <w:rFonts w:ascii="Arial" w:cs="Arial" w:eastAsia="Arial" w:hAnsi="Arial"/>
          <w:b/>
          <w:bCs/>
          <w:color w:val="2E75B6"/>
          <w:sz w:val="18"/>
          <w:szCs w:val="18"/>
        </w:rPr>
        <w:t xml:space="preserve">Strategic Investor Takeaway:</w:t>
      </w:r>
    </w:p>
    <w:p>
      <w:pPr>
        <w:spacing w:after="240" w:before="0"/>
      </w:pPr>
      <w:r>
        <w:rPr>
          <w:rFonts w:ascii="Arial" w:cs="Arial" w:eastAsia="Arial" w:hAnsi="Arial"/>
          <w:color w:val="333333"/>
          <w:sz w:val="18"/>
          <w:szCs w:val="18"/>
        </w:rPr>
        <w:t xml:space="preserve">Over four quarters, Eli Lilly management demonstrated textbook execution: identified a transformational market (obesity), invested ahead of competition, scaled manufacturing to remove constraints, and built moat via efficacy (Phase 3 wins) and capacity. The business plan evolved from "we'll figure it out" (Q1) to "we dominate, and here's why" (Q4). By Q4, the company had the scale, pipeline, and confidence to guide for 25% growth into a maturing market—a rare achievement. For a strategic investor, this is a management team with credibility and a business with momentum. The risks are real (pricing, competition), but the team's track record suggests they will navigate them. This is a high-quality compounder.</w:t>
      </w:r>
    </w:p>
    <w:p>
      <w:pPr>
        <w:pBdr>
          <w:top w:val="single" w:color="1B3A5C" w:sz="6"/>
        </w:pBdr>
        <w:spacing w:after="100" w:before="240"/>
      </w:pPr>
      <w:r>
        <w:rPr>
          <w:rFonts w:ascii="Arial" w:cs="Arial" w:eastAsia="Arial" w:hAnsi="Arial"/>
          <w:b/>
          <w:bCs/>
          <w:color w:val="1B3A5C"/>
          <w:sz w:val="16"/>
          <w:szCs w:val="16"/>
        </w:rPr>
        <w:t xml:space="preserve">SOURCES</w:t>
      </w:r>
    </w:p>
    <w:p>
      <w:pPr>
        <w:spacing w:after="0" w:before="0"/>
      </w:pPr>
      <w:r>
        <w:rPr>
          <w:rFonts w:ascii="Arial" w:cs="Arial" w:eastAsia="Arial" w:hAnsi="Arial"/>
          <w:color w:val="333333"/>
          <w:sz w:val="14"/>
          <w:szCs w:val="14"/>
        </w:rPr>
        <w:t xml:space="preserve">Q1 FY2025 Earnings Call Transcript (April 29, 2025) via Seeking Alpha, GuruFocus, and Insider Monkey. Q2 FY2025 Earnings Call Transcript (July 29, 2025) via Seeking Alpha, Investing.com, Yahoo Finance. Q3 FY2025 Earnings Call Transcript (October 30, 2025) via Seeking Alpha, The Globe and Mail, Yahoo Finance. Q4 FY2025 Earnings Call Transcript (February 4, 2026) via Seeking Alpha, Investing.com, Benzinga, Nasdaq. Eli Lilly Investor Relations Webcasts &amp; Presentations (investor.lilly.com). Historical financial guidance from each quarterly earnings press release.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2026-03-14T06:01:44.196Z</dcterms:created>
  <dcterms:modified xsi:type="dcterms:W3CDTF">2026-03-14T06:01:44.196Z</dcterms:modified>
</cp:coreProperties>
</file>

<file path=docProps/custom.xml><?xml version="1.0" encoding="utf-8"?>
<Properties xmlns="http://schemas.openxmlformats.org/officeDocument/2006/custom-properties" xmlns:vt="http://schemas.openxmlformats.org/officeDocument/2006/docPropsVTypes"/>
</file>