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NVIDIA Corporation (NVDA)</w:t>
            </w:r>
          </w:p>
        </w:tc>
        <w:tc>
          <w:tcPr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Q4 FY2026 Earnings Call | February 25, 2026</w:t>
            </w:r>
          </w:p>
        </w:tc>
      </w:tr>
    </w:tbl>
    <w:p>
      <w:pPr>
        <w:spacing w:after="60"/>
      </w:pPr>
    </w:p>
    <w:p>
      <w:pPr>
        <w:pBdr>
          <w:bottom w:val="single" w:color="1B3A5C" w:sz="6"/>
        </w:pBdr>
        <w:spacing w:after="60"/>
      </w:pPr>
      <w:r>
        <w:rPr>
          <w:b/>
          <w:bCs/>
          <w:color w:val="1B3A5C"/>
          <w:sz w:val="20"/>
          <w:szCs w:val="20"/>
        </w:rPr>
        <w:t xml:space="preserve">KEY TAKEAWAYS</w:t>
      </w:r>
    </w:p>
    <w:p>
      <w:pPr>
        <w:spacing w:after="60"/>
      </w:pPr>
      <w:r>
        <w:rPr>
          <w:b/>
          <w:bCs/>
          <w:sz w:val="18"/>
          <w:szCs w:val="18"/>
        </w:rPr>
        <w:t xml:space="preserve">1. Blackwell ramp unprecedented in scale. </w:t>
      </w:r>
      <w:r>
        <w:rPr>
          <w:sz w:val="18"/>
          <w:szCs w:val="18"/>
        </w:rPr>
        <w:t xml:space="preserve">Q4 2026 Blackwell revenue exceeded expectations with the fastest product ramp in company history, driving record data center performance. This validates mgmt's AI infrastructure strategy and signals sustained customer capex commitment.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2. Data center revenue dominates growth trajectory. </w:t>
      </w:r>
      <w:r>
        <w:rPr>
          <w:sz w:val="18"/>
          <w:szCs w:val="18"/>
        </w:rPr>
        <w:t xml:space="preserve">FY2026 data center segment revenue continued explosive growth with Q3 at $57B+ (62% YoY). Record performance reflects multi-generational AI adoption—Hopper demand remains robust alongside Blackwell's accelerating ramp.</w:t>
      </w:r>
    </w:p>
    <w:p>
      <w:pPr>
        <w:spacing w:after="120"/>
      </w:pPr>
      <w:r>
        <w:rPr>
          <w:b/>
          <w:bCs/>
          <w:sz w:val="18"/>
          <w:szCs w:val="18"/>
        </w:rPr>
        <w:t xml:space="preserve">3. Rubin platform pre-shipments signal next-generation momentum. </w:t>
      </w:r>
      <w:r>
        <w:rPr>
          <w:sz w:val="18"/>
          <w:szCs w:val="18"/>
        </w:rPr>
        <w:t xml:space="preserve">Mgmt disclosed Rubin platform receiving customer pre-shipments, indicating confidence in next-gen product adoption and reducing execution risk for sustained growth beyond Blackwell cycle.</w:t>
      </w:r>
    </w:p>
    <w:p>
      <w:pPr>
        <w:pBdr>
          <w:bottom w:val="single" w:color="1B3A5C" w:sz="6"/>
        </w:pBdr>
        <w:spacing w:after="60"/>
      </w:pPr>
      <w:r>
        <w:rPr>
          <w:b/>
          <w:bCs/>
          <w:color w:val="1B3A5C"/>
          <w:sz w:val="20"/>
          <w:szCs w:val="20"/>
        </w:rPr>
        <w:t xml:space="preserve">RISK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U.S. export controls — Prior H20 inventory charge ($4.5B FY26 Q1) reflects China market restrictions. Mgmt acknowledged ongoing geopolitical risk but signaled mitigation through product roadmap flexibility.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Inventory normalization — Customers integrating record AI capex; mgmt monitoring inventory health. Risk of demand softness if capex cycle decelerates or cloud capex budgets shift.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18"/>
          <w:szCs w:val="18"/>
        </w:rPr>
        <w:t xml:space="preserve">Competitive intensification — AMD and Intel ramping AI offerings. Mgmt remains confident in architectural advantages but acknowledges rising competitive pressure on gross margins.</w:t>
      </w:r>
    </w:p>
    <w:p>
      <w:pPr>
        <w:pBdr>
          <w:bottom w:val="single" w:color="1B3A5C" w:sz="6"/>
        </w:pBdr>
        <w:spacing w:after="60"/>
      </w:pPr>
      <w:r>
        <w:rPr>
          <w:b/>
          <w:bCs/>
          <w:color w:val="1B3A5C"/>
          <w:sz w:val="20"/>
          <w:szCs w:val="20"/>
        </w:rPr>
        <w:t xml:space="preserve">PRIORITIES — NEXT QUARTER / YEAR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[Q] Maximize Blackwell revenue capture and customer ramp execution. Blackwell demand exceeds supply; supply chain optimization critical for sequential growth.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[FY] Prepare Rubin platform for volume production (late FY27). Customer pre-shipments indicate readiness; investment in manufacturing capacity and supply chain partnerships.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18"/>
          <w:szCs w:val="18"/>
        </w:rPr>
        <w:t xml:space="preserve">[FY] Expand software and services revenue (CUDA ecosystem, AI foundry services). Mgmt targeting higher-margin recurring revenue streams to complement hardware cycles.</w:t>
      </w:r>
    </w:p>
    <w:p>
      <w:pPr>
        <w:pBdr>
          <w:bottom w:val="single" w:color="1B3A5C" w:sz="6"/>
        </w:pBdr>
        <w:spacing w:after="60"/>
      </w:pPr>
      <w:r>
        <w:rPr>
          <w:b/>
          <w:bCs/>
          <w:color w:val="1B3A5C"/>
          <w:sz w:val="20"/>
          <w:szCs w:val="20"/>
        </w:rPr>
        <w:t xml:space="preserve">NOTABLE ANNOUNCEMENTS &amp; Q&amp;A</w:t>
      </w:r>
    </w:p>
    <w:p>
      <w:pPr>
        <w:spacing w:after="30"/>
      </w:pPr>
      <w:r>
        <w:rPr>
          <w:b/>
          <w:bCs/>
          <w:sz w:val="18"/>
          <w:szCs w:val="18"/>
        </w:rPr>
        <w:t xml:space="preserve">Q: Sustainability of elevated capex investment from hyperscalers? </w:t>
      </w:r>
    </w:p>
    <w:p>
      <w:pPr>
        <w:spacing w:after="60"/>
      </w:pPr>
      <w:r>
        <w:rPr>
          <w:i/>
          <w:iCs/>
          <w:sz w:val="18"/>
          <w:szCs w:val="18"/>
        </w:rPr>
        <w:t xml:space="preserve">A: CFO reaffirmed FY26 guidance; mgmt sees multi-year AI infrastructure refresh driven by model training (inference) transition. Strong ROIC visibility from LLM deployment and enterprise adoption.</w:t>
      </w:r>
    </w:p>
    <w:p>
      <w:pPr>
        <w:spacing w:after="30"/>
      </w:pPr>
      <w:r>
        <w:rPr>
          <w:b/>
          <w:bCs/>
          <w:sz w:val="18"/>
          <w:szCs w:val="18"/>
        </w:rPr>
        <w:t xml:space="preserve">Q: Gross margin trajectory given product mix shift to Blackwell? </w:t>
      </w:r>
    </w:p>
    <w:p>
      <w:pPr>
        <w:spacing w:after="60"/>
      </w:pPr>
      <w:r>
        <w:rPr>
          <w:i/>
          <w:iCs/>
          <w:sz w:val="18"/>
          <w:szCs w:val="18"/>
        </w:rPr>
        <w:t xml:space="preserve">A: Mgmt expects Blackwell ASP premium to support gross margin expansion despite higher cost structure. FY27E guidance targets sustained 70%+ gross margin.</w:t>
      </w:r>
    </w:p>
    <w:p>
      <w:pPr>
        <w:spacing w:after="30"/>
      </w:pPr>
      <w:r>
        <w:rPr>
          <w:b/>
          <w:bCs/>
          <w:sz w:val="18"/>
          <w:szCs w:val="18"/>
        </w:rPr>
        <w:t xml:space="preserve">Q: How should investors think about competitive share losses to AMD? 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A: CEO emphasized CUDA ecosystem moat and customer lock-in. Acknowledged AMD gains traction in specific OEM channels but confident installed base and software depth preserve leadership position.</w:t>
      </w:r>
    </w:p>
    <w:p>
      <w:pPr>
        <w:pBdr>
          <w:top w:val="single" w:color="1B3A5C" w:sz="6"/>
        </w:pBdr>
        <w:spacing w:before="120"/>
      </w:pPr>
      <w:r>
        <w:rPr>
          <w:i/>
          <w:iCs/>
          <w:color w:val="333333"/>
          <w:sz w:val="14"/>
          <w:szCs w:val="14"/>
        </w:rPr>
        <w:t xml:space="preserve">Sources: NVIDIA Q4 FY2026 Earnings Call Transcript (Feb 25, 2026) via The Motley Fool &amp; Seeking Alpha; NVIDIA Investor Relations; Yahoo Finance Earnings Data; Investing.com Earnings Transcript (Feb 25, 2026).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2026-03-14T06:00:16.655Z</dcterms:created>
  <dcterms:modified xsi:type="dcterms:W3CDTF">2026-03-14T06:00:16.655Z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