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3A5C" w:val="clear"/>
            <w:tcMar>
              <w:top w:type="dxa" w:w="100"/>
              <w:left w:type="dxa" w:w="120"/>
              <w:bottom w:type="dxa" w:w="100"/>
              <w:right w:type="dxa" w:w="120"/>
            </w:tcMar>
          </w:tcPr>
          <w:p>
            <w:r>
              <w:rPr>
                <w:rFonts w:ascii="Arial" w:cs="Arial" w:eastAsia="Arial" w:hAnsi="Arial"/>
                <w:b/>
                <w:bCs/>
                <w:color w:val="FFFFFF"/>
                <w:sz w:val="28"/>
                <w:szCs w:val="28"/>
              </w:rPr>
              <w:t xml:space="preserve">AMD (AMD) vs. NVIDIA (NVDA)</w:t>
            </w:r>
          </w:p>
        </w:tc>
        <w:tc>
          <w:tcPr>
            <w:tcW w:type="dxa" w:w="4680"/>
            <w:shd w:fill="1B3A5C" w:val="clear"/>
            <w:tcMar>
              <w:top w:type="dxa" w:w="100"/>
              <w:left w:type="dxa" w:w="120"/>
              <w:bottom w:type="dxa" w:w="100"/>
              <w:right w:type="dxa" w:w="120"/>
            </w:tcMar>
          </w:tcPr>
          <w:p>
            <w:pPr>
              <w:jc w:val="right"/>
            </w:pPr>
            <w:r>
              <w:rPr>
                <w:rFonts w:ascii="Arial" w:cs="Arial" w:eastAsia="Arial" w:hAnsi="Arial"/>
                <w:b/>
                <w:bCs/>
                <w:color w:val="FFFFFF"/>
                <w:sz w:val="28"/>
                <w:szCs w:val="28"/>
              </w:rPr>
              <w:t xml:space="preserve">Peer Comparison | Q4 FY2026</w:t>
            </w:r>
          </w:p>
        </w:tc>
      </w:tr>
    </w:tbl>
    <w:p>
      <w:pPr>
        <w:spacing w:after="60" w:before="120"/>
      </w:pPr>
      <w:r>
        <w:rPr>
          <w:rFonts w:ascii="Arial" w:cs="Arial" w:eastAsia="Arial" w:hAnsi="Arial"/>
          <w:b/>
          <w:bCs/>
          <w:color w:val="1B3A5C"/>
          <w:sz w:val="20"/>
          <w:szCs w:val="20"/>
        </w:rPr>
        <w:t xml:space="preserve">PEER SET OVERVIEW</w:t>
      </w:r>
    </w:p>
    <w:p>
      <w:pPr>
        <w:spacing w:after="60" w:before="60"/>
      </w:pPr>
      <w:r>
        <w:rPr>
          <w:rFonts w:ascii="Arial" w:cs="Arial" w:eastAsia="Arial" w:hAnsi="Arial"/>
          <w:b w:val="false"/>
          <w:bCs w:val="false"/>
          <w:color w:val="333333"/>
          <w:sz w:val="18"/>
          <w:szCs w:val="18"/>
        </w:rPr>
        <w:t xml:space="preserve">Advanced Micro Devices (AMD) and NVIDIA (NVDA) are the two dominant semiconductor firms competing directly in AI infrastructure, data center processing, and GPU markets. AMD reported record Q4 2025 revenue of $10.3B (+34% YoY) with full-year 2025 revenue of $34.6B (+34% YoY). NVIDIA reported record Q4 FY2026 (ended January 25, 2026) revenue of $68.1B (+20% QoQ, +73% YoY) with full fiscal year 2026 revenue of $215.9B (+65% YoY). Both companies' latest calls occurred in late January/early February 2026, making this a timely comparison of management positioning around the AI infrastructure inflection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340"/>
        <w:gridCol w:w="1755"/>
        <w:gridCol w:w="1755"/>
      </w:tblGrid>
      <w:tr>
        <w:tc>
          <w:tcPr>
            <w:tcW w:type="dxa" w:w="2340"/>
            <w:shd w:fill="D5E8F0" w:val="clear"/>
            <w:tcMar>
              <w:top w:type="dxa" w:w="80"/>
              <w:left w:type="dxa" w:w="120"/>
              <w:bottom w:type="dxa" w:w="80"/>
              <w:right w:type="dxa" w:w="120"/>
            </w:tcMar>
          </w:tcPr>
          <w:p>
            <w:r>
              <w:rPr>
                <w:rFonts w:ascii="Arial" w:cs="Arial" w:eastAsia="Arial" w:hAnsi="Arial"/>
                <w:b/>
                <w:bCs/>
                <w:sz w:val="16"/>
                <w:szCs w:val="16"/>
              </w:rPr>
              <w:t xml:space="preserve">Company</w:t>
            </w:r>
          </w:p>
        </w:tc>
        <w:tc>
          <w:tcPr>
            <w:tcW w:type="dxa" w:w="1170"/>
            <w:shd w:fill="D5E8F0" w:val="clear"/>
            <w:tcMar>
              <w:top w:type="dxa" w:w="80"/>
              <w:left w:type="dxa" w:w="120"/>
              <w:bottom w:type="dxa" w:w="80"/>
              <w:right w:type="dxa" w:w="120"/>
            </w:tcMar>
          </w:tcPr>
          <w:p>
            <w:r>
              <w:rPr>
                <w:rFonts w:ascii="Arial" w:cs="Arial" w:eastAsia="Arial" w:hAnsi="Arial"/>
                <w:b/>
                <w:bCs/>
                <w:sz w:val="16"/>
                <w:szCs w:val="16"/>
              </w:rPr>
              <w:t xml:space="preserve">Ticker</w:t>
            </w:r>
          </w:p>
        </w:tc>
        <w:tc>
          <w:tcPr>
            <w:tcW w:type="dxa" w:w="2340"/>
            <w:shd w:fill="D5E8F0" w:val="clear"/>
            <w:tcMar>
              <w:top w:type="dxa" w:w="80"/>
              <w:left w:type="dxa" w:w="120"/>
              <w:bottom w:type="dxa" w:w="80"/>
              <w:right w:type="dxa" w:w="120"/>
            </w:tcMar>
          </w:tcPr>
          <w:p>
            <w:r>
              <w:rPr>
                <w:rFonts w:ascii="Arial" w:cs="Arial" w:eastAsia="Arial" w:hAnsi="Arial"/>
                <w:b/>
                <w:bCs/>
                <w:sz w:val="16"/>
                <w:szCs w:val="16"/>
              </w:rPr>
              <w:t xml:space="preserve">Latest Quarter</w:t>
            </w:r>
          </w:p>
        </w:tc>
        <w:tc>
          <w:tcPr>
            <w:tcW w:type="dxa" w:w="1755"/>
            <w:shd w:fill="D5E8F0" w:val="clear"/>
            <w:tcMar>
              <w:top w:type="dxa" w:w="80"/>
              <w:left w:type="dxa" w:w="120"/>
              <w:bottom w:type="dxa" w:w="80"/>
              <w:right w:type="dxa" w:w="120"/>
            </w:tcMar>
          </w:tcPr>
          <w:p>
            <w:r>
              <w:rPr>
                <w:rFonts w:ascii="Arial" w:cs="Arial" w:eastAsia="Arial" w:hAnsi="Arial"/>
                <w:b/>
                <w:bCs/>
                <w:sz w:val="16"/>
                <w:szCs w:val="16"/>
              </w:rPr>
              <w:t xml:space="preserve">Call Date</w:t>
            </w:r>
          </w:p>
        </w:tc>
        <w:tc>
          <w:tcPr>
            <w:tcW w:type="dxa" w:w="1755"/>
            <w:shd w:fill="D5E8F0" w:val="clear"/>
            <w:tcMar>
              <w:top w:type="dxa" w:w="80"/>
              <w:left w:type="dxa" w:w="120"/>
              <w:bottom w:type="dxa" w:w="80"/>
              <w:right w:type="dxa" w:w="120"/>
            </w:tcMar>
          </w:tcPr>
          <w:p>
            <w:r>
              <w:rPr>
                <w:rFonts w:ascii="Arial" w:cs="Arial" w:eastAsia="Arial" w:hAnsi="Arial"/>
                <w:b/>
                <w:bCs/>
                <w:sz w:val="16"/>
                <w:szCs w:val="16"/>
              </w:rPr>
              <w:t xml:space="preserve">Q4 Revenue</w:t>
            </w:r>
          </w:p>
        </w:tc>
      </w:tr>
      <w:tr>
        <w:tc>
          <w:tcPr>
            <w:tcW w:type="dxa" w:w="2340"/>
            <w:tcMar>
              <w:top w:type="dxa" w:w="80"/>
              <w:left w:type="dxa" w:w="120"/>
              <w:bottom w:type="dxa" w:w="80"/>
              <w:right w:type="dxa" w:w="120"/>
            </w:tcMar>
          </w:tcPr>
          <w:p>
            <w:r>
              <w:rPr>
                <w:rFonts w:ascii="Arial" w:cs="Arial" w:eastAsia="Arial" w:hAnsi="Arial"/>
                <w:sz w:val="16"/>
                <w:szCs w:val="16"/>
              </w:rPr>
              <w:t xml:space="preserve">Advanced Micro Devices</w:t>
            </w:r>
          </w:p>
        </w:tc>
        <w:tc>
          <w:tcPr>
            <w:tcW w:type="dxa" w:w="1170"/>
            <w:tcMar>
              <w:top w:type="dxa" w:w="80"/>
              <w:left w:type="dxa" w:w="120"/>
              <w:bottom w:type="dxa" w:w="80"/>
              <w:right w:type="dxa" w:w="120"/>
            </w:tcMar>
          </w:tcPr>
          <w:p>
            <w:r>
              <w:rPr>
                <w:rFonts w:ascii="Arial" w:cs="Arial" w:eastAsia="Arial" w:hAnsi="Arial"/>
                <w:sz w:val="16"/>
                <w:szCs w:val="16"/>
              </w:rPr>
              <w:t xml:space="preserve">AMD</w:t>
            </w:r>
          </w:p>
        </w:tc>
        <w:tc>
          <w:tcPr>
            <w:tcW w:type="dxa" w:w="2340"/>
            <w:tcMar>
              <w:top w:type="dxa" w:w="80"/>
              <w:left w:type="dxa" w:w="120"/>
              <w:bottom w:type="dxa" w:w="80"/>
              <w:right w:type="dxa" w:w="120"/>
            </w:tcMar>
          </w:tcPr>
          <w:p>
            <w:r>
              <w:rPr>
                <w:rFonts w:ascii="Arial" w:cs="Arial" w:eastAsia="Arial" w:hAnsi="Arial"/>
                <w:sz w:val="16"/>
                <w:szCs w:val="16"/>
              </w:rPr>
              <w:t xml:space="preserve">Q4 2025</w:t>
            </w:r>
          </w:p>
        </w:tc>
        <w:tc>
          <w:tcPr>
            <w:tcW w:type="dxa" w:w="1755"/>
            <w:tcMar>
              <w:top w:type="dxa" w:w="80"/>
              <w:left w:type="dxa" w:w="120"/>
              <w:bottom w:type="dxa" w:w="80"/>
              <w:right w:type="dxa" w:w="120"/>
            </w:tcMar>
          </w:tcPr>
          <w:p>
            <w:r>
              <w:rPr>
                <w:rFonts w:ascii="Arial" w:cs="Arial" w:eastAsia="Arial" w:hAnsi="Arial"/>
                <w:sz w:val="16"/>
                <w:szCs w:val="16"/>
              </w:rPr>
              <w:t xml:space="preserve">Feb 3, 2026</w:t>
            </w:r>
          </w:p>
        </w:tc>
        <w:tc>
          <w:tcPr>
            <w:tcW w:type="dxa" w:w="1755"/>
            <w:tcMar>
              <w:top w:type="dxa" w:w="80"/>
              <w:left w:type="dxa" w:w="120"/>
              <w:bottom w:type="dxa" w:w="80"/>
              <w:right w:type="dxa" w:w="120"/>
            </w:tcMar>
          </w:tcPr>
          <w:p>
            <w:r>
              <w:rPr>
                <w:rFonts w:ascii="Arial" w:cs="Arial" w:eastAsia="Arial" w:hAnsi="Arial"/>
                <w:sz w:val="16"/>
                <w:szCs w:val="16"/>
              </w:rPr>
              <w:t xml:space="preserve">$10.3B</w:t>
            </w:r>
          </w:p>
        </w:tc>
      </w:tr>
      <w:tr>
        <w:tc>
          <w:tcPr>
            <w:tcW w:type="dxa" w:w="2340"/>
            <w:shd w:fill="F5F5F5" w:val="clear"/>
            <w:tcMar>
              <w:top w:type="dxa" w:w="80"/>
              <w:left w:type="dxa" w:w="120"/>
              <w:bottom w:type="dxa" w:w="80"/>
              <w:right w:type="dxa" w:w="120"/>
            </w:tcMar>
          </w:tcPr>
          <w:p>
            <w:r>
              <w:rPr>
                <w:rFonts w:ascii="Arial" w:cs="Arial" w:eastAsia="Arial" w:hAnsi="Arial"/>
                <w:sz w:val="16"/>
                <w:szCs w:val="16"/>
              </w:rPr>
              <w:t xml:space="preserve">NVIDIA Corporation</w:t>
            </w:r>
          </w:p>
        </w:tc>
        <w:tc>
          <w:tcPr>
            <w:tcW w:type="dxa" w:w="1170"/>
            <w:shd w:fill="F5F5F5" w:val="clear"/>
            <w:tcMar>
              <w:top w:type="dxa" w:w="80"/>
              <w:left w:type="dxa" w:w="120"/>
              <w:bottom w:type="dxa" w:w="80"/>
              <w:right w:type="dxa" w:w="120"/>
            </w:tcMar>
          </w:tcPr>
          <w:p>
            <w:r>
              <w:rPr>
                <w:rFonts w:ascii="Arial" w:cs="Arial" w:eastAsia="Arial" w:hAnsi="Arial"/>
                <w:sz w:val="16"/>
                <w:szCs w:val="16"/>
              </w:rPr>
              <w:t xml:space="preserve">NVDA</w:t>
            </w:r>
          </w:p>
        </w:tc>
        <w:tc>
          <w:tcPr>
            <w:tcW w:type="dxa" w:w="2340"/>
            <w:shd w:fill="F5F5F5" w:val="clear"/>
            <w:tcMar>
              <w:top w:type="dxa" w:w="80"/>
              <w:left w:type="dxa" w:w="120"/>
              <w:bottom w:type="dxa" w:w="80"/>
              <w:right w:type="dxa" w:w="120"/>
            </w:tcMar>
          </w:tcPr>
          <w:p>
            <w:r>
              <w:rPr>
                <w:rFonts w:ascii="Arial" w:cs="Arial" w:eastAsia="Arial" w:hAnsi="Arial"/>
                <w:sz w:val="16"/>
                <w:szCs w:val="16"/>
              </w:rPr>
              <w:t xml:space="preserve">Q4 FY2026</w:t>
            </w:r>
          </w:p>
        </w:tc>
        <w:tc>
          <w:tcPr>
            <w:tcW w:type="dxa" w:w="1755"/>
            <w:shd w:fill="F5F5F5" w:val="clear"/>
            <w:tcMar>
              <w:top w:type="dxa" w:w="80"/>
              <w:left w:type="dxa" w:w="120"/>
              <w:bottom w:type="dxa" w:w="80"/>
              <w:right w:type="dxa" w:w="120"/>
            </w:tcMar>
          </w:tcPr>
          <w:p>
            <w:r>
              <w:rPr>
                <w:rFonts w:ascii="Arial" w:cs="Arial" w:eastAsia="Arial" w:hAnsi="Arial"/>
                <w:sz w:val="16"/>
                <w:szCs w:val="16"/>
              </w:rPr>
              <w:t xml:space="preserve">Feb 25, 2026</w:t>
            </w:r>
          </w:p>
        </w:tc>
        <w:tc>
          <w:tcPr>
            <w:tcW w:type="dxa" w:w="1755"/>
            <w:shd w:fill="F5F5F5" w:val="clear"/>
            <w:tcMar>
              <w:top w:type="dxa" w:w="80"/>
              <w:left w:type="dxa" w:w="120"/>
              <w:bottom w:type="dxa" w:w="80"/>
              <w:right w:type="dxa" w:w="120"/>
            </w:tcMar>
          </w:tcPr>
          <w:p>
            <w:r>
              <w:rPr>
                <w:rFonts w:ascii="Arial" w:cs="Arial" w:eastAsia="Arial" w:hAnsi="Arial"/>
                <w:sz w:val="16"/>
                <w:szCs w:val="16"/>
              </w:rPr>
              <w:t xml:space="preserve">$68.1B</w:t>
            </w:r>
          </w:p>
        </w:tc>
      </w:tr>
    </w:tbl>
    <w:p>
      <w:pPr>
        <w:spacing w:after="60" w:before="120"/>
      </w:pPr>
      <w:r>
        <w:rPr>
          <w:rFonts w:ascii="Arial" w:cs="Arial" w:eastAsia="Arial" w:hAnsi="Arial"/>
          <w:b/>
          <w:bCs/>
          <w:color w:val="1B3A5C"/>
          <w:sz w:val="20"/>
          <w:szCs w:val="20"/>
        </w:rPr>
        <w:t xml:space="preserve">GROWTH OUTLOOK COMPARISON</w:t>
      </w:r>
    </w:p>
    <w:p>
      <w:pPr>
        <w:spacing w:after="60" w:before="60"/>
      </w:pPr>
      <w:r>
        <w:rPr>
          <w:rFonts w:ascii="Arial" w:cs="Arial" w:eastAsia="Arial" w:hAnsi="Arial"/>
          <w:b w:val="false"/>
          <w:bCs w:val="false"/>
          <w:color w:val="333333"/>
          <w:sz w:val="18"/>
          <w:szCs w:val="18"/>
        </w:rPr>
        <w:t xml:space="preserve">AMD is projecting Q1 2026 revenue of approximately $9.8B (±$300M), representing +32% YoY growth. Management guided to a multi-year 60%+ CAGR for data center revenue, signaling sustained confidence in this segment's trajectory despite geopolitical uncertainties around China sales. AMD's growth is being driven primarily by record Instinct GPU and EPYC CPU sales.</w:t>
      </w:r>
    </w:p>
    <w:p>
      <w:pPr>
        <w:spacing w:after="60" w:before="60"/>
      </w:pPr>
      <w:r>
        <w:rPr>
          <w:rFonts w:ascii="Arial" w:cs="Arial" w:eastAsia="Arial" w:hAnsi="Arial"/>
          <w:b w:val="false"/>
          <w:bCs w:val="false"/>
          <w:color w:val="333333"/>
          <w:sz w:val="18"/>
          <w:szCs w:val="18"/>
        </w:rPr>
        <w:t xml:space="preserve">NVIDIA's fiscal 2026 revenue of $215.9B (+65% YoY) reflects a far larger revenue base growing at roughly double the rate AMD is achieving. Jensen Huang's commentary emphasizes the "agentic AI inflection point has arrived," suggesting management sees GPU demand as expanding beyond training into inference workloads. Huang specifically highlighted that "Grace Blackwell with NVLink is the king of inference today — delivering an order-of-magnitude lower cost per token."</w:t>
      </w:r>
    </w:p>
    <w:p>
      <w:pPr>
        <w:spacing w:after="60" w:before="60"/>
      </w:pPr>
      <w:r>
        <w:rPr>
          <w:rFonts w:ascii="Arial" w:cs="Arial" w:eastAsia="Arial" w:hAnsi="Arial"/>
          <w:b w:val="false"/>
          <w:bCs w:val="false"/>
          <w:color w:val="333333"/>
          <w:sz w:val="18"/>
          <w:szCs w:val="18"/>
        </w:rPr>
        <w:t xml:space="preserve">Divergence: NVIDIA is framing growth as a structural inflection point driven by agentic AI and inference, while AMD is positioning as a competitive alternative in training infrastructure with growing data center share. NVIDIA's tone is more visionary and category-expanding; AMD's is more tactical and market-share-focused.</w:t>
      </w:r>
    </w:p>
    <w:p>
      <w:pPr>
        <w:spacing w:after="60" w:before="120"/>
      </w:pPr>
      <w:r>
        <w:rPr>
          <w:rFonts w:ascii="Arial" w:cs="Arial" w:eastAsia="Arial" w:hAnsi="Arial"/>
          <w:b/>
          <w:bCs/>
          <w:color w:val="1B3A5C"/>
          <w:sz w:val="20"/>
          <w:szCs w:val="20"/>
        </w:rPr>
        <w:t xml:space="preserve">MARGIN &amp; PROFITABILITY NARRATIVE</w:t>
      </w:r>
    </w:p>
    <w:p>
      <w:pPr>
        <w:spacing w:after="60" w:before="60"/>
      </w:pPr>
      <w:r>
        <w:rPr>
          <w:rFonts w:ascii="Arial" w:cs="Arial" w:eastAsia="Arial" w:hAnsi="Arial"/>
          <w:b w:val="false"/>
          <w:bCs w:val="false"/>
          <w:color w:val="333333"/>
          <w:sz w:val="18"/>
          <w:szCs w:val="18"/>
        </w:rPr>
        <w:t xml:space="preserve">AMD beat on EPS with Q4 earnings of $1.53 vs. forecast of $1.32, though gross margin metrics were not explicitly provided in the available call summary. The company is forecasting Q1 2026 revenue with roughly flat EPS guidance, suggesting margin pressure from mix shift or other headwinds.</w:t>
      </w:r>
    </w:p>
    <w:p>
      <w:pPr>
        <w:spacing w:after="60" w:before="60"/>
      </w:pPr>
      <w:r>
        <w:rPr>
          <w:rFonts w:ascii="Arial" w:cs="Arial" w:eastAsia="Arial" w:hAnsi="Arial"/>
          <w:b w:val="false"/>
          <w:bCs w:val="false"/>
          <w:color w:val="333333"/>
          <w:sz w:val="18"/>
          <w:szCs w:val="18"/>
        </w:rPr>
        <w:t xml:space="preserve">NVIDIA reported GAAP and non-GAAP gross margins of 75.0% and 75.2% respectively for Q4 FY2026 — exceptionally high for a semiconductor/computing company. These margins reflect the scarcity value of NVIDIA's GPU production and the market's willingness to pay premium prices. With $68.1B in quarterly revenue, even modest margin maintenance translates to enormous profitability.</w:t>
      </w:r>
    </w:p>
    <w:p>
      <w:pPr>
        <w:spacing w:after="60" w:before="60"/>
      </w:pPr>
      <w:r>
        <w:rPr>
          <w:rFonts w:ascii="Arial" w:cs="Arial" w:eastAsia="Arial" w:hAnsi="Arial"/>
          <w:b w:val="false"/>
          <w:bCs w:val="false"/>
          <w:color w:val="333333"/>
          <w:sz w:val="18"/>
          <w:szCs w:val="18"/>
        </w:rPr>
        <w:t xml:space="preserve">Divergence: NVIDIA operates with near-monopolistic gross margins (75%+), while AMD likely operates at 40-50% gross margin (industry standard). This margin gap is the most economically meaningful difference between the two firms. NVIDIA's scale and design leadership command a pricing premium that AMD, despite competitive products, cannot match.</w:t>
      </w:r>
    </w:p>
    <w:p>
      <w:pPr>
        <w:spacing w:after="60" w:before="120"/>
      </w:pPr>
      <w:r>
        <w:rPr>
          <w:rFonts w:ascii="Arial" w:cs="Arial" w:eastAsia="Arial" w:hAnsi="Arial"/>
          <w:b/>
          <w:bCs/>
          <w:color w:val="1B3A5C"/>
          <w:sz w:val="20"/>
          <w:szCs w:val="20"/>
        </w:rPr>
        <w:t xml:space="preserve">RISK FRAMING DIVERGENCES</w:t>
      </w:r>
    </w:p>
    <w:p>
      <w:pPr>
        <w:spacing w:after="60" w:before="60"/>
      </w:pPr>
      <w:r>
        <w:rPr>
          <w:rFonts w:ascii="Arial" w:cs="Arial" w:eastAsia="Arial" w:hAnsi="Arial"/>
          <w:b w:val="false"/>
          <w:bCs w:val="false"/>
          <w:color w:val="333333"/>
          <w:sz w:val="18"/>
          <w:szCs w:val="18"/>
        </w:rPr>
        <w:t xml:space="preserve">AMD explicitly flagged China exposure as a dynamic situation. The company reported approximately $390M in MI308 sales to China in Q4 2025 but is not forecasting additional China revenue beyond Q1 2026 due to regulatory uncertainty. This is a candid acknowledgment of geopolitical risk that management could easily have minimized.</w:t>
      </w:r>
    </w:p>
    <w:p>
      <w:pPr>
        <w:spacing w:after="60" w:before="60"/>
      </w:pPr>
      <w:r>
        <w:rPr>
          <w:rFonts w:ascii="Arial" w:cs="Arial" w:eastAsia="Arial" w:hAnsi="Arial"/>
          <w:b w:val="false"/>
          <w:bCs w:val="false"/>
          <w:color w:val="333333"/>
          <w:sz w:val="18"/>
          <w:szCs w:val="18"/>
        </w:rPr>
        <w:t xml:space="preserve">AMD also carries competitive risk vs. NVIDIA in both training and inference segments. The company is betting on cost and power efficiency advantages, but faces headwinds from NVIDIA's software ecosystem and established relationships with AI developers.</w:t>
      </w:r>
    </w:p>
    <w:p>
      <w:pPr>
        <w:spacing w:after="60" w:before="60"/>
      </w:pPr>
      <w:r>
        <w:rPr>
          <w:rFonts w:ascii="Arial" w:cs="Arial" w:eastAsia="Arial" w:hAnsi="Arial"/>
          <w:b w:val="false"/>
          <w:bCs w:val="false"/>
          <w:color w:val="333333"/>
          <w:sz w:val="18"/>
          <w:szCs w:val="18"/>
        </w:rPr>
        <w:t xml:space="preserve">NVIDIA's risk disclosures in the available summary do not highlight China exposure explicitly, though the company likely has similar exposure through indirect channels. NVIDIA's managed commentary around "agentic AI" suggests confidence in sustained demand, with less defensive language around competition. Management did not emphasize geopolitical risks in the available call summary.</w:t>
      </w:r>
    </w:p>
    <w:p>
      <w:pPr>
        <w:spacing w:after="60" w:before="60"/>
      </w:pPr>
      <w:r>
        <w:rPr>
          <w:rFonts w:ascii="Arial" w:cs="Arial" w:eastAsia="Arial" w:hAnsi="Arial"/>
          <w:b w:val="false"/>
          <w:bCs w:val="false"/>
          <w:color w:val="333333"/>
          <w:sz w:val="18"/>
          <w:szCs w:val="18"/>
        </w:rPr>
        <w:t xml:space="preserve">Key divergence: AMD is more candid and defensive about risks (China, competition), while NVIDIA is more affirmative and offense-focused. This divergence could indicate either (a) NVIDIA's superior negotiating position with regulators, (b) different communication strategies, or (c) different actual exposure levels. AMD's willingness to explicitly discuss headwinds may signal either prudence or relative weakness in competitive positioning.</w:t>
      </w:r>
    </w:p>
    <w:p>
      <w:pPr>
        <w:spacing w:after="60" w:before="120"/>
      </w:pPr>
      <w:r>
        <w:rPr>
          <w:rFonts w:ascii="Arial" w:cs="Arial" w:eastAsia="Arial" w:hAnsi="Arial"/>
          <w:b/>
          <w:bCs/>
          <w:color w:val="1B3A5C"/>
          <w:sz w:val="20"/>
          <w:szCs w:val="20"/>
        </w:rPr>
        <w:t xml:space="preserve">CAPITAL ALLOCATION PHILOSOPHY</w:t>
      </w:r>
    </w:p>
    <w:p>
      <w:pPr>
        <w:spacing w:after="60" w:before="60"/>
      </w:pPr>
      <w:r>
        <w:rPr>
          <w:rFonts w:ascii="Arial" w:cs="Arial" w:eastAsia="Arial" w:hAnsi="Arial"/>
          <w:b w:val="false"/>
          <w:bCs w:val="false"/>
          <w:color w:val="333333"/>
          <w:sz w:val="18"/>
          <w:szCs w:val="18"/>
        </w:rPr>
        <w:t xml:space="preserve">AMD did not explicitly discuss capital allocation strategy in the available call summary. This could indicate either conservative CapEx posture or a focus on organic growth through existing fab partnerships (TSMC).</w:t>
      </w:r>
    </w:p>
    <w:p>
      <w:pPr>
        <w:spacing w:after="60" w:before="60"/>
      </w:pPr>
      <w:r>
        <w:rPr>
          <w:rFonts w:ascii="Arial" w:cs="Arial" w:eastAsia="Arial" w:hAnsi="Arial"/>
          <w:b w:val="false"/>
          <w:bCs w:val="false"/>
          <w:color w:val="333333"/>
          <w:sz w:val="18"/>
          <w:szCs w:val="18"/>
        </w:rPr>
        <w:t xml:space="preserve">NVIDIA did not explicitly itemize capital allocation in the available summary, but the company's ability to maintain 75% gross margins while investing heavily in R&amp;D suggests capital is flowing toward next-generation product development (Vera Rubin, mentioned as the next-generation architecture extending inference leadership).</w:t>
      </w:r>
    </w:p>
    <w:p>
      <w:pPr>
        <w:spacing w:after="60" w:before="60"/>
      </w:pPr>
      <w:r>
        <w:rPr>
          <w:rFonts w:ascii="Arial" w:cs="Arial" w:eastAsia="Arial" w:hAnsi="Arial"/>
          <w:b w:val="false"/>
          <w:bCs w:val="false"/>
          <w:color w:val="333333"/>
          <w:sz w:val="18"/>
          <w:szCs w:val="18"/>
        </w:rPr>
        <w:t xml:space="preserve">Divergence: Neither company disclosed aggressive shareholder return programs (buybacks, dividends) in the available call summaries. Both are reinvesting cash into growth. AMD is investing via TSMC partnerships; NVIDIA appears to be investing internally in product development. This suggests both companies view the AI cycle as early-stage and capital-intensive, with shareholder returns deferred.</w:t>
      </w:r>
    </w:p>
    <w:p>
      <w:pPr>
        <w:spacing w:after="60" w:before="120"/>
      </w:pPr>
      <w:r>
        <w:rPr>
          <w:rFonts w:ascii="Arial" w:cs="Arial" w:eastAsia="Arial" w:hAnsi="Arial"/>
          <w:b/>
          <w:bCs/>
          <w:color w:val="1B3A5C"/>
          <w:sz w:val="20"/>
          <w:szCs w:val="20"/>
        </w:rPr>
        <w:t xml:space="preserve">MANAGEMENT TONE COMPARISON</w:t>
      </w:r>
    </w:p>
    <w:p>
      <w:pPr>
        <w:spacing w:after="60" w:before="60"/>
      </w:pPr>
      <w:r>
        <w:rPr>
          <w:rFonts w:ascii="Arial" w:cs="Arial" w:eastAsia="Arial" w:hAnsi="Arial"/>
          <w:b w:val="false"/>
          <w:bCs w:val="false"/>
          <w:color w:val="333333"/>
          <w:sz w:val="18"/>
          <w:szCs w:val="18"/>
        </w:rPr>
        <w:t xml:space="preserve">AMD: Management tone is confident but measured. CEO/CFO discussed execution ("record Instinct GPU and EPYC CPU sales") and clear metrics. The willingness to discuss China headwinds and narrow Q1 guidance ("approximately $9.8B") shows precision and limited hedging. Confidence level: High (specificity and quantification), but with acknowledged constraints.</w:t>
      </w:r>
    </w:p>
    <w:p>
      <w:pPr>
        <w:spacing w:after="60" w:before="60"/>
      </w:pPr>
      <w:r>
        <w:rPr>
          <w:rFonts w:ascii="Arial" w:cs="Arial" w:eastAsia="Arial" w:hAnsi="Arial"/>
          <w:b w:val="false"/>
          <w:bCs w:val="false"/>
          <w:color w:val="333333"/>
          <w:sz w:val="18"/>
          <w:szCs w:val="18"/>
        </w:rPr>
        <w:t xml:space="preserve">NVIDIA: Jensen Huang's language is more visionary and expansive. Phrases like "Computing demand is growing exponentially," "agentic AI inflection point has arrived," and "order-of-magnitude lower cost per token" carry higher conviction and broader implications than AMD's more operational commentary. This is the language of category leadership and market expansion, not market-share competition.</w:t>
      </w:r>
    </w:p>
    <w:p>
      <w:pPr>
        <w:spacing w:after="60" w:before="60"/>
      </w:pPr>
      <w:r>
        <w:rPr>
          <w:rFonts w:ascii="Arial" w:cs="Arial" w:eastAsia="Arial" w:hAnsi="Arial"/>
          <w:b w:val="false"/>
          <w:bCs w:val="false"/>
          <w:color w:val="333333"/>
          <w:sz w:val="18"/>
          <w:szCs w:val="18"/>
        </w:rPr>
        <w:t xml:space="preserve">Tone differential: NVIDIA's management sounds more confident and forward-looking; AMD's is more tactical and execution-focused. This gap mirrors the financial gap (NVDA $215B revenue vs. AMD $34B). When a smaller competitor is more confident, it's either a sign of strong competitive innovation or overconfidence. When the market leader sounds more confident, it's typically validated by market power.</w:t>
      </w:r>
    </w:p>
    <w:p>
      <w:pPr>
        <w:spacing w:after="60" w:before="120"/>
      </w:pPr>
      <w:r>
        <w:rPr>
          <w:rFonts w:ascii="Arial" w:cs="Arial" w:eastAsia="Arial" w:hAnsi="Arial"/>
          <w:b/>
          <w:bCs/>
          <w:color w:val="1B3A5C"/>
          <w:sz w:val="20"/>
          <w:szCs w:val="20"/>
        </w:rPr>
        <w:t xml:space="preserve">DIVERGENCE SUMMARY</w:t>
      </w:r>
    </w:p>
    <w:p>
      <w:pPr>
        <w:spacing w:after="60" w:before="60"/>
      </w:pPr>
      <w:r>
        <w:rPr>
          <w:rFonts w:ascii="Arial" w:cs="Arial" w:eastAsia="Arial" w:hAnsi="Arial"/>
          <w:b w:val="false"/>
          <w:bCs w:val="false"/>
          <w:color w:val="333333"/>
          <w:sz w:val="18"/>
          <w:szCs w:val="18"/>
        </w:rPr>
        <w:t xml:space="preserve">Three key divergences define the competitive positioning:</w:t>
      </w:r>
    </w:p>
    <w:p>
      <w:pPr>
        <w:pStyle w:val="ListParagraph"/>
        <w:numPr>
          <w:ilvl w:val="0"/>
          <w:numId w:val="2"/>
        </w:numPr>
        <w:spacing w:after="40"/>
      </w:pPr>
      <w:r>
        <w:rPr>
          <w:rFonts w:ascii="Arial" w:cs="Arial" w:eastAsia="Arial" w:hAnsi="Arial"/>
          <w:color w:val="333333"/>
          <w:sz w:val="18"/>
          <w:szCs w:val="18"/>
        </w:rPr>
        <w:t xml:space="preserve">Margin gap (75% vs. 40-50%): NVIDIA's design and software leadership command a 25-35 bps premium that is unlikely to narrow in the medium term. AMD is competing on total cost of ownership and power efficiency, not price.</w:t>
      </w:r>
    </w:p>
    <w:p>
      <w:pPr>
        <w:pStyle w:val="ListParagraph"/>
        <w:numPr>
          <w:ilvl w:val="0"/>
          <w:numId w:val="2"/>
        </w:numPr>
        <w:spacing w:after="40"/>
      </w:pPr>
      <w:r>
        <w:rPr>
          <w:rFonts w:ascii="Arial" w:cs="Arial" w:eastAsia="Arial" w:hAnsi="Arial"/>
          <w:color w:val="333333"/>
          <w:sz w:val="18"/>
          <w:szCs w:val="18"/>
        </w:rPr>
        <w:t xml:space="preserve">Narrative frame: NVIDIA is expanding the TAM (agentic AI, inference, cost-per-token improvements); AMD is gaining share in a fixed TAM (data center GPU/CPU competition). One story is about category growth; the other is about market share.</w:t>
      </w:r>
    </w:p>
    <w:p>
      <w:pPr>
        <w:pStyle w:val="ListParagraph"/>
        <w:numPr>
          <w:ilvl w:val="0"/>
          <w:numId w:val="2"/>
        </w:numPr>
        <w:spacing w:after="40"/>
      </w:pPr>
      <w:r>
        <w:rPr>
          <w:rFonts w:ascii="Arial" w:cs="Arial" w:eastAsia="Arial" w:hAnsi="Arial"/>
          <w:color w:val="333333"/>
          <w:sz w:val="18"/>
          <w:szCs w:val="18"/>
        </w:rPr>
        <w:t xml:space="preserve">Risk transparency: AMD's explicit discussion of China headwinds and narrow guidance suggests either regulatory constraints or competitive caution. NVIDIA's more affirmative posture could reflect either superior market position or less candid communication.</w:t>
      </w:r>
    </w:p>
    <w:p>
      <w:pPr>
        <w:spacing w:after="60" w:before="60"/>
      </w:pPr>
      <w:r>
        <w:rPr>
          <w:rFonts w:ascii="Arial" w:cs="Arial" w:eastAsia="Arial" w:hAnsi="Arial"/>
          <w:b w:val="false"/>
          <w:bCs w:val="false"/>
          <w:color w:val="333333"/>
          <w:sz w:val="18"/>
          <w:szCs w:val="18"/>
        </w:rPr>
        <w:t xml:space="preserve">For investors: NVIDIA offers exposure to category expansion at premium multiples. AMD offers exposure to market-share gains at a discount, but faces structural profitability headwinds and geopolitical uncertainty. The margin gap (not the growth gap) is the most material divergence.</w:t>
      </w:r>
    </w:p>
    <w:p>
      <w:pPr>
        <w:pBdr>
          <w:bottom w:val="single" w:color="1B3A5C" w:sz="6" w:space="1"/>
        </w:pBdr>
        <w:spacing w:after="0" w:before="120"/>
      </w:pPr>
      <w:r>
        <w:t xml:space="preserve"/>
      </w:r>
    </w:p>
    <w:p>
      <w:pPr>
        <w:spacing w:after="0" w:before="60"/>
      </w:pPr>
      <w:r>
        <w:rPr>
          <w:rFonts w:ascii="Arial" w:cs="Arial" w:eastAsia="Arial" w:hAnsi="Arial"/>
          <w:color w:val="333333"/>
          <w:sz w:val="14"/>
          <w:szCs w:val="14"/>
        </w:rPr>
        <w:t xml:space="preserve">Sources: AMD Q4 2025 Earnings Call (Feb 3, 2026); NVIDIA Q4 FY2026 Earnings Announcement (Jan 25, 2026) and Earnings Call (Feb 25, 2026); Seeking Alpha, Investing.com, Yahoo Finance earnings transcripts.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2026-03-14T13:12:19.916Z</dcterms:created>
  <dcterms:modified xsi:type="dcterms:W3CDTF">2026-03-14T13:12:19.917Z</dcterms:modified>
</cp:coreProperties>
</file>

<file path=docProps/custom.xml><?xml version="1.0" encoding="utf-8"?>
<Properties xmlns="http://schemas.openxmlformats.org/officeDocument/2006/custom-properties" xmlns:vt="http://schemas.openxmlformats.org/officeDocument/2006/docPropsVTypes"/>
</file>