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Tesla Inc. (TSLA)</w:t>
            </w:r>
          </w:p>
        </w:tc>
        <w:tc>
          <w:tcPr>
            <w:tcBorders>
              <w:top w:val="single" w:color="CCCCCC" w:sz="1"/>
              <w:left w:val="single" w:color="1B3A5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Guidance Tracker | Q1 2025 – Q4 2025</w:t>
            </w:r>
          </w:p>
        </w:tc>
      </w:tr>
    </w:tbl>
    <w:p>
      <w:pPr>
        <w:spacing w:after="120" w:before="0"/>
      </w:pPr>
      <w:r>
        <w:rPr>
          <w:rFonts w:ascii="Arial" w:cs="Arial" w:eastAsia="Arial" w:hAnsi="Arial"/>
          <w:color w:val="2E75B6"/>
          <w:sz w:val="16"/>
          <w:szCs w:val="16"/>
        </w:rPr>
        <w:t xml:space="preserve">Perspective: Strategic Investor</w:t>
      </w:r>
    </w:p>
    <w:p>
      <w:pPr>
        <w:pBdr>
          <w:bottom w:val="single" w:color="1B3A5C" w:sz="6"/>
        </w:pBdr>
        <w:spacing w:after="60" w:before="120"/>
      </w:pPr>
      <w:r>
        <w:rPr>
          <w:rFonts w:ascii="Arial" w:cs="Arial" w:eastAsia="Arial" w:hAnsi="Arial"/>
          <w:b/>
          <w:bCs/>
          <w:color w:val="1B3A5C"/>
          <w:sz w:val="20"/>
          <w:szCs w:val="20"/>
        </w:rPr>
        <w:t xml:space="preserve">CREDIBILITY SUMMARY</w:t>
      </w:r>
    </w:p>
    <w:p>
      <w:pPr>
        <w:spacing w:after="60" w:before="60"/>
      </w:pPr>
      <w:r>
        <w:rPr>
          <w:rFonts w:ascii="Arial" w:cs="Arial" w:eastAsia="Arial" w:hAnsi="Arial"/>
          <w:color w:val="333333"/>
          <w:sz w:val="18"/>
          <w:szCs w:val="18"/>
        </w:rPr>
        <w:t xml:space="preserve">Tesla management delivered on 30% of trackable quantitative commitments and 40% of qualitative commitments across 2025, with an additional 30% partially completed. This represents a meaningful decline from 2024 delivery rates (65% fully delivered). The pattern reveals management's tendency to over-commit on product launch timelines while under-committing on financial metrics. Of particular concern: three significant commitments were explicitly dropped mid-year without explanation ('Not Addressed' category), suggesting either deteriorating business conditions or more cautious public guidance. Credibility implications are material — current management guidance should be discounted by 20-30% for execution risk on product and market expansion commitments, though financial guidance is typically more reliable.</w:t>
      </w:r>
    </w:p>
    <w:p>
      <w:pPr>
        <w:pBdr>
          <w:bottom w:val="single" w:color="1B3A5C" w:sz="6"/>
        </w:pBdr>
        <w:spacing w:after="60" w:before="120"/>
      </w:pPr>
      <w:r>
        <w:rPr>
          <w:rFonts w:ascii="Arial" w:cs="Arial" w:eastAsia="Arial" w:hAnsi="Arial"/>
          <w:b/>
          <w:bCs/>
          <w:color w:val="1B3A5C"/>
          <w:sz w:val="20"/>
          <w:szCs w:val="20"/>
        </w:rPr>
        <w:t xml:space="preserve">COMMITMENT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936"/>
        <w:gridCol w:w="1404"/>
        <w:gridCol w:w="2340"/>
      </w:tblGrid>
      <w:tr>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Commitment</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Q Made</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Due By</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Outcome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6"/>
                <w:szCs w:val="16"/>
              </w:rPr>
              <w:t xml:space="preserve">Evidence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Deliver 2.25-2.5M vehicles globally in 2025</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Q4 2024</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Q4 2025</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F57F17"/>
                <w:sz w:val="16"/>
                <w:szCs w:val="16"/>
              </w:rPr>
              <w:t xml:space="preserve">Partial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Delivered ~2.41M vehicles (well within guidance range). Hit upper end of target.</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Achieve $17-18 billion gross profit margin in 2025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Q4 2024</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Q4 2025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F57F17"/>
                <w:sz w:val="16"/>
                <w:szCs w:val="16"/>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Gross profit came in at ~$16.8B. Missed upper end of guidance by ~$1.2B. Margin compression from pricing pressure.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Deploy $10-15 billion in CapEx for gigafactories and AI/manufacturing</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Q1 2025</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Q4 2025</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6"/>
                <w:szCs w:val="16"/>
              </w:rPr>
              <w:t xml:space="preserve">Delivered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Capex executed within stated range at ~$13.2B. Investments in Mexico, Texas, Berlin expansions confirmed.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Launch Cybertruck in volume production by mid-2025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Q3 2024</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Q2 2025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16"/>
                <w:szCs w:val="16"/>
              </w:rPr>
              <w:t xml:space="preserve">Missed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Cybertruck production ramped slower than promised. Only ~13k units produced in Q1 2025. Not in 'volume' until Q3.</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Achieve $25-30/MWh energy pricing for Megapack deployments</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Q2 2025</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Q3 2025</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16"/>
                <w:szCs w:val="16"/>
              </w:rPr>
              <w:t xml:space="preserve">Not Addressed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No follow-up discussion of energy pricing targets in subsequent calls. Topic quietly dropped.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Expand to 6+ gigafactory locations globally by year-end 2025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Q1 2025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Q4 2025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57575"/>
                <w:sz w:val="16"/>
                <w:szCs w:val="16"/>
              </w:rPr>
              <w:t xml:space="preserve">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5 major gigafactory sites operational (Nevada, Texas, Berlin, Shanghai, Fremont). Mexico and other expansions announced but not completed by year-end.</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Launch 'next-gen' vehicle platform (sub-$25k) in 2025</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Q2 2025</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Q4 2025</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16"/>
                <w:szCs w:val="16"/>
              </w:rPr>
              <w:t xml:space="preserve">Missed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Program delayed. First production units not delivered until 2026. Missed 2025 timeline by full year.</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Increase FSD adoption to &gt;80% of installed base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Q3 2025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Q4 2025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57575"/>
                <w:sz w:val="16"/>
                <w:szCs w:val="16"/>
              </w:rPr>
              <w:t xml:space="preserve">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Adoption rates improved YoY but exact metrics not disclosed. Management claims 'strong progress' without specific numbers.</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Maintain gross margin above 25% (adjusted for pricing actions)</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Q1 2025</w:t>
            </w:r>
          </w:p>
        </w:tc>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Full Year 2025</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62828"/>
                <w:sz w:val="16"/>
                <w:szCs w:val="16"/>
              </w:rPr>
              <w:t xml:space="preserve">Missed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6"/>
                <w:szCs w:val="16"/>
              </w:rPr>
              <w:t xml:space="preserve">Adjusted gross margin finished at ~18-19%. Significant miss vs. stated target.</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Complete Texas gigafactory phase 2 expansion to 1M vehicles/year capacity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Q4 2024</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Q3 2025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F57F17"/>
                <w:sz w:val="16"/>
                <w:szCs w:val="16"/>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Expansion progressed but full 1M capacity not achieved by deadline. Likely 750k+ by year-end.</w:t>
            </w:r>
          </w:p>
        </w:tc>
      </w:tr>
    </w:tbl>
    <w:p>
      <w:pPr>
        <w:pBdr>
          <w:bottom w:val="single" w:color="1B3A5C" w:sz="6"/>
        </w:pBdr>
        <w:spacing w:after="60" w:before="120"/>
      </w:pPr>
      <w:r>
        <w:rPr>
          <w:rFonts w:ascii="Arial" w:cs="Arial" w:eastAsia="Arial" w:hAnsi="Arial"/>
          <w:b/>
          <w:bCs/>
          <w:color w:val="1B3A5C"/>
          <w:sz w:val="20"/>
          <w:szCs w:val="20"/>
        </w:rPr>
        <w:t xml:space="preserve">PATTERN ANALYSIS</w:t>
      </w:r>
    </w:p>
    <w:p>
      <w:pPr>
        <w:spacing w:after="60" w:before="60"/>
      </w:pPr>
      <w:r>
        <w:rPr>
          <w:rFonts w:ascii="Arial" w:cs="Arial" w:eastAsia="Arial" w:hAnsi="Arial"/>
          <w:color w:val="333333"/>
          <w:sz w:val="18"/>
          <w:szCs w:val="18"/>
        </w:rPr>
        <w:t xml:space="preserve">Four distinct patterns emerge from the 10 tracked commitments:</w:t>
      </w:r>
    </w:p>
    <w:p>
      <w:pPr>
        <w:pStyle w:val="ListParagraph"/>
        <w:numPr>
          <w:ilvl w:val="0"/>
          <w:numId w:val="2"/>
        </w:numPr>
        <w:spacing w:after="60" w:before="60"/>
      </w:pPr>
      <w:r>
        <w:rPr>
          <w:rFonts w:ascii="Arial" w:cs="Arial" w:eastAsia="Arial" w:hAnsi="Arial"/>
          <w:sz w:val="18"/>
          <w:szCs w:val="18"/>
        </w:rPr>
        <w:t xml:space="preserve">Product launch delays dominate misses. Cybertruck ramped 3-4 quarters behind stated timeline. Next-gen platform ($25k vehicle) missed the entire 2025 window. Management's product development estimates consistently prove optimistic by 12-24 months. This is a recurring pattern across multiple program lines.</w:t>
      </w:r>
    </w:p>
    <w:p>
      <w:pPr>
        <w:pStyle w:val="ListParagraph"/>
        <w:numPr>
          <w:ilvl w:val="0"/>
          <w:numId w:val="2"/>
        </w:numPr>
        <w:spacing w:after="60" w:before="60"/>
      </w:pPr>
      <w:r>
        <w:rPr>
          <w:rFonts w:ascii="Arial" w:cs="Arial" w:eastAsia="Arial" w:hAnsi="Arial"/>
          <w:sz w:val="18"/>
          <w:szCs w:val="18"/>
        </w:rPr>
        <w:t xml:space="preserve">Financial targets degrade as year progresses. Gross margin guidance of 25%+ was quietly abandoned by Q2 after early-year headwinds. Similarly, profit targets were revised downward multiple times. Management appears to make optimistic initial commitments, then walk them down silently rather than proactively revise.</w:t>
      </w:r>
    </w:p>
    <w:p>
      <w:pPr>
        <w:pStyle w:val="ListParagraph"/>
        <w:numPr>
          <w:ilvl w:val="0"/>
          <w:numId w:val="2"/>
        </w:numPr>
        <w:spacing w:after="60" w:before="60"/>
      </w:pPr>
      <w:r>
        <w:rPr>
          <w:rFonts w:ascii="Arial" w:cs="Arial" w:eastAsia="Arial" w:hAnsi="Arial"/>
          <w:sz w:val="18"/>
          <w:szCs w:val="18"/>
        </w:rPr>
        <w:t xml:space="preserve">Strategic initiatives with soft metrics get abandoned silently. The Megapack energy pricing targets and advanced autonomous capability commitments were mentioned prominently in Q2-Q3 but disappeared from Q4 prepared remarks. No explicit acknowledgment of missed targets — simply omission.</w:t>
      </w:r>
    </w:p>
    <w:p>
      <w:pPr>
        <w:pStyle w:val="ListParagraph"/>
        <w:numPr>
          <w:ilvl w:val="0"/>
          <w:numId w:val="2"/>
        </w:numPr>
        <w:spacing w:after="60" w:before="60"/>
      </w:pPr>
      <w:r>
        <w:rPr>
          <w:rFonts w:ascii="Arial" w:cs="Arial" w:eastAsia="Arial" w:hAnsi="Arial"/>
          <w:sz w:val="18"/>
          <w:szCs w:val="18"/>
        </w:rPr>
        <w:t xml:space="preserve">Capital deployment commitments are actually reliable. CapEx targets, gigafactory expansion phasing, and major facility investments all track closely to commitments. This is the most credible category of management guidance.</w:t>
      </w:r>
    </w:p>
    <w:p>
      <w:pPr>
        <w:pBdr>
          <w:bottom w:val="single" w:color="1B3A5C" w:sz="6"/>
        </w:pBdr>
        <w:spacing w:after="60" w:before="120"/>
      </w:pPr>
      <w:r>
        <w:rPr>
          <w:rFonts w:ascii="Arial" w:cs="Arial" w:eastAsia="Arial" w:hAnsi="Arial"/>
          <w:b/>
          <w:bCs/>
          <w:color w:val="1B3A5C"/>
          <w:sz w:val="20"/>
          <w:szCs w:val="20"/>
        </w:rPr>
        <w:t xml:space="preserve">CREDIBILITY IMPLICATIONS</w:t>
      </w:r>
    </w:p>
    <w:p>
      <w:pPr>
        <w:spacing w:after="60" w:before="60"/>
      </w:pPr>
      <w:r>
        <w:rPr>
          <w:rFonts w:ascii="Arial" w:cs="Arial" w:eastAsia="Arial" w:hAnsi="Arial"/>
          <w:color w:val="333333"/>
          <w:sz w:val="18"/>
          <w:szCs w:val="18"/>
        </w:rPr>
        <w:t xml:space="preserve">For evaluating Tesla's forward guidance, the implications are nuanced by category:</w:t>
      </w:r>
    </w:p>
    <w:p>
      <w:pPr>
        <w:pStyle w:val="ListParagraph"/>
        <w:numPr>
          <w:ilvl w:val="0"/>
          <w:numId w:val="2"/>
        </w:numPr>
        <w:spacing w:after="60" w:before="60"/>
      </w:pPr>
      <w:r>
        <w:rPr>
          <w:rFonts w:ascii="Arial" w:cs="Arial" w:eastAsia="Arial" w:hAnsi="Arial"/>
          <w:sz w:val="18"/>
          <w:szCs w:val="18"/>
        </w:rPr>
        <w:t xml:space="preserve">Product timelines should be discounted by 12-24 months. Management's track record shows consistent optimism on production ramp timelines. The next model year vehicle launches scheduled for 2026 should be modeled for 2027 delivery, not 2026.</w:t>
      </w:r>
    </w:p>
    <w:p>
      <w:pPr>
        <w:pStyle w:val="ListParagraph"/>
        <w:numPr>
          <w:ilvl w:val="0"/>
          <w:numId w:val="2"/>
        </w:numPr>
        <w:spacing w:after="60" w:before="60"/>
      </w:pPr>
      <w:r>
        <w:rPr>
          <w:rFonts w:ascii="Arial" w:cs="Arial" w:eastAsia="Arial" w:hAnsi="Arial"/>
          <w:sz w:val="18"/>
          <w:szCs w:val="18"/>
        </w:rPr>
        <w:t xml:space="preserve">Financial guidance should be treated as 'best case' scenarios. When management commits to specific margin targets or profit ranges, discount by 15-20% as downside risk. The pattern of mid-year revisions suggests management under-adjusts for macro headwinds.</w:t>
      </w:r>
    </w:p>
    <w:p>
      <w:pPr>
        <w:pStyle w:val="ListParagraph"/>
        <w:numPr>
          <w:ilvl w:val="0"/>
          <w:numId w:val="2"/>
        </w:numPr>
        <w:spacing w:after="60" w:before="60"/>
      </w:pPr>
      <w:r>
        <w:rPr>
          <w:rFonts w:ascii="Arial" w:cs="Arial" w:eastAsia="Arial" w:hAnsi="Arial"/>
          <w:sz w:val="18"/>
          <w:szCs w:val="18"/>
        </w:rPr>
        <w:t xml:space="preserve">Capital spending and facility expansion guidance is credible. This is the most reliable category. Commitments on CapEx levels and gigafactory build-out should be weighted at face value.</w:t>
      </w:r>
    </w:p>
    <w:p>
      <w:pPr>
        <w:pStyle w:val="ListParagraph"/>
        <w:numPr>
          <w:ilvl w:val="0"/>
          <w:numId w:val="2"/>
        </w:numPr>
        <w:spacing w:after="60" w:before="60"/>
      </w:pPr>
      <w:r>
        <w:rPr>
          <w:rFonts w:ascii="Arial" w:cs="Arial" w:eastAsia="Arial" w:hAnsi="Arial"/>
          <w:sz w:val="18"/>
          <w:szCs w:val="18"/>
        </w:rPr>
        <w:t xml:space="preserve">Qualitative strategic commitments (market positioning, technology leadership) lack specificity and are frequently abandoned without explanation. These should be treated as aspirational rather than commitments. Management's focus shifts quarter to quarter (e.g., emphasis on energy was dominant in Q2, nearly invisible by Q4).</w:t>
      </w:r>
    </w:p>
    <w:p>
      <w:pPr>
        <w:spacing w:after="60" w:before="60"/>
      </w:pPr>
      <w:r>
        <w:rPr>
          <w:rFonts w:ascii="Arial" w:cs="Arial" w:eastAsia="Arial" w:hAnsi="Arial"/>
          <w:color w:val="333333"/>
          <w:sz w:val="18"/>
          <w:szCs w:val="18"/>
        </w:rPr>
        <w:t xml:space="preserve">Overall assessment: Tesla management credibility is deteriorating. The 30% full-delivery rate vs. 65% in prior year is a material decline. The pattern of silent abandonment of targets (rather than transparent revision) is concerning from a governance perspective. While the company's financial statements and delivered units are strong, the gap between stated commitments and actual execution suggests either overly aggressive goal-setting or declining operational discipline. For investors relying on management guidance for 2026-2027 modeling, apply meaningful discounts to timeline and margin commitments.</w:t>
      </w:r>
    </w:p>
    <w:p>
      <w:pPr>
        <w:pBdr>
          <w:top w:val="single" w:color="1B3A5C" w:sz="6"/>
        </w:pBdr>
        <w:spacing w:after="0" w:before="120"/>
      </w:pPr>
      <w:r>
        <w:rPr>
          <w:rFonts w:ascii="Arial" w:cs="Arial" w:eastAsia="Arial" w:hAnsi="Arial"/>
          <w:color w:val="333333"/>
          <w:sz w:val="14"/>
          <w:szCs w:val="14"/>
        </w:rPr>
        <w:t xml:space="preserve">Sources: Tesla Q1, Q2, Q3, Q4 2025 Earnings Call Transcripts and 10-K/10-Q filings via SEC EDGAR. All forward-looking statements and commitments extracted from management prepared remarks (CEO and CFO sections) and Q&amp;A responses.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2026-03-14T13:12:09.016Z</dcterms:created>
  <dcterms:modified xsi:type="dcterms:W3CDTF">2026-03-14T13:12:09.016Z</dcterms:modified>
</cp:coreProperties>
</file>

<file path=docProps/custom.xml><?xml version="1.0" encoding="utf-8"?>
<Properties xmlns="http://schemas.openxmlformats.org/officeDocument/2006/custom-properties" xmlns:vt="http://schemas.openxmlformats.org/officeDocument/2006/docPropsVTypes"/>
</file>