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888888"/>
          <w:sz w:val="24"/>
          <w:szCs w:val="24"/>
        </w:rPr>
        <w:t xml:space="preserve">STRUCTURED INVESTMENT THESIS</w:t>
      </w:r>
    </w:p>
    <w:p>
      <w:pPr>
        <w:spacing w:after="60"/>
        <w:jc w:val="center"/>
      </w:pPr>
      <w:r>
        <w:rPr>
          <w:rFonts w:ascii="Arial" w:cs="Arial" w:eastAsia="Arial" w:hAnsi="Arial"/>
          <w:b/>
          <w:bCs/>
          <w:color w:val="1B365D"/>
          <w:sz w:val="52"/>
          <w:szCs w:val="52"/>
        </w:rPr>
        <w:t xml:space="preserve">Costco Wholesale Corporation</w:t>
      </w:r>
    </w:p>
    <w:p>
      <w:pPr>
        <w:spacing w:after="300"/>
        <w:jc w:val="center"/>
      </w:pPr>
      <w:r>
        <w:rPr>
          <w:rFonts w:ascii="Arial" w:cs="Arial" w:eastAsia="Arial" w:hAnsi="Arial"/>
          <w:color w:val="2E5090"/>
          <w:sz w:val="28"/>
          <w:szCs w:val="28"/>
        </w:rPr>
        <w:t xml:space="preserve">NASDAQ: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468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Recommendation</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HOLD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Current Price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$998</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Price Target</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$920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Downside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-7.8%</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Investment Horizon</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 months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Forward P/E (FY27E)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47.4x</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Reward-to-Risk</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0.6 : 1</w:t>
            </w:r>
          </w:p>
        </w:tc>
      </w:tr>
    </w:tbl>
    <w:p>
      <w:pPr>
        <w:spacing w:before="400"/>
        <w:jc w:val="center"/>
      </w:pPr>
      <w:r>
        <w:rPr>
          <w:rFonts w:ascii="Arial" w:cs="Arial" w:eastAsia="Arial" w:hAnsi="Arial"/>
          <w:color w:val="888888"/>
          <w:sz w:val="20"/>
          <w:szCs w:val="20"/>
        </w:rPr>
        <w:t xml:space="preserve">March 11, 2026</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65D"/>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B365D"/>
          <w:sz w:val="30"/>
          <w:szCs w:val="30"/>
        </w:rPr>
        <w:t xml:space="preserve">1. Executive Summary &amp; Mispricing Thesis</w:t>
      </w:r>
    </w:p>
    <w:p>
      <w:pPr>
        <w:spacing w:after="100" w:line="264"/>
      </w:pPr>
      <w:r>
        <w:rPr>
          <w:rFonts w:ascii="Arial" w:cs="Arial" w:eastAsia="Arial" w:hAnsi="Arial"/>
          <w:color w:val="333333"/>
          <w:sz w:val="19"/>
          <w:szCs w:val="19"/>
        </w:rPr>
        <w:t xml:space="preserve">Costco operates the dominant warehouse club model in North America, generating $275.2B in FY25 revenue at near-monopoly scale (60%+ market share). </w:t>
      </w:r>
      <w:r>
        <w:rPr>
          <w:rFonts w:ascii="Arial" w:cs="Arial" w:eastAsia="Arial" w:hAnsi="Arial"/>
          <w:b/>
          <w:bCs/>
          <w:color w:val="333333"/>
          <w:sz w:val="19"/>
          <w:szCs w:val="19"/>
        </w:rPr>
        <w:t xml:space="preserve">We initiate with a HOLD recommendation and a 12-month price target of $920, representing 7.8% downside from current levels.</w:t>
      </w:r>
      <w:r>
        <w:rPr>
          <w:rFonts w:ascii="Arial" w:cs="Arial" w:eastAsia="Arial" w:hAnsi="Arial"/>
          <w:color w:val="333333"/>
          <w:sz w:val="19"/>
          <w:szCs w:val="19"/>
        </w:rPr>
        <w:t xml:space="preserve"> Costco is an exceptional business with predictable cash flows, pricing power, and structural moats, but the stock trades at 47.4x forward P/E—2.0x the S&amp;P 500 and 39% above Costco's own 10-year historical average P/E of 38x. [1] At this valuation, the stock is priced for perfection: it requires the company to maintain a 47x multiple while delivering only 8-10% revenue growth to generate market-average returns. Any valuation multiple compression toward the 38x historical average creates 20% downside even with perfect execution, which represents poor risk/reward at current levels. [2]</w:t>
      </w:r>
    </w:p>
    <w:p>
      <w:pPr>
        <w:spacing w:after="100" w:line="264"/>
      </w:pPr>
      <w:r>
        <w:rPr>
          <w:rFonts w:ascii="Arial" w:cs="Arial" w:eastAsia="Arial" w:hAnsi="Arial"/>
          <w:color w:val="333333"/>
          <w:sz w:val="19"/>
          <w:szCs w:val="19"/>
        </w:rPr>
        <w:t xml:space="preserve">Our base case projects FY27 EPS of $23.50 (10% growth), implying the stock trades at 42x next-year earnings—still premium to historical levels and reflecting the market's confidence in Costco's secular durability. The reward-to-risk ratio is 0.6:1 unfavorable: probability-weighted upside of $60 (6%) versus probability-weighted downside of $100 (10%). [3]</w:t>
      </w:r>
    </w:p>
    <w:p>
      <w:pPr>
        <w:spacing w:after="100" w:line="264"/>
      </w:pPr>
      <w:r>
        <w:rPr>
          <w:rFonts w:ascii="Arial" w:cs="Arial" w:eastAsia="Arial" w:hAnsi="Arial"/>
          <w:color w:val="333333"/>
          <w:sz w:val="19"/>
          <w:szCs w:val="19"/>
        </w:rPr>
        <w:t xml:space="preserve">Key mispricing driver: The market conflates Costco's operational excellence (justified) with perpetual 15%+ earnings growth (unjustified). FY25 showed same-store sales of +6.6% and EPS growth of +9.5%—both solid but below the implicit growth assumptions priced into a 47x forward multiple. At 8% revenue CAGR and 10% EPS CAGR, the math is straightforward: the stock needs to maintain 47x just to deliver S&amp;P 500 average returns of ~10%. Any multiple compression toward fair value (38x based on peer comparisons [4]) creates 20% downside regardless of earnings growth.</w:t>
      </w:r>
    </w:p>
    <w:p>
      <w:pPr>
        <w:spacing w:after="100" w:line="264"/>
      </w:pPr>
      <w:r>
        <w:rPr>
          <w:rFonts w:ascii="Arial" w:cs="Arial" w:eastAsia="Arial" w:hAnsi="Arial"/>
          <w:color w:val="333333"/>
          <w:sz w:val="19"/>
          <w:szCs w:val="19"/>
        </w:rPr>
        <w:t xml:space="preserve">Entry recommendation: WAIT. We would initiate at $850-$880 (36-37x forward P/E), which provides margin of safety. Current levels offer none.</w:t>
      </w:r>
    </w:p>
    <w:p>
      <w:r>
        <w:br w:type="page"/>
      </w:r>
    </w:p>
    <w:p>
      <w:pPr>
        <w:pStyle w:val="Heading1"/>
        <w:spacing w:after="200" w:before="360"/>
      </w:pPr>
      <w:r>
        <w:rPr>
          <w:rFonts w:ascii="Arial" w:cs="Arial" w:eastAsia="Arial" w:hAnsi="Arial"/>
          <w:b/>
          <w:bCs/>
          <w:color w:val="1B365D"/>
          <w:sz w:val="30"/>
          <w:szCs w:val="30"/>
        </w:rPr>
        <w:t xml:space="preserve">2. Business Model &amp; Membership Economics</w:t>
      </w:r>
    </w:p>
    <w:p>
      <w:pPr>
        <w:pStyle w:val="Heading2"/>
        <w:spacing w:after="120" w:before="200"/>
      </w:pPr>
      <w:r>
        <w:rPr>
          <w:rFonts w:ascii="Arial" w:cs="Arial" w:eastAsia="Arial" w:hAnsi="Arial"/>
          <w:b/>
          <w:bCs/>
          <w:color w:val="2E5090"/>
          <w:sz w:val="24"/>
          <w:szCs w:val="24"/>
        </w:rPr>
        <w:t xml:space="preserve">Membership Renewal &amp; Durability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FY25 Actual</w:t>
            </w:r>
          </w:p>
        </w:tc>
        <w:tc>
          <w:tcPr>
            <w:tcW w:type="dxa" w:w="2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FY26E</w:t>
            </w:r>
          </w:p>
        </w:tc>
        <w:tc>
          <w:tcPr>
            <w:tcW w:type="dxa" w:w="27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Trend</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US/Canada Renewal Rate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92.3%</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91.5% est.</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Stable post-fee increase (Sept 2024)</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Worldwide Renewal Rate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89.8%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89.0% est.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Strong despite international headwinds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Membership Revenue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$5.3B (est.)</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$5.4B</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Growing mid-single digits; highest margin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Avg Annual Membership (US)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$135 (Gold), $270 (Exec)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Fee increase Sept 2024</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11-13% price increase implemented</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Gold Star Members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~62M</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~64M est.</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 organic growth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Business Members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~11.2M est.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Stable, high-margin segment</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The membership model is Costco's greatest strength. Unlike traditional retail where the business is driven by product margin (typically 25-30%), Costco's model reverses this: members pre-pay for the right to shop, and the company deliberately operates on razor-thin gross margins (~12.5%) to drive traffic. [5] Membership revenue is high-margin (90%+), highly predictable, and grows with member inflation and renewals. The 92.3% US/Canada renewal rate in FY25 (even post-fee increase) validates pricing power. However, renewal rates are not immutable—a 5 percentage point decline (from 92% to 87%) would reduce membership revenue by ~$200M annually, or 2% of total EPS. [6]</w:t>
      </w:r>
    </w:p>
    <w:p>
      <w:pPr>
        <w:spacing w:after="100" w:line="264"/>
      </w:pPr>
      <w:r>
        <w:rPr>
          <w:rFonts w:ascii="Arial" w:cs="Arial" w:eastAsia="Arial" w:hAnsi="Arial"/>
          <w:color w:val="333333"/>
          <w:sz w:val="19"/>
          <w:szCs w:val="19"/>
        </w:rPr>
        <w:t xml:space="preserve">Fee increase rhythm and saturation risk: Costco increased membership fees from $120/$240 to $135/$270 in September 2024 (first increase since October 2022, 18 months prior). The 12-13% increase was absorbed with minimal attrition (renewal held at 92.3%), validating current pricing. However, at $135 annually for Gold Star ($2.60/week), price increases are hitting psychological barriers. A third consecutive increase in 2026 risks membership attrition. We model annual fee increases going forward but assume renewal rates moderate to 88-90% by FY27-28 as members trade down to competitors (Sam's Club at $65/year, BJ's at $55-$110). [7]</w:t>
      </w:r>
    </w:p>
    <w:p>
      <w:pPr>
        <w:spacing w:after="100" w:line="264"/>
      </w:pPr>
      <w:r>
        <w:rPr>
          <w:rFonts w:ascii="Arial" w:cs="Arial" w:eastAsia="Arial" w:hAnsi="Arial"/>
          <w:color w:val="333333"/>
          <w:sz w:val="19"/>
          <w:szCs w:val="19"/>
        </w:rPr>
        <w:t xml:space="preserve">Same-store sales and e-commerce: FY25 same-store sales of +6.6% are respectable but decelerate from the +10.2% growth in FY24 (pandemic comp cycling). E-commerce grew 14.8% in FY25 but is only ~8-9% of total sales, so the 14.8% growth adds only 120 bps to total company growth. [8] The $100B+ in annual Kirkland Signature sales (estimated 28% of revenue) drives traffic but operates on sub-10% gross margins—high velocity, low margin. Comps are moderating as we cycle the easy postpandemic growth phase and enter a mature, mid-single-digit growth trajectory.</w:t>
      </w:r>
    </w:p>
    <w:p>
      <w:pPr>
        <w:pStyle w:val="Heading2"/>
        <w:spacing w:after="120" w:before="200"/>
      </w:pPr>
      <w:r>
        <w:rPr>
          <w:rFonts w:ascii="Arial" w:cs="Arial" w:eastAsia="Arial" w:hAnsi="Arial"/>
          <w:b/>
          <w:bCs/>
          <w:color w:val="2E5090"/>
          <w:sz w:val="24"/>
          <w:szCs w:val="24"/>
        </w:rPr>
        <w:t xml:space="preserve">Unit Economics &amp; Warehouse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500"/>
        <w:gridCol w:w="1600"/>
        <w:gridCol w:w="3660"/>
      </w:tblGrid>
      <w:tr>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FY25</w:t>
            </w:r>
          </w:p>
        </w:tc>
        <w:tc>
          <w:tcPr>
            <w:tcW w:type="dxa" w:w="1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FY26E</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FY27E</w:t>
            </w:r>
          </w:p>
        </w:tc>
        <w:tc>
          <w:tcPr>
            <w:tcW w:type="dxa" w:w="36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Assumption</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Warehouses</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~870</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~890</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~910</w:t>
            </w:r>
          </w:p>
        </w:tc>
        <w:tc>
          <w:tcPr>
            <w:tcW w:type="dxa" w:w="36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+20-25/year opening rate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Avg Annual Revenue per Warehouse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$316B / 870 = $363M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$383M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$405M</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Mixed with new store productivity lag</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Avg Gross Profit per Warehouse</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~$45M</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~48M</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~51M</w:t>
            </w:r>
          </w:p>
        </w:tc>
        <w:tc>
          <w:tcPr>
            <w:tcW w:type="dxa" w:w="36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12.5% gross margin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Membership Revenue per Warehouse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~$6.1M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~6.3M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~6.5M</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Member growth + fee increases</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Pre-membership Warehouse Profit</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~$2.1M per warehouse</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~2.2M</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~2.3M</w:t>
            </w:r>
          </w:p>
        </w:tc>
        <w:tc>
          <w:tcPr>
            <w:tcW w:type="dxa" w:w="36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Operating expenses ~3.2% of sales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Payback period for new warehouse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~12-15 years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~12-15 yrs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~12-15 yrs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Highly stable; drives expansion confidence</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Warehouse economics are structurally favorable and explain Costco's expansion confidence: each new warehouse requires ~$200M in capex (inventory + fixtures + real estate), generates ~$250M+ in run-rate revenue by year 3, and achieves profitability within 15 years. The model supports 25-30 warehouse openings annually (currently running at 20-25 given real estate constraints). International expansion is slower due to lower penetration and initial margin drag (Japan, UK, Mexico operations run 9-10% gross margins vs. 12.5% in the US [9]), but provides multi-decade growth optionality.</w:t>
      </w:r>
    </w:p>
    <w:p>
      <w:r>
        <w:br w:type="page"/>
      </w:r>
    </w:p>
    <w:p>
      <w:pPr>
        <w:pStyle w:val="Heading1"/>
        <w:spacing w:after="200" w:before="360"/>
      </w:pPr>
      <w:r>
        <w:rPr>
          <w:rFonts w:ascii="Arial" w:cs="Arial" w:eastAsia="Arial" w:hAnsi="Arial"/>
          <w:b/>
          <w:bCs/>
          <w:color w:val="1B365D"/>
          <w:sz w:val="30"/>
          <w:szCs w:val="30"/>
        </w:rPr>
        <w:t xml:space="preserve">3. Competitive Position &amp; Moats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1600"/>
        <w:gridCol w:w="2560"/>
      </w:tblGrid>
      <w:tr>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Competitor</w:t>
            </w:r>
          </w:p>
        </w:tc>
        <w:tc>
          <w:tcPr>
            <w:tcW w:type="dxa" w:w="1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Stores</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Est. Market Share</w:t>
            </w:r>
          </w:p>
        </w:tc>
        <w:tc>
          <w:tcPr>
            <w:tcW w:type="dxa" w:w="2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Key Weakness vs. COST</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Walmart (WMT)</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Traditional + Sam's Club</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~6,800 + 600 Sam's Club</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Higher margin, lower volume per unit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Sam's Club (WMT segment)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Warehouse club</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Smaller format, lower membership fees, less brand loyalty</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BJ's Wholesale (BJ)</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Regional warehouse club</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~230</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Regional only, smaller scale, ~22x forward P/E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Target (TGT)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Mass retail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 membership; higher margin but lower loyalty</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Amazon (AMZN)</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E-commerce + Prime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 (fulfillment centers)</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 of retail</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Online-first, no physical warehouse treasure hunt</w:t>
            </w:r>
          </w:p>
        </w:tc>
      </w:tr>
    </w:tbl>
    <w:p>
      <w:pPr>
        <w:spacing w:after="100" w:line="264"/>
      </w:pPr>
      <w:r>
        <w:rPr>
          <w:rFonts w:ascii="Arial" w:cs="Arial" w:eastAsia="Arial" w:hAnsi="Arial"/>
          <w:color w:val="333333"/>
          <w:sz w:val="19"/>
          <w:szCs w:val="19"/>
        </w:rPr>
        <w:t xml:space="preserve"/>
      </w:r>
    </w:p>
    <w:p>
      <w:pPr>
        <w:pStyle w:val="Heading2"/>
        <w:spacing w:after="120" w:before="200"/>
      </w:pPr>
      <w:r>
        <w:rPr>
          <w:rFonts w:ascii="Arial" w:cs="Arial" w:eastAsia="Arial" w:hAnsi="Arial"/>
          <w:b/>
          <w:bCs/>
          <w:color w:val="2E5090"/>
          <w:sz w:val="24"/>
          <w:szCs w:val="24"/>
        </w:rPr>
        <w:t xml:space="preserve">Quantified Moats</w:t>
      </w:r>
    </w:p>
    <w:p>
      <w:pPr>
        <w:spacing w:after="100" w:line="264"/>
      </w:pPr>
      <w:r>
        <w:rPr>
          <w:rFonts w:ascii="Arial" w:cs="Arial" w:eastAsia="Arial" w:hAnsi="Arial"/>
          <w:b/>
          <w:bCs/>
          <w:color w:val="333333"/>
          <w:sz w:val="19"/>
          <w:szCs w:val="19"/>
        </w:rPr>
        <w:t xml:space="preserve">Scale and market share: </w:t>
      </w:r>
      <w:r>
        <w:rPr>
          <w:rFonts w:ascii="Arial" w:cs="Arial" w:eastAsia="Arial" w:hAnsi="Arial"/>
          <w:color w:val="333333"/>
          <w:sz w:val="19"/>
          <w:szCs w:val="19"/>
        </w:rPr>
        <w:t xml:space="preserve">60%+ North American warehouse club market share [10] creates structural pricing power. With ~870 warehouses (vs. Sam's Club 600, BJ's 230), Costco's purchasing power drives 5-10% lower SKU costs versus competitors. This is directly leveraged in membership pricing and margin mix.</w:t>
      </w:r>
    </w:p>
    <w:p>
      <w:pPr>
        <w:spacing w:after="100" w:line="264"/>
      </w:pPr>
      <w:r>
        <w:rPr>
          <w:rFonts w:ascii="Arial" w:cs="Arial" w:eastAsia="Arial" w:hAnsi="Arial"/>
          <w:b/>
          <w:bCs/>
          <w:color w:val="333333"/>
          <w:sz w:val="19"/>
          <w:szCs w:val="19"/>
        </w:rPr>
        <w:t xml:space="preserve">Limited SKU count: </w:t>
      </w:r>
      <w:r>
        <w:rPr>
          <w:rFonts w:ascii="Arial" w:cs="Arial" w:eastAsia="Arial" w:hAnsi="Arial"/>
          <w:color w:val="333333"/>
          <w:sz w:val="19"/>
          <w:szCs w:val="19"/>
        </w:rPr>
        <w:t xml:space="preserve">Costco carries ~3,700 SKUs versus Walmart's 120,000+. This focus requires membership loyalty (members accept limited selection in exchange for quality and price guarantee) and drives inventory turnover of ~12x annually, the highest in retail. [11] High turnover reduces markdown risk, shrinkage, and working capital requirements.</w:t>
      </w:r>
    </w:p>
    <w:p>
      <w:pPr>
        <w:spacing w:after="100" w:line="264"/>
      </w:pPr>
      <w:r>
        <w:rPr>
          <w:rFonts w:ascii="Arial" w:cs="Arial" w:eastAsia="Arial" w:hAnsi="Arial"/>
          <w:b/>
          <w:bCs/>
          <w:color w:val="333333"/>
          <w:sz w:val="19"/>
          <w:szCs w:val="19"/>
        </w:rPr>
        <w:t xml:space="preserve">Membership lock-in: </w:t>
      </w:r>
      <w:r>
        <w:rPr>
          <w:rFonts w:ascii="Arial" w:cs="Arial" w:eastAsia="Arial" w:hAnsi="Arial"/>
          <w:color w:val="333333"/>
          <w:sz w:val="19"/>
          <w:szCs w:val="19"/>
        </w:rPr>
        <w:t xml:space="preserve">The $135/year fee creates a sunk-cost anchor: members feel psychological obligation to "use" their membership, driving 7-8x annual visits versus 1-2x for non-members. Renewal rates of 92.3% demonstrate high switching costs and habit formation.</w:t>
      </w:r>
    </w:p>
    <w:p>
      <w:pPr>
        <w:spacing w:after="100" w:line="264"/>
      </w:pPr>
      <w:r>
        <w:rPr>
          <w:rFonts w:ascii="Arial" w:cs="Arial" w:eastAsia="Arial" w:hAnsi="Arial"/>
          <w:b/>
          <w:bCs/>
          <w:color w:val="333333"/>
          <w:sz w:val="19"/>
          <w:szCs w:val="19"/>
        </w:rPr>
        <w:t xml:space="preserve">Brand and experience: </w:t>
      </w:r>
      <w:r>
        <w:rPr>
          <w:rFonts w:ascii="Arial" w:cs="Arial" w:eastAsia="Arial" w:hAnsi="Arial"/>
          <w:color w:val="333333"/>
          <w:sz w:val="19"/>
          <w:szCs w:val="19"/>
        </w:rPr>
        <w:t xml:space="preserve">Costco's treasure hunt model (rotating selection, manager-curated deals) creates a differentiated experience that e-commerce cannot replicate. Customer Promoter Score (NPS) of 81 (among highest in retail [12]) indicates exceptional customer satisfaction and word-of-mouth stickiness.</w:t>
      </w:r>
    </w:p>
    <w:p>
      <w:pPr>
        <w:spacing w:after="100" w:line="264"/>
      </w:pPr>
      <w:r>
        <w:rPr>
          <w:rFonts w:ascii="Arial" w:cs="Arial" w:eastAsia="Arial" w:hAnsi="Arial"/>
          <w:b/>
          <w:bCs/>
          <w:color w:val="333333"/>
          <w:sz w:val="19"/>
          <w:szCs w:val="19"/>
        </w:rPr>
        <w:t xml:space="preserve">Private label (Kirkland Signature): </w:t>
      </w:r>
      <w:r>
        <w:rPr>
          <w:rFonts w:ascii="Arial" w:cs="Arial" w:eastAsia="Arial" w:hAnsi="Arial"/>
          <w:color w:val="333333"/>
          <w:sz w:val="19"/>
          <w:szCs w:val="19"/>
        </w:rPr>
        <w:t xml:space="preserve">~$100B in estimated annual sales (28% of total revenue) generates traffic and 5-7 percentage points higher margins than national brands. [13] Kirkland's quality reputation (competitive with or superior to national brands at 15-20% lower price) provides halo effect that drives membership renewals.</w:t>
      </w:r>
    </w:p>
    <w:p>
      <w:pPr>
        <w:pStyle w:val="Heading2"/>
        <w:spacing w:after="120" w:before="200"/>
      </w:pPr>
      <w:r>
        <w:rPr>
          <w:rFonts w:ascii="Arial" w:cs="Arial" w:eastAsia="Arial" w:hAnsi="Arial"/>
          <w:b/>
          <w:bCs/>
          <w:color w:val="2E5090"/>
          <w:sz w:val="24"/>
          <w:szCs w:val="24"/>
        </w:rPr>
        <w:t xml:space="preserve">Competitive Vulnerabilities</w:t>
      </w:r>
    </w:p>
    <w:p>
      <w:pPr>
        <w:spacing w:after="100" w:line="264"/>
      </w:pPr>
      <w:r>
        <w:rPr>
          <w:rFonts w:ascii="Arial" w:cs="Arial" w:eastAsia="Arial" w:hAnsi="Arial"/>
          <w:color w:val="333333"/>
          <w:sz w:val="19"/>
          <w:szCs w:val="19"/>
        </w:rPr>
        <w:t xml:space="preserve">Tight working capital requirements limit COST's ability to compete on price in certain categories. E-commerce competition from Amazon Prime (99M+ US members) erodes Costco's penetration in commodity goods. International expansion has structurally lower margins and slower payback (15-20 years vs. 12-15 domestic). Membership saturation in the US is approaching: at current penetration (27% of US population), incremental membership growth is slowing. [14]</w:t>
      </w:r>
    </w:p>
    <w:p>
      <w:r>
        <w:br w:type="page"/>
      </w:r>
    </w:p>
    <w:p>
      <w:pPr>
        <w:pStyle w:val="Heading1"/>
        <w:spacing w:after="200" w:before="360"/>
      </w:pPr>
      <w:r>
        <w:rPr>
          <w:rFonts w:ascii="Arial" w:cs="Arial" w:eastAsia="Arial" w:hAnsi="Arial"/>
          <w:b/>
          <w:bCs/>
          <w:color w:val="1B365D"/>
          <w:sz w:val="30"/>
          <w:szCs w:val="30"/>
        </w:rPr>
        <w:t xml:space="preserve">4. Comparable Companies &amp; Valuation Comps</w:t>
      </w:r>
    </w:p>
    <w:p>
      <w:pPr>
        <w:spacing w:after="100" w:line="264"/>
      </w:pPr>
      <w:r>
        <w:rPr>
          <w:rFonts w:ascii="Arial" w:cs="Arial" w:eastAsia="Arial" w:hAnsi="Arial"/>
          <w:color w:val="333333"/>
          <w:sz w:val="19"/>
          <w:szCs w:val="19"/>
        </w:rPr>
        <w:t xml:space="preserve">Peers selected by business model (membership/subscription retail + defensive consumer staples):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000"/>
        <w:gridCol w:w="1000"/>
        <w:gridCol w:w="1200"/>
        <w:gridCol w:w="3560"/>
      </w:tblGrid>
      <w:tr>
        <w:tc>
          <w:tcPr>
            <w:tcW w:type="dxa" w:w="1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Company</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Growth</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Fwd P/E</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Gross Margin</w:t>
            </w:r>
          </w:p>
        </w:tc>
        <w:tc>
          <w:tcPr>
            <w:tcW w:type="dxa" w:w="3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Key Difference</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Costco (COST)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Warehouse club</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47.4x</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12.5%</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Highest P/E but defensible due to moats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Walmart (WMT)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Traditional retail + wholesale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32.2x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Lower growth, higher margin, lower P/E</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Sam's Club (within WMT)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Warehouse club</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~32.2x (implicit)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Lower fees, less brand equity, lower margins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BJ's Wholesale (BJ)</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Warehouse club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22.0x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9.5%</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Regional, smaller scale, lowest P/E in sector</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Target (TGT)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Mass retail</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15.8x</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 membership model, lowest growth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Amazon (AMZN)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E-commerce + Prime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28.2x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46%</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Higher growth, no physical footprint</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Sector Median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28.0x</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The valuation disconnect is stark: Costco trades at 47.4x forward P/E—68% above the sector median of 28.0x—despite 8% growth (only 33% above median growth of 6%). The P/E-to-growth (PEG) ratio is 5.9x (47.4 / 8), implying the market prices Costco as if it will grow at 15%+ forever, which contradicts both historical performance and management guidance. [15]</w:t>
      </w:r>
    </w:p>
    <w:p>
      <w:pPr>
        <w:spacing w:after="100" w:line="264"/>
      </w:pPr>
      <w:r>
        <w:rPr>
          <w:rFonts w:ascii="Arial" w:cs="Arial" w:eastAsia="Arial" w:hAnsi="Arial"/>
          <w:color w:val="333333"/>
          <w:sz w:val="19"/>
          <w:szCs w:val="19"/>
        </w:rPr>
        <w:t xml:space="preserve">Walmart, the closest comparable, trades at 32.2x forward P/E on 5% growth and 24% gross margins. Costco's premium justification is higher margins on the membership business (90%+) and superior return on equity (42% ROE versus Walmart's 22% ROE [16]), but a 47x multiple requires perpetual earnings growth of 15%+, which is not demonstrated in recent quarters. FY25 EPS growth was 9.5%, and FY26 guidance implies 10% growth at best. [17]</w:t>
      </w:r>
    </w:p>
    <w:p>
      <w:pPr>
        <w:spacing w:after="100" w:line="264"/>
      </w:pPr>
      <w:r>
        <w:rPr>
          <w:rFonts w:ascii="Arial" w:cs="Arial" w:eastAsia="Arial" w:hAnsi="Arial"/>
          <w:color w:val="333333"/>
          <w:sz w:val="19"/>
          <w:szCs w:val="19"/>
        </w:rPr>
        <w:t xml:space="preserve">Price discovery: At current levels, COST is priced for the bull case (Kirkland expansion, international acceleration, e-commerce inflection). The base case (8-10% EPS growth, stable 40x+ multiple) delivers ~10% annual returns, which is market-average and provides no margin of safety. The bear case (multiple compression to 38x on execution disappointment) delivers -20% downside. This asymmetric risk profile (20% down risk vs. 6% up from base case) does not justify current valuations.</w:t>
      </w:r>
    </w:p>
    <w:p>
      <w:r>
        <w:br w:type="page"/>
      </w:r>
    </w:p>
    <w:p>
      <w:pPr>
        <w:pStyle w:val="Heading1"/>
        <w:spacing w:after="200" w:before="360"/>
      </w:pPr>
      <w:r>
        <w:rPr>
          <w:rFonts w:ascii="Arial" w:cs="Arial" w:eastAsia="Arial" w:hAnsi="Arial"/>
          <w:b/>
          <w:bCs/>
          <w:color w:val="1B365D"/>
          <w:sz w:val="30"/>
          <w:szCs w:val="30"/>
        </w:rPr>
        <w:t xml:space="preserve">5. Management &amp; Capital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600"/>
        <w:gridCol w:w="25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Executive</w:t>
            </w:r>
          </w:p>
        </w:tc>
        <w:tc>
          <w:tcPr>
            <w:tcW w:type="dxa" w:w="1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Tenure</w:t>
            </w:r>
          </w:p>
        </w:tc>
        <w:tc>
          <w:tcPr>
            <w:tcW w:type="dxa" w:w="2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Key Achievement</w:t>
            </w:r>
          </w:p>
        </w:tc>
        <w:tc>
          <w:tcPr>
            <w:tcW w:type="dxa" w:w="2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Assessment</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Craig Jelinek, CEO</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 yrs (CEO), 40+ company</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Doubled revenue to $275B; maintained 92%+ renewal rates</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Steady operator; no transformational vision announced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Richard Galanti, CFO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32 yrs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Engineered margin expansion via Kirkland mix shift; $5B+ membership fee increases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Excellent capital discipline; conservative guidance</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Ron Vachris, VP Membership</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 yrs</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Expanded membership penetration; developed international model</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Execution-focused; limited innovation track record</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Management is competent but conservative. Jelinek has delivered steady same-store sales growth and margin expansion but has not articulated a disruptive growth thesis. Capital allocation is disciplined: Costco maintains a 2.5x net debt ratio and a 25-30% dividend payout ratio, with the remainder reinvested in warehouse expansion and inventory. [18] There are no activist shareholders or major corporate campaigns, indicating investor satisfaction with the current strategy, though this also suggests limited room for operational upside surprises.</w:t>
      </w:r>
    </w:p>
    <w:p>
      <w:pPr>
        <w:spacing w:after="100" w:line="264"/>
      </w:pPr>
      <w:r>
        <w:rPr>
          <w:rFonts w:ascii="Arial" w:cs="Arial" w:eastAsia="Arial" w:hAnsi="Arial"/>
          <w:color w:val="333333"/>
          <w:sz w:val="19"/>
          <w:szCs w:val="19"/>
        </w:rPr>
        <w:t xml:space="preserve">Insider ownership is moderate (~1.2% of shares held by executive team), which is below the S&amp;P 500 median of 3-4%. [19] This suggests executives are not overcommitted to the stock at current valuations, which is a yellow flag for valuation risk.</w:t>
      </w:r>
    </w:p>
    <w:p>
      <w:r>
        <w:br w:type="page"/>
      </w:r>
    </w:p>
    <w:p>
      <w:pPr>
        <w:pStyle w:val="Heading1"/>
        <w:spacing w:after="200" w:before="360"/>
      </w:pPr>
      <w:r>
        <w:rPr>
          <w:rFonts w:ascii="Arial" w:cs="Arial" w:eastAsia="Arial" w:hAnsi="Arial"/>
          <w:b/>
          <w:bCs/>
          <w:color w:val="1B365D"/>
          <w:sz w:val="30"/>
          <w:szCs w:val="30"/>
        </w:rPr>
        <w:t xml:space="preserve">6. Macroeconomic &amp; Competitive Threats</w:t>
      </w:r>
    </w:p>
    <w:p>
      <w:pPr>
        <w:spacing w:after="100" w:line="264"/>
      </w:pPr>
      <w:r>
        <w:rPr>
          <w:rFonts w:ascii="Arial" w:cs="Arial" w:eastAsia="Arial" w:hAnsi="Arial"/>
          <w:color w:val="333333"/>
          <w:sz w:val="19"/>
          <w:szCs w:val="19"/>
        </w:rPr>
        <w:t xml:space="preserve">Two macro factors materially affect COST's medium-term thesis:</w:t>
      </w:r>
    </w:p>
    <w:p>
      <w:pPr>
        <w:spacing w:after="100" w:line="264"/>
      </w:pPr>
      <w:r>
        <w:rPr>
          <w:rFonts w:ascii="Arial" w:cs="Arial" w:eastAsia="Arial" w:hAnsi="Arial"/>
          <w:b/>
          <w:bCs/>
          <w:color w:val="333333"/>
          <w:sz w:val="19"/>
          <w:szCs w:val="19"/>
        </w:rPr>
        <w:t xml:space="preserve">Consumer spending normalization: </w:t>
      </w:r>
      <w:r>
        <w:rPr>
          <w:rFonts w:ascii="Arial" w:cs="Arial" w:eastAsia="Arial" w:hAnsi="Arial"/>
          <w:color w:val="333333"/>
          <w:sz w:val="19"/>
          <w:szCs w:val="19"/>
        </w:rPr>
        <w:t xml:space="preserve">US personal savings rates have normalized to pre-pandemic levels (~3-4%) [20], and credit card debt is at record highs. While Costco benefits from trade-down behavior in recessions (consumers shift to discount retailers during slowdowns), upside from this effect is already priced in at 47x P/E. A recession severe enough to trigger &gt;15% unemployment would pressure Costco's $135 membership fee renewal rates and same-store sales, risking -30% downside. We assign 20% probability to this scenario.</w:t>
      </w:r>
    </w:p>
    <w:p>
      <w:pPr>
        <w:spacing w:after="100" w:line="264"/>
      </w:pPr>
      <w:r>
        <w:rPr>
          <w:rFonts w:ascii="Arial" w:cs="Arial" w:eastAsia="Arial" w:hAnsi="Arial"/>
          <w:b/>
          <w:bCs/>
          <w:color w:val="333333"/>
          <w:sz w:val="19"/>
          <w:szCs w:val="19"/>
        </w:rPr>
        <w:t xml:space="preserve">E-commerce and Amazon Prime: </w:t>
      </w:r>
      <w:r>
        <w:rPr>
          <w:rFonts w:ascii="Arial" w:cs="Arial" w:eastAsia="Arial" w:hAnsi="Arial"/>
          <w:color w:val="333333"/>
          <w:sz w:val="19"/>
          <w:szCs w:val="19"/>
        </w:rPr>
        <w:t xml:space="preserve">Amazon Prime (99M+ US members, $139/year) is the closest substitute for Costco membership, offering convenience and breadth at lower price. Amazon's 2-day shipping (now 1-day in many metro areas) is eroding Costco's advantage in commodity goods (paper, water, essentials). Costco's e-commerce growth of 14.8% is strong but is only ~8% of total sales, and e-commerce members show lower renewal rates than in-warehouse-only members. We do not model Amazon as existential threat (Costco's treasure hunt and in-warehouse quality control are defensible), but estimate Amazon could capture 2-3% of Costco's addressable market by 2030.</w:t>
      </w:r>
    </w:p>
    <w:p>
      <w:pPr>
        <w:spacing w:after="100" w:line="264"/>
      </w:pPr>
      <w:r>
        <w:rPr>
          <w:rFonts w:ascii="Arial" w:cs="Arial" w:eastAsia="Arial" w:hAnsi="Arial"/>
          <w:b/>
          <w:bCs/>
          <w:color w:val="333333"/>
          <w:sz w:val="19"/>
          <w:szCs w:val="19"/>
        </w:rPr>
        <w:t xml:space="preserve">Membership fee saturation: </w:t>
      </w:r>
      <w:r>
        <w:rPr>
          <w:rFonts w:ascii="Arial" w:cs="Arial" w:eastAsia="Arial" w:hAnsi="Arial"/>
          <w:color w:val="333333"/>
          <w:sz w:val="19"/>
          <w:szCs w:val="19"/>
        </w:rPr>
        <w:t xml:space="preserve">At $135/year for US Gold Star members, Costco is approaching the willingness-to-pay ceiling. A $150+ renewal fee in 2026-27 (if management pursues aggressive price increases to offset SSS deceleration) risks 1-3 percentage point renewal rate compression, which would reduce membership revenue by $150-300M annually. This tail risk is not reflected in current consensus estimates.</w:t>
      </w:r>
    </w:p>
    <w:p>
      <w:r>
        <w:br w:type="page"/>
      </w:r>
    </w:p>
    <w:p>
      <w:pPr>
        <w:pStyle w:val="Heading1"/>
        <w:spacing w:after="200" w:before="360"/>
      </w:pPr>
      <w:r>
        <w:rPr>
          <w:rFonts w:ascii="Arial" w:cs="Arial" w:eastAsia="Arial" w:hAnsi="Arial"/>
          <w:b/>
          <w:bCs/>
          <w:color w:val="1B365D"/>
          <w:sz w:val="30"/>
          <w:szCs w:val="30"/>
        </w:rPr>
        <w:t xml:space="preserve">7. Fundamental Valuation</w:t>
      </w:r>
    </w:p>
    <w:p>
      <w:pPr>
        <w:pStyle w:val="Heading2"/>
        <w:spacing w:after="120" w:before="200"/>
      </w:pPr>
      <w:r>
        <w:rPr>
          <w:rFonts w:ascii="Arial" w:cs="Arial" w:eastAsia="Arial" w:hAnsi="Arial"/>
          <w:b/>
          <w:bCs/>
          <w:color w:val="2E5090"/>
          <w:sz w:val="24"/>
          <w:szCs w:val="24"/>
        </w:rPr>
        <w:t xml:space="preserve">7.1 Capital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100"/>
        <w:gridCol w:w="1100"/>
        <w:gridCol w:w="1100"/>
        <w:gridCol w:w="1200"/>
        <w:gridCol w:w="2160"/>
      </w:tblGrid>
      <w:tr>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1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FY23</w:t>
            </w:r>
          </w:p>
        </w:tc>
        <w:tc>
          <w:tcPr>
            <w:tcW w:type="dxa" w:w="11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FY24</w:t>
            </w:r>
          </w:p>
        </w:tc>
        <w:tc>
          <w:tcPr>
            <w:tcW w:type="dxa" w:w="11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FY25</w:t>
            </w:r>
          </w:p>
        </w:tc>
        <w:tc>
          <w:tcPr>
            <w:tcW w:type="dxa" w:w="11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FY26E</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Peer Median</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vs. WACC</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ROIC</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20.1%</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21.8%</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23.5%</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12.8%</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Well Above (15.5pp spread)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ROE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26.2%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29.0%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18.5%</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Well Above</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ROA</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10.5%</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11.2%</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12.0%</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12.5%</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8.2%</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Well Above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WACC</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bl>
    <w:p>
      <w:pPr>
        <w:spacing w:after="100" w:line="264"/>
      </w:pPr>
      <w:r>
        <w:rPr>
          <w:rFonts w:ascii="Arial" w:cs="Arial" w:eastAsia="Arial" w:hAnsi="Arial"/>
          <w:color w:val="333333"/>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530"/>
        <w:gridCol w:w="2530"/>
      </w:tblGrid>
      <w:tr>
        <w:tc>
          <w:tcPr>
            <w:tcW w:type="dxa" w:w="1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2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ROIC Derivation</w:t>
            </w:r>
          </w:p>
        </w:tc>
        <w:tc>
          <w:tcPr>
            <w:tcW w:type="dxa" w:w="253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ROE Derivation</w:t>
            </w:r>
          </w:p>
        </w:tc>
        <w:tc>
          <w:tcPr>
            <w:tcW w:type="dxa" w:w="253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ROA Derivation</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Numerator</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NOPAT: $7.7B (Op. Inc. $10.2B × (1-24.5% tax))</w:t>
            </w:r>
          </w:p>
        </w:tc>
        <w:tc>
          <w:tcPr>
            <w:tcW w:type="dxa" w:w="253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Net Income: $7.4B</w:t>
            </w:r>
          </w:p>
        </w:tc>
        <w:tc>
          <w:tcPr>
            <w:tcW w:type="dxa" w:w="253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Net Income: $7.4B</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Denominator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Invested Capital: $32.2B (Equity $22B + Debt $9.1B - Cash $4.2B + Operating Leases $5.3B)</w:t>
            </w:r>
          </w:p>
        </w:tc>
        <w:tc>
          <w:tcPr>
            <w:tcW w:type="dxa" w:w="25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Avg Equity: $26.3B</w:t>
            </w:r>
          </w:p>
        </w:tc>
        <w:tc>
          <w:tcPr>
            <w:tcW w:type="dxa" w:w="25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Avg Total Assets: $61.7B</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Costco's ROIC of 23.5% against an 8.5% WACC produces a 15 percentage point economic spread—meaningful value creation. This spread quantifies the membership-funded model's efficiency: every dollar of invested capital generates $0.15 in excess return annually. The rising trend from FY23's 20.1% reflects Costco's membership fee increases and leverage of the stable, asset-light model. ROE of 28.1% is strong, and ROA of 12.0% demonstrates efficient asset deployment relative to peers. ROIC of 23.5% well exceeds the peer median of 12.8%, confirming Costco's structural advantage. However, the stock at 47x forward P/E already fully capitalizes this spread—the premium multiple means future returns depend on ROIC expansion, which has limited room from here given mature operations and modest capital intensity. The 15pp spread above WACC justifies a quality premium but not the 67% P/E premium the market is applying. [25]</w:t>
      </w:r>
    </w:p>
    <w:p>
      <w:pPr>
        <w:pStyle w:val="Heading2"/>
        <w:spacing w:after="120" w:before="200"/>
      </w:pPr>
      <w:r>
        <w:rPr>
          <w:rFonts w:ascii="Arial" w:cs="Arial" w:eastAsia="Arial" w:hAnsi="Arial"/>
          <w:b/>
          <w:bCs/>
          <w:color w:val="2E5090"/>
          <w:sz w:val="24"/>
          <w:szCs w:val="24"/>
        </w:rPr>
        <w:t xml:space="preserve">7.2 DCF Analysis</w:t>
      </w:r>
    </w:p>
    <w:p>
      <w:pPr>
        <w:spacing w:after="100" w:line="264"/>
      </w:pPr>
      <w:r>
        <w:rPr>
          <w:rFonts w:ascii="Arial" w:cs="Arial" w:eastAsia="Arial" w:hAnsi="Arial"/>
          <w:color w:val="333333"/>
          <w:sz w:val="19"/>
          <w:szCs w:val="19"/>
        </w:rPr>
        <w:t xml:space="preserve">Key assumptions (each justified):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66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Assumption</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W w:type="dxa" w:w="66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Derivation</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Revenue CAGR (FY27-31)</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7.0%</w:t>
            </w:r>
          </w:p>
        </w:tc>
        <w:tc>
          <w:tcPr>
            <w:tcW w:type="dxa" w:w="66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Decelerating from 8% (FY26E) to 6% (FY31). Reflects same-store sales deceleration (6.6% FY25 → 5% steady-state) and warehouse count growth (+25/year on 870 base = 2.9% compound unit growth). Cross-check: FY31 revenue of ~$362B is consistent with mature US + international expansion.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Gross Margin (Steady State)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12.5%</w:t>
            </w:r>
          </w:p>
        </w:tc>
        <w:tc>
          <w:tcPr>
            <w:tcW w:type="dxa" w:w="6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Unchanged from current levels. Kirkland Signature mix (28% of sales) runs 17-18% margin; non-food discretionary runs 10-12%. On-current trajectory, margin compression from increased membership dependence (membership runs 90%+ margin but is only 1.9% of revenue) is offset by operating leverage. Conservative vs. bull case of 13%.</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Terminal Growth</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w:t>
            </w:r>
          </w:p>
        </w:tc>
        <w:tc>
          <w:tcPr>
            <w:tcW w:type="dxa" w:w="66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Above US GDP growth (2.0%) but reflects retail maturity. Warehouse saturation limits US expansion to 1000-1050 stores (vs. 870 today); international growth is limited by execution and cultural headwinds. Conservative vs. Walmart's 2.3%.</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WACC</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8.5%</w:t>
            </w:r>
          </w:p>
        </w:tc>
        <w:tc>
          <w:tcPr>
            <w:tcW w:type="dxa" w:w="6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Risk-free 4.25% (10yr Treasury, Mar 2026) + Beta 0.82 (2yr weekly vs SPX [21]) × ERP 5.0% (Damodaran) = Cost of Equity 8.36%. Target Debt/Cap 15%; after-tax cost of debt 3.5% → WACC 8.5%.</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Terminal EV/EBITDA</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22x</w:t>
            </w:r>
          </w:p>
        </w:tc>
        <w:tc>
          <w:tcPr>
            <w:tcW w:type="dxa" w:w="66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 discount to current peer median (31x). Discount justified by: (a) terminal growth of 2.5% (peers 3-4%), (b) COST's maturity (minimal m&amp;a or margin expansion optionality), (c) replacement risk from e-commerce. If peer median (31x): implied value +33%.</w:t>
            </w:r>
          </w:p>
        </w:tc>
      </w:tr>
    </w:tbl>
    <w:p>
      <w:pPr>
        <w:spacing w:after="100" w:line="264"/>
      </w:pPr>
      <w:r>
        <w:rPr>
          <w:rFonts w:ascii="Arial" w:cs="Arial" w:eastAsia="Arial" w:hAnsi="Arial"/>
          <w:color w:val="333333"/>
          <w:sz w:val="19"/>
          <w:szCs w:val="19"/>
        </w:rPr>
        <w:t xml:space="preserve"/>
      </w:r>
    </w:p>
    <w:p>
      <w:pPr>
        <w:pStyle w:val="Heading2"/>
        <w:spacing w:after="120" w:before="200"/>
      </w:pPr>
      <w:r>
        <w:rPr>
          <w:rFonts w:ascii="Arial" w:cs="Arial" w:eastAsia="Arial" w:hAnsi="Arial"/>
          <w:b/>
          <w:bCs/>
          <w:color w:val="2E5090"/>
          <w:sz w:val="24"/>
          <w:szCs w:val="24"/>
        </w:rPr>
        <w:t xml:space="preserve">7.3 DCF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50"/>
        <w:gridCol w:w="1350"/>
        <w:gridCol w:w="1350"/>
        <w:gridCol w:w="1350"/>
        <w:gridCol w:w="1350"/>
        <w:gridCol w:w="135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135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FY27E</w:t>
            </w:r>
          </w:p>
        </w:tc>
        <w:tc>
          <w:tcPr>
            <w:tcW w:type="dxa" w:w="135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FY28E</w:t>
            </w:r>
          </w:p>
        </w:tc>
        <w:tc>
          <w:tcPr>
            <w:tcW w:type="dxa" w:w="135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FY29E</w:t>
            </w:r>
          </w:p>
        </w:tc>
        <w:tc>
          <w:tcPr>
            <w:tcW w:type="dxa" w:w="135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FY30E</w:t>
            </w:r>
          </w:p>
        </w:tc>
        <w:tc>
          <w:tcPr>
            <w:tcW w:type="dxa" w:w="135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FY31E</w:t>
            </w:r>
          </w:p>
        </w:tc>
        <w:tc>
          <w:tcPr>
            <w:tcW w:type="dxa" w:w="135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Terminal</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Revenue ($B)</w:t>
            </w:r>
          </w:p>
        </w:tc>
        <w:tc>
          <w:tcPr>
            <w:tcW w:type="dxa" w:w="135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$298</w:t>
            </w:r>
          </w:p>
        </w:tc>
        <w:tc>
          <w:tcPr>
            <w:tcW w:type="dxa" w:w="135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$319</w:t>
            </w:r>
          </w:p>
        </w:tc>
        <w:tc>
          <w:tcPr>
            <w:tcW w:type="dxa" w:w="135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$341</w:t>
            </w:r>
          </w:p>
        </w:tc>
        <w:tc>
          <w:tcPr>
            <w:tcW w:type="dxa" w:w="135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$364</w:t>
            </w:r>
          </w:p>
        </w:tc>
        <w:tc>
          <w:tcPr>
            <w:tcW w:type="dxa" w:w="135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$388</w:t>
            </w:r>
          </w:p>
        </w:tc>
        <w:tc>
          <w:tcPr>
            <w:tcW w:type="dxa" w:w="135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EBITDA ($B)</w:t>
            </w:r>
          </w:p>
        </w:tc>
        <w:tc>
          <w:tcPr>
            <w:tcW w:type="dxa" w:w="13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$14.9</w:t>
            </w:r>
          </w:p>
        </w:tc>
        <w:tc>
          <w:tcPr>
            <w:tcW w:type="dxa" w:w="13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$16.0</w:t>
            </w:r>
          </w:p>
        </w:tc>
        <w:tc>
          <w:tcPr>
            <w:tcW w:type="dxa" w:w="13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$17.2</w:t>
            </w:r>
          </w:p>
        </w:tc>
        <w:tc>
          <w:tcPr>
            <w:tcW w:type="dxa" w:w="13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$18.4</w:t>
            </w:r>
          </w:p>
        </w:tc>
        <w:tc>
          <w:tcPr>
            <w:tcW w:type="dxa" w:w="13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w:t>
            </w:r>
          </w:p>
        </w:tc>
        <w:tc>
          <w:tcPr>
            <w:tcW w:type="dxa" w:w="13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UFCF ($B)</w:t>
            </w:r>
          </w:p>
        </w:tc>
        <w:tc>
          <w:tcPr>
            <w:tcW w:type="dxa" w:w="135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$7.6</w:t>
            </w:r>
          </w:p>
        </w:tc>
        <w:tc>
          <w:tcPr>
            <w:tcW w:type="dxa" w:w="135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$8.2</w:t>
            </w:r>
          </w:p>
        </w:tc>
        <w:tc>
          <w:tcPr>
            <w:tcW w:type="dxa" w:w="135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$8.9</w:t>
            </w:r>
          </w:p>
        </w:tc>
        <w:tc>
          <w:tcPr>
            <w:tcW w:type="dxa" w:w="135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$9.6</w:t>
            </w:r>
          </w:p>
        </w:tc>
        <w:tc>
          <w:tcPr>
            <w:tcW w:type="dxa" w:w="135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$10.3</w:t>
            </w:r>
          </w:p>
        </w:tc>
        <w:tc>
          <w:tcPr>
            <w:tcW w:type="dxa" w:w="135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$226B</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PV of UFCF ($B)</w:t>
            </w:r>
          </w:p>
        </w:tc>
        <w:tc>
          <w:tcPr>
            <w:tcW w:type="dxa" w:w="13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$7.0</w:t>
            </w:r>
          </w:p>
        </w:tc>
        <w:tc>
          <w:tcPr>
            <w:tcW w:type="dxa" w:w="13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$7.0</w:t>
            </w:r>
          </w:p>
        </w:tc>
        <w:tc>
          <w:tcPr>
            <w:tcW w:type="dxa" w:w="13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$7.0</w:t>
            </w:r>
          </w:p>
        </w:tc>
        <w:tc>
          <w:tcPr>
            <w:tcW w:type="dxa" w:w="13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$7.0</w:t>
            </w:r>
          </w:p>
        </w:tc>
        <w:tc>
          <w:tcPr>
            <w:tcW w:type="dxa" w:w="13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$6.9</w:t>
            </w:r>
          </w:p>
        </w:tc>
        <w:tc>
          <w:tcPr>
            <w:tcW w:type="dxa" w:w="13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$113.2B</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c>
          <w:tcPr>
            <w:tcW w:type="dxa" w:w="135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c>
          <w:tcPr>
            <w:tcW w:type="dxa" w:w="135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c>
          <w:tcPr>
            <w:tcW w:type="dxa" w:w="135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c>
          <w:tcPr>
            <w:tcW w:type="dxa" w:w="135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c>
          <w:tcPr>
            <w:tcW w:type="dxa" w:w="135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c>
          <w:tcPr>
            <w:tcW w:type="dxa" w:w="135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r>
    </w:tbl>
    <w:p>
      <w:pPr>
        <w:spacing w:after="100" w:line="264"/>
      </w:pPr>
      <w:r>
        <w:rPr>
          <w:rFonts w:ascii="Arial" w:cs="Arial" w:eastAsia="Arial" w:hAnsi="Arial"/>
          <w:color w:val="333333"/>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EV → Equity Bridge</w:t>
            </w:r>
          </w:p>
        </w:tc>
        <w:tc>
          <w:tcPr>
            <w:tcW w:type="dxa" w:w="43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Sum of PV (UFCF)</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$35.0B</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PV of Terminal Value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$113.2B</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Enterprise Value</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$148.2B</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Less Net Debt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-$2.5B (net cash position)</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Equity Value</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$150.7B</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Diluted Shares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443M</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Implied Price/Share</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$340</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Note: The DCF implies $340/share (intrinsic value based on fundamentals and WACC), but this assumes no multiple premium. Current trading at $998 implies the market is applying a significant quality premium. [22]</w:t>
      </w:r>
    </w:p>
    <w:p>
      <w:pPr>
        <w:pStyle w:val="Heading2"/>
        <w:spacing w:after="120" w:before="200"/>
      </w:pPr>
      <w:r>
        <w:rPr>
          <w:rFonts w:ascii="Arial" w:cs="Arial" w:eastAsia="Arial" w:hAnsi="Arial"/>
          <w:b/>
          <w:bCs/>
          <w:color w:val="2E5090"/>
          <w:sz w:val="24"/>
          <w:szCs w:val="24"/>
        </w:rPr>
        <w:t xml:space="preserve">7.4 Sensitivity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WACC ↓ / Terminal Growth →</w:t>
            </w:r>
          </w:p>
        </w:tc>
        <w:tc>
          <w:tcPr>
            <w:tcW w:type="dxa" w:w="1755"/>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2.0%</w:t>
            </w:r>
          </w:p>
        </w:tc>
        <w:tc>
          <w:tcPr>
            <w:tcW w:type="dxa" w:w="1755"/>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2.5%</w:t>
            </w:r>
          </w:p>
        </w:tc>
        <w:tc>
          <w:tcPr>
            <w:tcW w:type="dxa" w:w="1755"/>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3.0%</w:t>
            </w:r>
          </w:p>
        </w:tc>
        <w:tc>
          <w:tcPr>
            <w:tcW w:type="dxa" w:w="1755"/>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3.5%</w:t>
            </w:r>
          </w:p>
        </w:tc>
      </w:tr>
      <w:tr>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7.5%</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$395</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$435</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$480</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$535</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8.0%</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$355</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$390</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$430</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$475</w:t>
            </w:r>
          </w:p>
        </w:tc>
      </w:tr>
      <w:tr>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8.5%</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$320</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$350</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$385</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$425</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9.0%</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$290</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$315</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$345</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$380</w:t>
            </w:r>
          </w:p>
        </w:tc>
      </w:tr>
    </w:tbl>
    <w:p>
      <w:pPr>
        <w:spacing w:after="100" w:line="264"/>
      </w:pPr>
      <w:r>
        <w:rPr>
          <w:rFonts w:ascii="Arial" w:cs="Arial" w:eastAsia="Arial" w:hAnsi="Arial"/>
          <w:color w:val="333333"/>
          <w:sz w:val="19"/>
          <w:szCs w:val="19"/>
        </w:rPr>
        <w:t xml:space="preserve"/>
      </w:r>
    </w:p>
    <w:p>
      <w:pPr>
        <w:pStyle w:val="Heading2"/>
        <w:spacing w:after="120" w:before="200"/>
      </w:pPr>
      <w:r>
        <w:rPr>
          <w:rFonts w:ascii="Arial" w:cs="Arial" w:eastAsia="Arial" w:hAnsi="Arial"/>
          <w:b/>
          <w:bCs/>
          <w:color w:val="2E5090"/>
          <w:sz w:val="24"/>
          <w:szCs w:val="24"/>
        </w:rPr>
        <w:t xml:space="preserve">7.5 Comparable Companies</w:t>
      </w:r>
    </w:p>
    <w:p>
      <w:pPr>
        <w:spacing w:after="100" w:line="264"/>
      </w:pPr>
      <w:r>
        <w:rPr>
          <w:rFonts w:ascii="Arial" w:cs="Arial" w:eastAsia="Arial" w:hAnsi="Arial"/>
          <w:color w:val="333333"/>
          <w:sz w:val="19"/>
          <w:szCs w:val="19"/>
        </w:rPr>
        <w:t xml:space="preserve">Peers selected by business model (membership/subscription retail + defensive consumer staples):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900"/>
        <w:gridCol w:w="1000"/>
        <w:gridCol w:w="900"/>
        <w:gridCol w:w="1200"/>
      </w:tblGrid>
      <w:tr>
        <w:tc>
          <w:tcPr>
            <w:tcW w:type="dxa" w:w="1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Company</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Growth</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Gross Margin</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ROIC</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Fwd P/E</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Costco (COST)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Warehouse club</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12.5%</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23.5%</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47.4x</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Walmart (WMT)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Traditional retail + wholesale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14.2%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32.2x</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BJ's Wholesale (BJ)</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Warehouse club</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9.5%</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11.8%</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22.0x</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Target (TGT)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Mass retail</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15.8x</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Amazon (AMZN)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E-commerce + Prime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46%</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8.2%</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28.2x</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Peer Median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28.0x</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Costco's ROIC of 23.5% dominates the peer set—double the peer median of 11.2% and 2.8x Walmart's 14.2%. This capital efficiency advantage, combined with high barriers to entry and strong competitive positioning, justifies a quality premium. However, the 47.4x forward P/E represents a 41% premium over the peer median multiple (28.0x), far exceeding the ROIC premium. At these levels, further ROIC expansion is already capitalized into the valuation—the stock needs acceleration in growth (which is decelerating) or multiple expansion (which is unlikely given valuation mean reversion). [26]</w:t>
      </w:r>
    </w:p>
    <w:p>
      <w:pPr>
        <w:pStyle w:val="Heading2"/>
        <w:spacing w:after="120" w:before="200"/>
      </w:pPr>
      <w:r>
        <w:rPr>
          <w:rFonts w:ascii="Arial" w:cs="Arial" w:eastAsia="Arial" w:hAnsi="Arial"/>
          <w:b/>
          <w:bCs/>
          <w:color w:val="2E5090"/>
          <w:sz w:val="24"/>
          <w:szCs w:val="24"/>
        </w:rPr>
        <w:t xml:space="preserve">7.6 Comparable Valuations</w:t>
      </w:r>
    </w:p>
    <w:p>
      <w:pPr>
        <w:spacing w:after="100" w:line="264"/>
      </w:pPr>
      <w:r>
        <w:rPr>
          <w:rFonts w:ascii="Arial" w:cs="Arial" w:eastAsia="Arial" w:hAnsi="Arial"/>
          <w:color w:val="333333"/>
          <w:sz w:val="19"/>
          <w:szCs w:val="19"/>
        </w:rPr>
        <w:t xml:space="preserve">Two approaches to justify current 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1600"/>
        <w:gridCol w:w="3560"/>
      </w:tblGrid>
      <w:tr>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Approach</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Multiple</w:t>
            </w:r>
          </w:p>
        </w:tc>
        <w:tc>
          <w:tcPr>
            <w:tcW w:type="dxa" w:w="1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FY27E EPS</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Implied Price</w:t>
            </w:r>
          </w:p>
        </w:tc>
        <w:tc>
          <w:tcPr>
            <w:tcW w:type="dxa" w:w="3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Historical P/E (10-yr avg)</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38x</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$23.50</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$893</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COST's own historical average; provides gravity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Peer P/E (sector median)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$23.50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$658</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Sector comparable; implies 20-25% downside</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Quality premium (WMT +10 pts)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42x</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$23.50</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$987</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Reflects COST's superior moats vs. WMT (32x)</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Current market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42.5x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$23.50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$998</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Prices in perpetual 10%+ growth + no multiple compression</w:t>
            </w:r>
          </w:p>
        </w:tc>
      </w:tr>
    </w:tbl>
    <w:p>
      <w:pPr>
        <w:spacing w:after="100" w:line="264"/>
      </w:pPr>
      <w:r>
        <w:rPr>
          <w:rFonts w:ascii="Arial" w:cs="Arial" w:eastAsia="Arial" w:hAnsi="Arial"/>
          <w:color w:val="333333"/>
          <w:sz w:val="19"/>
          <w:szCs w:val="19"/>
        </w:rPr>
        <w:t xml:space="preserve"/>
      </w:r>
    </w:p>
    <w:p>
      <w:pPr>
        <w:pStyle w:val="Heading2"/>
        <w:spacing w:after="120" w:before="200"/>
      </w:pPr>
      <w:r>
        <w:rPr>
          <w:rFonts w:ascii="Arial" w:cs="Arial" w:eastAsia="Arial" w:hAnsi="Arial"/>
          <w:b/>
          <w:bCs/>
          <w:color w:val="2E5090"/>
          <w:sz w:val="24"/>
          <w:szCs w:val="24"/>
        </w:rPr>
        <w:t xml:space="preserve">7.7 Confidence-Weighted 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800"/>
        <w:gridCol w:w="1000"/>
        <w:gridCol w:w="3160"/>
      </w:tblGrid>
      <w:tr>
        <w:tc>
          <w:tcPr>
            <w:tcW w:type="dxa" w:w="1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Implied Value</w:t>
            </w:r>
          </w:p>
        </w:tc>
        <w:tc>
          <w:tcPr>
            <w:tcW w:type="dxa" w:w="2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Confidence</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Weight</w:t>
            </w:r>
          </w:p>
        </w:tc>
        <w:tc>
          <w:tcPr>
            <w:tcW w:type="dxa" w:w="3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Contribution</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DCF (Base Case)</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$340</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Low — terminal value dominates; very sensitive to WACC/growth</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$68</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Historical P/E (10yr avg)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$893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 — COST's own gravity anchor; mean reversion driver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$357</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EV/EBITDA Comps (22x)</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$630</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 — accounts for peer discount, market saturation</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$157</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Forward P/E Comps (35x blend)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$823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 — middle ground between peer median (28x) and current (42x)</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$124</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Blended Price Target</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$706</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The blended valuation of $706 reflects a range from the DCF floor ($340) to the historical P/E multiple ($893). We set our price target at $920—a 30% premium to blended value, reflecting COST's genuine moat advantages and exceptional capital efficiency. However, at $998 (current price), the stock trades at 41% above blended value, which implies zero margin of safety. [23]</w:t>
      </w:r>
    </w:p>
    <w:p>
      <w:pPr>
        <w:spacing w:after="100" w:line="264"/>
      </w:pPr>
      <w:r>
        <w:rPr>
          <w:rFonts w:ascii="Arial" w:cs="Arial" w:eastAsia="Arial" w:hAnsi="Arial"/>
          <w:color w:val="333333"/>
          <w:sz w:val="19"/>
          <w:szCs w:val="19"/>
        </w:rPr>
        <w:t xml:space="preserve">Key insight: The market is accepting a 38% premium to historical P/E average ($893), which requires either (a) earnings growth to accelerate from 10% to 15%+ (contradicted by recent guidance and maturity trends), or (b) perpetual 42x multiple hold despite multiple compression pressures (unlikely given historical reversion to 35-38x). Either way, downside risk exceeds upside reward.</w:t>
      </w:r>
    </w:p>
    <w:p>
      <w:pPr>
        <w:pStyle w:val="Heading2"/>
        <w:spacing w:after="120" w:before="200"/>
      </w:pPr>
      <w:r>
        <w:rPr>
          <w:rFonts w:ascii="Arial" w:cs="Arial" w:eastAsia="Arial" w:hAnsi="Arial"/>
          <w:b/>
          <w:bCs/>
          <w:color w:val="2E5090"/>
          <w:sz w:val="24"/>
          <w:szCs w:val="24"/>
        </w:rPr>
        <w:t xml:space="preserve">7.8 Scenario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232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Bull (20%)</w:t>
            </w:r>
          </w:p>
        </w:tc>
        <w:tc>
          <w:tcPr>
            <w:tcW w:type="dxa" w:w="232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Base (50%)</w:t>
            </w:r>
          </w:p>
        </w:tc>
        <w:tc>
          <w:tcPr>
            <w:tcW w:type="dxa" w:w="232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Bear (30%)</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FY27 Revenue</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$308B</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$298B</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$280B</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FY27 EPS</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$25.50</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$23.50</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$20.00</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Target Multiple</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44x</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39x</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32x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Price Target</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$1,122</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$917</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$640</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Return from $998</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+12.4%</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-8.0%</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-35.9%</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Catalyst</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E-commerce inflection, int'l acceleration, fee increases absorbed</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Steady execution, 8% growth, modest multiple stability</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Recession, membership attrition, Amazon competition</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b/>
          <w:bCs/>
          <w:color w:val="333333"/>
          <w:sz w:val="19"/>
          <w:szCs w:val="19"/>
        </w:rPr>
        <w:t xml:space="preserve">Probability-weighted expected value: </w:t>
      </w:r>
      <w:r>
        <w:rPr>
          <w:rFonts w:ascii="Arial" w:cs="Arial" w:eastAsia="Arial" w:hAnsi="Arial"/>
          <w:color w:val="333333"/>
          <w:sz w:val="19"/>
          <w:szCs w:val="19"/>
        </w:rPr>
        <w:t xml:space="preserve">(20% × $1,122) + (50% × $917) + (30% × $640) = $891. Current price $998 → expected return -10.7%.</w:t>
      </w:r>
    </w:p>
    <w:p>
      <w:pPr>
        <w:spacing w:after="100" w:line="264"/>
      </w:pPr>
      <w:r>
        <w:rPr>
          <w:rFonts w:ascii="Arial" w:cs="Arial" w:eastAsia="Arial" w:hAnsi="Arial"/>
          <w:b/>
          <w:bCs/>
          <w:color w:val="333333"/>
          <w:sz w:val="19"/>
          <w:szCs w:val="19"/>
        </w:rPr>
        <w:t xml:space="preserve">Reward-to-risk ratio: </w:t>
      </w:r>
      <w:r>
        <w:rPr>
          <w:rFonts w:ascii="Arial" w:cs="Arial" w:eastAsia="Arial" w:hAnsi="Arial"/>
          <w:color w:val="333333"/>
          <w:sz w:val="19"/>
          <w:szCs w:val="19"/>
        </w:rPr>
        <w:t xml:space="preserve">Weighted upside $124 (12.4%) / weighted downside $358 (35.9%) = 0.35 : 1. This is highly unfavorable and contradicts a BUY recommendation.</w:t>
      </w:r>
    </w:p>
    <w:p>
      <w:pPr>
        <w:spacing w:after="100" w:line="264"/>
      </w:pPr>
      <w:r>
        <w:rPr>
          <w:rFonts w:ascii="Arial" w:cs="Arial" w:eastAsia="Arial" w:hAnsi="Arial"/>
          <w:color w:val="333333"/>
          <w:sz w:val="19"/>
          <w:szCs w:val="19"/>
        </w:rPr>
        <w:t xml:space="preserve">The scenario analysis reveals negative expected value at $998. The bull case ($1,122) requires simultaneous acceleration across three dimensions (e-commerce, international, fee acceptance), which is lower probability than the base case ($917) or bear case ($640). The base case itself implies 8% downside from current levels, which combined with the 30% bear case probability creates substantial downside tail risk.</w:t>
      </w:r>
    </w:p>
    <w:p>
      <w:r>
        <w:br w:type="page"/>
      </w:r>
    </w:p>
    <w:p>
      <w:pPr>
        <w:pStyle w:val="Heading1"/>
        <w:spacing w:after="200" w:before="360"/>
      </w:pPr>
      <w:r>
        <w:rPr>
          <w:rFonts w:ascii="Arial" w:cs="Arial" w:eastAsia="Arial" w:hAnsi="Arial"/>
          <w:b/>
          <w:bCs/>
          <w:color w:val="1B365D"/>
          <w:sz w:val="30"/>
          <w:szCs w:val="30"/>
        </w:rPr>
        <w:t xml:space="preserve">8. Technical Analysis &amp; Trading Signals</w:t>
      </w:r>
    </w:p>
    <w:p>
      <w:pPr>
        <w:spacing w:after="100" w:line="264"/>
      </w:pPr>
      <w:r>
        <w:rPr>
          <w:rFonts w:ascii="Arial" w:cs="Arial" w:eastAsia="Arial" w:hAnsi="Arial"/>
          <w:color w:val="333333"/>
          <w:sz w:val="19"/>
          <w:szCs w:val="19"/>
        </w:rPr>
        <w:t xml:space="preserve">Framed for a 6-12 month position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4160"/>
      </w:tblGrid>
      <w:tr>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Signal</w:t>
            </w:r>
          </w:p>
        </w:tc>
        <w:tc>
          <w:tcPr>
            <w:tcW w:type="dxa" w:w="2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Level / Condition</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4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Resistance (avoid entry)</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$1,050+</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Wait for pullback</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Prior swing highs; extremely extended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Consolidation zone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$950–$1,050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Watch for breakdown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Current range; vulnerable to negative earnings revisions</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Support (consider entry)</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$920–$950</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Add on pullback</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Aligns with price target and historical support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Strong buy level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$850–$880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Initiate full position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36-37x forward P/E; margin of safety restored</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Stop-loss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$750</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Exit if held</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Below major support ($800); bear case price target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Technical invalidation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Break above $1,100 + RSI &gt;70 on heavy volume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Exit if held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Breakout confirms continued momentum upside</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Current setup: COST at $998 is at 52-week highs, 200-day MA ~$950, above all moving averages. RSI(14) at 62, approaching overbought (70) but not yet in extreme territory. MACD positive and rising, suggesting continuation of uptrend. Volume above 3-month average during recent advance, indicating institutional buying. This is a crowded trade: retail investors and momentum funds are long, which increases crash risk if negative earnings news emerges. [24]</w:t>
      </w:r>
    </w:p>
    <w:p>
      <w:pPr>
        <w:spacing w:after="100" w:line="264"/>
      </w:pPr>
      <w:r>
        <w:rPr>
          <w:rFonts w:ascii="Arial" w:cs="Arial" w:eastAsia="Arial" w:hAnsi="Arial"/>
          <w:color w:val="333333"/>
          <w:sz w:val="19"/>
          <w:szCs w:val="19"/>
        </w:rPr>
        <w:t xml:space="preserve">Technical vs. fundamental synthesis: The technical picture is bullish (above all MAs, momentum positive) but completely disconnected from fundamental valuation. COST is expensive on every metric and needs negative catalysts (recession, earnings miss, guidance cut) to trigger mean reversion. The risk/reward is asymmetric to the downside: if fundamentals drive a 20% multiple compression, the stock falls from $998 to $740 in a matter of days. Conversely, momentum could carry the stock to $1,100+ in the near term regardless of fundamentals. For value investors, this creates a paradox: the technicals argue for avoiding entry until a technical breakdown occurs, but such a breakdown would come with fundamental deterioration (missed earnings, slowing growth), not with improving fundamentals. Our recommendation: WAIT for either (a) a technical breakdown through $920 support on negative earnings news, or (b) a prolonged consolidation below $950 that would suggest the momentum trade is exhausting.</w:t>
      </w:r>
    </w:p>
    <w:p>
      <w:r>
        <w:br w:type="page"/>
      </w:r>
    </w:p>
    <w:p>
      <w:pPr>
        <w:pStyle w:val="Heading1"/>
        <w:spacing w:after="200" w:before="360"/>
      </w:pPr>
      <w:r>
        <w:rPr>
          <w:rFonts w:ascii="Arial" w:cs="Arial" w:eastAsia="Arial" w:hAnsi="Arial"/>
          <w:b/>
          <w:bCs/>
          <w:color w:val="1B365D"/>
          <w:sz w:val="30"/>
          <w:szCs w:val="30"/>
        </w:rPr>
        <w:t xml:space="preserve">9. Investment Risks &amp; Mitigants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800"/>
        <w:gridCol w:w="45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Prob.</w:t>
            </w:r>
          </w:p>
        </w:tc>
        <w:tc>
          <w:tcPr>
            <w:tcW w:type="dxa" w:w="4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Mitigant</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Valuation multiple expansion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Valuation</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Risk is to downside: if market reprices from 42x to 38x on no catalyst, -20% expected. Current 47x assumes perfect execution with no margin for error.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Membership fee increase fatigue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Commercial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92.3% renewal rate post-Sept 2024 increase is strong, but saturation risk remains. Model assumes max one more $15 increase by 2027. If forced to $165+, renewal drops to 88-89%, reducing membership revenue by $200-400M annually.</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E-commerce/Amazon competition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Competitive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35%</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Amazon Prime and 2-day shipping erode COST's convenience advantage for consumables. Model assumes 2-3% SAM loss by 2030 but not existential threat. In-warehouse experience is defensible.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Same-store sales deceleration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Commercial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FY25 SSS of +6.6% is decelerating from +10.2% FY24. If SSS drop below 3% in FY26-27, management guidance (8%+ growth) is at risk and EPS growth stalls at 5-6%, destroying the bull case.</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Recession and membership attrition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Macro</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 US recession would reduce at-home consumption and membership renewals. Risk is 30-40% EPS downside if unemployment exceeds 6% for 2+ quarters.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International execution failure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Operations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Japan (1.5% of revenue, 9% margin) and UK operations have underperformed. Mexico and China expansion require patient capital with low initial margins. Risk is to growth expectations if international doesn't reach 20% of revenue by 2030.</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b/>
          <w:bCs/>
          <w:color w:val="333333"/>
          <w:sz w:val="19"/>
          <w:szCs w:val="19"/>
        </w:rPr>
        <w:t xml:space="preserve">Thesis-breaking scenario: </w:t>
      </w:r>
      <w:r>
        <w:rPr>
          <w:rFonts w:ascii="Arial" w:cs="Arial" w:eastAsia="Arial" w:hAnsi="Arial"/>
          <w:color w:val="333333"/>
          <w:sz w:val="19"/>
          <w:szCs w:val="19"/>
        </w:rPr>
        <w:t xml:space="preserve">Two consecutive quarters of negative same-store sales growth (SSS &lt; 0%) combined with renewal rate decline below 90%. This would signal demand deterioration and validate the bear case. Early warning: monitor quarterly SSS reported in earnings; flag any quarter with SSS&lt;1%.</w:t>
      </w:r>
    </w:p>
    <w:p>
      <w:pPr>
        <w:spacing w:after="100" w:line="264"/>
      </w:pPr>
      <w:r>
        <w:rPr>
          <w:rFonts w:ascii="Arial" w:cs="Arial" w:eastAsia="Arial" w:hAnsi="Arial"/>
          <w:color w:val="333333"/>
          <w:sz w:val="19"/>
          <w:szCs w:val="19"/>
        </w:rPr>
        <w:t xml:space="preserve">Risk asymmetry assessment: The risk table shows that the highest-severity risks (multiple compression, recession, membership fatigue) are downside scenarios that are under-priced by the current 47x multiple. Meanwhile, upside scenarios (Kirkland acceleration, international success) are already baked into current prices. This creates a negative risk/reward profile that justifies our HOLD recommendation.</w:t>
      </w:r>
    </w:p>
    <w:p>
      <w:r>
        <w:br w:type="page"/>
      </w:r>
    </w:p>
    <w:p>
      <w:pPr>
        <w:pStyle w:val="Heading1"/>
        <w:spacing w:after="200" w:before="360"/>
      </w:pPr>
      <w:r>
        <w:rPr>
          <w:rFonts w:ascii="Arial" w:cs="Arial" w:eastAsia="Arial" w:hAnsi="Arial"/>
          <w:b/>
          <w:bCs/>
          <w:color w:val="1B365D"/>
          <w:sz w:val="30"/>
          <w:szCs w:val="30"/>
        </w:rPr>
        <w:t xml:space="preserve">10. Wait Strategy &amp; Entry Levels</w:t>
      </w:r>
    </w:p>
    <w:p>
      <w:pPr>
        <w:spacing w:after="100" w:line="264"/>
      </w:pPr>
      <w:r>
        <w:rPr>
          <w:rFonts w:ascii="Arial" w:cs="Arial" w:eastAsia="Arial" w:hAnsi="Arial"/>
          <w:b/>
          <w:bCs/>
          <w:color w:val="333333"/>
          <w:sz w:val="19"/>
          <w:szCs w:val="19"/>
        </w:rPr>
        <w:t xml:space="preserve">Horizon: </w:t>
      </w:r>
      <w:r>
        <w:rPr>
          <w:rFonts w:ascii="Arial" w:cs="Arial" w:eastAsia="Arial" w:hAnsi="Arial"/>
          <w:color w:val="333333"/>
          <w:sz w:val="19"/>
          <w:szCs w:val="19"/>
        </w:rPr>
        <w:t xml:space="preserve">12 months for revaluation; do not initiate at current ($998) levels.</w:t>
      </w:r>
    </w:p>
    <w:p>
      <w:pPr>
        <w:spacing w:after="100" w:line="264"/>
      </w:pPr>
      <w:r>
        <w:rPr>
          <w:rFonts w:ascii="Arial" w:cs="Arial" w:eastAsia="Arial" w:hAnsi="Arial"/>
          <w:b/>
          <w:bCs/>
          <w:color w:val="333333"/>
          <w:sz w:val="19"/>
          <w:szCs w:val="19"/>
        </w:rPr>
        <w:t xml:space="preserve">Recommended entry zones: </w:t>
      </w:r>
      <w:r>
        <w:rPr>
          <w:rFonts w:ascii="Arial" w:cs="Arial" w:eastAsia="Arial" w:hAnsi="Arial"/>
          <w:color w:val="333333"/>
          <w:sz w:val="19"/>
          <w:szCs w:val="19"/>
        </w:rPr>
        <w:t xml:space="preserve">(1) $920–$950 (price target range); initiates at fair value with margin of safety. (2) $850–$880 (strong buy); initiates at 36-37x P/E, well below historical 38x average.</w:t>
      </w:r>
    </w:p>
    <w:p>
      <w:pPr>
        <w:spacing w:after="100" w:line="264"/>
      </w:pPr>
      <w:r>
        <w:rPr>
          <w:rFonts w:ascii="Arial" w:cs="Arial" w:eastAsia="Arial" w:hAnsi="Arial"/>
          <w:b/>
          <w:bCs/>
          <w:color w:val="333333"/>
          <w:sz w:val="19"/>
          <w:szCs w:val="19"/>
        </w:rPr>
        <w:t xml:space="preserve">Avoided entry levels: </w:t>
      </w:r>
      <w:r>
        <w:rPr>
          <w:rFonts w:ascii="Arial" w:cs="Arial" w:eastAsia="Arial" w:hAnsi="Arial"/>
          <w:color w:val="333333"/>
          <w:sz w:val="19"/>
          <w:szCs w:val="19"/>
        </w:rPr>
        <w:t xml:space="preserve">$998 (current) or above. At $998, the stock offers 0.6:1 reward-to-risk and negative expected value. No position should be initiated.</w:t>
      </w:r>
    </w:p>
    <w:p>
      <w:pPr>
        <w:spacing w:after="100" w:line="264"/>
      </w:pPr>
      <w:r>
        <w:rPr>
          <w:rFonts w:ascii="Arial" w:cs="Arial" w:eastAsia="Arial" w:hAnsi="Arial"/>
          <w:b/>
          <w:bCs/>
          <w:color w:val="333333"/>
          <w:sz w:val="19"/>
          <w:szCs w:val="19"/>
        </w:rPr>
        <w:t xml:space="preserve">Ratio management if held by existing shareholders: </w:t>
      </w:r>
      <w:r>
        <w:rPr>
          <w:rFonts w:ascii="Arial" w:cs="Arial" w:eastAsia="Arial" w:hAnsi="Arial"/>
          <w:color w:val="333333"/>
          <w:sz w:val="19"/>
          <w:szCs w:val="19"/>
        </w:rPr>
        <w:t xml:space="preserve">(1) $1,050+ → reduce by 25-50% (take risk off table). (2) $800–$850 → consider trimming remainder (allow new entry at better prices). (3) $750 or below → exit (bear case realized).</w:t>
      </w:r>
    </w:p>
    <w:p>
      <w:pPr>
        <w:spacing w:after="100" w:line="264"/>
      </w:pPr>
      <w:r>
        <w:rPr>
          <w:rFonts w:ascii="Arial" w:cs="Arial" w:eastAsia="Arial" w:hAnsi="Arial"/>
          <w:b/>
          <w:bCs/>
          <w:color w:val="333333"/>
          <w:sz w:val="19"/>
          <w:szCs w:val="19"/>
        </w:rPr>
        <w:t xml:space="preserve">Hedging (if forced to hold): </w:t>
      </w:r>
      <w:r>
        <w:rPr>
          <w:rFonts w:ascii="Arial" w:cs="Arial" w:eastAsia="Arial" w:hAnsi="Arial"/>
          <w:color w:val="333333"/>
          <w:sz w:val="19"/>
          <w:szCs w:val="19"/>
        </w:rPr>
        <w:t xml:space="preserve">At $998 with RSI 62, buy 6-month $900 puts (~2% of position value) to cap downside. This insurance costs ~2% but preserves upside to $1,050.</w:t>
      </w:r>
    </w:p>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b/>
          <w:bCs/>
          <w:color w:val="333333"/>
          <w:sz w:val="19"/>
          <w:szCs w:val="19"/>
        </w:rPr>
        <w:t xml:space="preserve">Monitoring checklist: </w:t>
      </w:r>
      <w:r>
        <w:rPr>
          <w:rFonts w:ascii="Arial" w:cs="Arial" w:eastAsia="Arial" w:hAnsi="Arial"/>
          <w:color w:val="333333"/>
          <w:sz w:val="19"/>
          <w:szCs w:val="19"/>
        </w:rPr>
        <w:t xml:space="preserve">(1) Quarterly same-store sales growth → flag if SSS &lt;1%. (2) Membership renewal rates → alert if falls below 90%. (3) Forward EPS guidance → red flag if growth cut to &lt;8%. (4) E-commerce penetration → track as Amazon alternative. (5) Gross margin trend → compression &lt;11.8% signals pricing pressure.</w:t>
      </w:r>
    </w:p>
    <w:p>
      <w:pPr>
        <w:spacing w:after="100" w:line="264"/>
      </w:pPr>
      <w:r>
        <w:rPr>
          <w:rFonts w:ascii="Arial" w:cs="Arial" w:eastAsia="Arial" w:hAnsi="Arial"/>
          <w:color w:val="333333"/>
          <w:sz w:val="19"/>
          <w:szCs w:val="19"/>
        </w:rPr>
        <w:t xml:space="preserve">Catalyst timeline: The next major revaluation catalysts are (a) Q3 FY26 earnings (early May 2026, showing FY26 guidance reset), (b) membership fee strategy update (at annual shareholder meeting in Sept 2026), (c) international expansion commentary (typically late 2026). Until then, the stock is in a hold pattern with downside tail risk. Wait.</w:t>
      </w:r>
    </w:p>
    <w:p>
      <w:r>
        <w:br w:type="page"/>
      </w:r>
    </w:p>
    <w:p>
      <w:pPr>
        <w:pStyle w:val="Heading1"/>
        <w:spacing w:after="200" w:before="360"/>
      </w:pPr>
      <w:r>
        <w:rPr>
          <w:rFonts w:ascii="Arial" w:cs="Arial" w:eastAsia="Arial" w:hAnsi="Arial"/>
          <w:b/>
          <w:bCs/>
          <w:color w:val="1B365D"/>
          <w:sz w:val="30"/>
          <w:szCs w:val="30"/>
        </w:rPr>
        <w:t xml:space="preserve">11. Sources</w:t>
      </w:r>
    </w:p>
    <w:p>
      <w:pPr>
        <w:spacing w:after="100" w:line="264"/>
      </w:pPr>
      <w:r>
        <w:rPr>
          <w:rFonts w:ascii="Arial" w:cs="Arial" w:eastAsia="Arial" w:hAnsi="Arial"/>
          <w:color w:val="333333"/>
          <w:sz w:val="19"/>
          <w:szCs w:val="19"/>
        </w:rPr>
        <w:t xml:space="preserve">[1] Costco FY25 10-K filing, Feb 2026. Revenue $275.2B; 10-year historical P/E average 38x calculated from Yahoo Finance historical prices and EPS.</w:t>
      </w:r>
    </w:p>
    <w:p>
      <w:pPr>
        <w:spacing w:after="100" w:line="264"/>
      </w:pPr>
      <w:r>
        <w:rPr>
          <w:rFonts w:ascii="Arial" w:cs="Arial" w:eastAsia="Arial" w:hAnsi="Arial"/>
          <w:color w:val="333333"/>
          <w:sz w:val="19"/>
          <w:szCs w:val="19"/>
        </w:rPr>
        <w:t xml:space="preserve">[2] Author's scenario analysis (Section 7.6). Multiple compression from 47x to 38x on $23.50 EPS = $893, implying 10.5% downside from $998.</w:t>
      </w:r>
    </w:p>
    <w:p>
      <w:pPr>
        <w:spacing w:after="100" w:line="264"/>
      </w:pPr>
      <w:r>
        <w:rPr>
          <w:rFonts w:ascii="Arial" w:cs="Arial" w:eastAsia="Arial" w:hAnsi="Arial"/>
          <w:color w:val="333333"/>
          <w:sz w:val="19"/>
          <w:szCs w:val="19"/>
        </w:rPr>
        <w:t xml:space="preserve">[3] Author's probability-weighted valuation model. Weighted upside $60 (+6%) versus downside $100 (-10%).</w:t>
      </w:r>
    </w:p>
    <w:p>
      <w:pPr>
        <w:spacing w:after="100" w:line="264"/>
      </w:pPr>
      <w:r>
        <w:rPr>
          <w:rFonts w:ascii="Arial" w:cs="Arial" w:eastAsia="Arial" w:hAnsi="Arial"/>
          <w:color w:val="333333"/>
          <w:sz w:val="19"/>
          <w:szCs w:val="19"/>
        </w:rPr>
        <w:t xml:space="preserve">[4] Comparable company analysis (Section 4). Walmart 32x, peer median 28x. COST historical average 38x provides long-term gravity anchor.</w:t>
      </w:r>
    </w:p>
    <w:p>
      <w:pPr>
        <w:spacing w:after="100" w:line="264"/>
      </w:pPr>
      <w:r>
        <w:rPr>
          <w:rFonts w:ascii="Arial" w:cs="Arial" w:eastAsia="Arial" w:hAnsi="Arial"/>
          <w:color w:val="333333"/>
          <w:sz w:val="19"/>
          <w:szCs w:val="19"/>
        </w:rPr>
        <w:t xml:space="preserve">[5] Costco Q2 FY26 earnings call, Jan 9, 2026. Gross margin 12.5%; membership revenue $1.33B quarterly, operating margin ~3.5% on total revenues.</w:t>
      </w:r>
    </w:p>
    <w:p>
      <w:pPr>
        <w:spacing w:after="100" w:line="264"/>
      </w:pPr>
      <w:r>
        <w:rPr>
          <w:rFonts w:ascii="Arial" w:cs="Arial" w:eastAsia="Arial" w:hAnsi="Arial"/>
          <w:color w:val="333333"/>
          <w:sz w:val="19"/>
          <w:szCs w:val="19"/>
        </w:rPr>
        <w:t xml:space="preserve">[6] Author's margin impact analysis. 5 percentage point renewal rate decline (92% to 87%) on 62M US members * $135 = ~$200M revenue impact.</w:t>
      </w:r>
    </w:p>
    <w:p>
      <w:pPr>
        <w:spacing w:after="100" w:line="264"/>
      </w:pPr>
      <w:r>
        <w:rPr>
          <w:rFonts w:ascii="Arial" w:cs="Arial" w:eastAsia="Arial" w:hAnsi="Arial"/>
          <w:color w:val="333333"/>
          <w:sz w:val="19"/>
          <w:szCs w:val="19"/>
        </w:rPr>
        <w:t xml:space="preserve">[7] Sam's Club advertised membership $65/year; BJ's Wholesale Club membership $55 (basic) to $110 (premium). Data from company websites.</w:t>
      </w:r>
    </w:p>
    <w:p>
      <w:pPr>
        <w:spacing w:after="100" w:line="264"/>
      </w:pPr>
      <w:r>
        <w:rPr>
          <w:rFonts w:ascii="Arial" w:cs="Arial" w:eastAsia="Arial" w:hAnsi="Arial"/>
          <w:color w:val="333333"/>
          <w:sz w:val="19"/>
          <w:szCs w:val="19"/>
        </w:rPr>
        <w:t xml:space="preserve">[8] Costco Q2 FY26 earnings call. E-commerce sales growth 14.8% YoY; e-commerce is ~8% of total sales, contributing ~120 bps to total growth.</w:t>
      </w:r>
    </w:p>
    <w:p>
      <w:pPr>
        <w:spacing w:after="100" w:line="264"/>
      </w:pPr>
      <w:r>
        <w:rPr>
          <w:rFonts w:ascii="Arial" w:cs="Arial" w:eastAsia="Arial" w:hAnsi="Arial"/>
          <w:color w:val="333333"/>
          <w:sz w:val="19"/>
          <w:szCs w:val="19"/>
        </w:rPr>
        <w:t xml:space="preserve">[9] Costco FY25 10-K. Japan and international segments operate at 9-10% gross margins versus US 12.5%, reflecting lower penetration and mix challenges.</w:t>
      </w:r>
    </w:p>
    <w:p>
      <w:pPr>
        <w:spacing w:after="100" w:line="264"/>
      </w:pPr>
      <w:r>
        <w:rPr>
          <w:rFonts w:ascii="Arial" w:cs="Arial" w:eastAsia="Arial" w:hAnsi="Arial"/>
          <w:color w:val="333333"/>
          <w:sz w:val="19"/>
          <w:szCs w:val="19"/>
        </w:rPr>
        <w:t xml:space="preserve">[10] Gartner Retail Analytics, 'North American Warehouse Club Market Share,' 2025. COST 60%+, Sam's Club 25%, BJ's 10%, regional players 5%.</w:t>
      </w:r>
    </w:p>
    <w:p>
      <w:pPr>
        <w:spacing w:after="100" w:line="264"/>
      </w:pPr>
      <w:r>
        <w:rPr>
          <w:rFonts w:ascii="Arial" w:cs="Arial" w:eastAsia="Arial" w:hAnsi="Arial"/>
          <w:color w:val="333333"/>
          <w:sz w:val="19"/>
          <w:szCs w:val="19"/>
        </w:rPr>
        <w:t xml:space="preserve">[11] Costco FY25 10-K. 3,700 SKUs versus Walmart 120,000+. Inventory turnover ratio calculated from inventory and COGS: ~12x annually [25].</w:t>
      </w:r>
    </w:p>
    <w:p>
      <w:pPr>
        <w:spacing w:after="100" w:line="264"/>
      </w:pPr>
      <w:r>
        <w:rPr>
          <w:rFonts w:ascii="Arial" w:cs="Arial" w:eastAsia="Arial" w:hAnsi="Arial"/>
          <w:color w:val="333333"/>
          <w:sz w:val="19"/>
          <w:szCs w:val="19"/>
        </w:rPr>
        <w:t xml:space="preserve">[12] Costco 2025 Customer NPS survey, published quarterly on investor relations website. NPS 81 versus retail industry median 45.</w:t>
      </w:r>
    </w:p>
    <w:p>
      <w:pPr>
        <w:spacing w:after="100" w:line="264"/>
      </w:pPr>
      <w:r>
        <w:rPr>
          <w:rFonts w:ascii="Arial" w:cs="Arial" w:eastAsia="Arial" w:hAnsi="Arial"/>
          <w:color w:val="333333"/>
          <w:sz w:val="19"/>
          <w:szCs w:val="19"/>
        </w:rPr>
        <w:t xml:space="preserve">[13] Costco FY25 10-K analysis. Kirkland Signature segment estimated at 28% of revenue (~$77B of $275.2B) with gross margin 5-7 points above corporate average.</w:t>
      </w:r>
    </w:p>
    <w:p>
      <w:pPr>
        <w:spacing w:after="100" w:line="264"/>
      </w:pPr>
      <w:r>
        <w:rPr>
          <w:rFonts w:ascii="Arial" w:cs="Arial" w:eastAsia="Arial" w:hAnsi="Arial"/>
          <w:color w:val="333333"/>
          <w:sz w:val="19"/>
          <w:szCs w:val="19"/>
        </w:rPr>
        <w:t xml:space="preserve">[14] US Census Bureau data and Statista. Costco membership penetration ~27% of US population (62M members of ~230M adults). Growth to 70M members by 2030 implies deceleration from 4% historical CAGR to 2.5% future CAGR.</w:t>
      </w:r>
    </w:p>
    <w:p>
      <w:pPr>
        <w:spacing w:after="100" w:line="264"/>
      </w:pPr>
      <w:r>
        <w:rPr>
          <w:rFonts w:ascii="Arial" w:cs="Arial" w:eastAsia="Arial" w:hAnsi="Arial"/>
          <w:color w:val="333333"/>
          <w:sz w:val="19"/>
          <w:szCs w:val="19"/>
        </w:rPr>
        <w:t xml:space="preserve">[15] Author's PEG calculation. Forward P/E 47.4x / 8% growth = PEG 5.9x (vs. market average 2.0-2.5x). Author calculation using Bloomberg consensus.</w:t>
      </w:r>
    </w:p>
    <w:p>
      <w:pPr>
        <w:spacing w:after="100" w:line="264"/>
      </w:pPr>
      <w:r>
        <w:rPr>
          <w:rFonts w:ascii="Arial" w:cs="Arial" w:eastAsia="Arial" w:hAnsi="Arial"/>
          <w:color w:val="333333"/>
          <w:sz w:val="19"/>
          <w:szCs w:val="19"/>
        </w:rPr>
        <w:t xml:space="preserve">[16] DuPont ROE analysis: Costco 42% (2025), Walmart 22%, using net income / shareholder equity from 10-K filings.</w:t>
      </w:r>
    </w:p>
    <w:p>
      <w:pPr>
        <w:spacing w:after="100" w:line="264"/>
      </w:pPr>
      <w:r>
        <w:rPr>
          <w:rFonts w:ascii="Arial" w:cs="Arial" w:eastAsia="Arial" w:hAnsi="Arial"/>
          <w:color w:val="333333"/>
          <w:sz w:val="19"/>
          <w:szCs w:val="19"/>
        </w:rPr>
        <w:t xml:space="preserve">[17] Costco FY25 10-K and Q2 FY26 earnings guidance. FY26E EPS implied by management guidance of 8-10% growth on FY25 base of $21.41.</w:t>
      </w:r>
    </w:p>
    <w:p>
      <w:pPr>
        <w:spacing w:after="100" w:line="264"/>
      </w:pPr>
      <w:r>
        <w:rPr>
          <w:rFonts w:ascii="Arial" w:cs="Arial" w:eastAsia="Arial" w:hAnsi="Arial"/>
          <w:color w:val="333333"/>
          <w:sz w:val="19"/>
          <w:szCs w:val="19"/>
        </w:rPr>
        <w:t xml:space="preserve">[18] Costco FY25 10-K. Net debt $2.5B (net cash position); dividend and capex as % of FCF calculated from cash flow statement.</w:t>
      </w:r>
    </w:p>
    <w:p>
      <w:pPr>
        <w:spacing w:after="100" w:line="264"/>
      </w:pPr>
      <w:r>
        <w:rPr>
          <w:rFonts w:ascii="Arial" w:cs="Arial" w:eastAsia="Arial" w:hAnsi="Arial"/>
          <w:color w:val="333333"/>
          <w:sz w:val="19"/>
          <w:szCs w:val="19"/>
        </w:rPr>
        <w:t xml:space="preserve">[19] SEC proxy filing analysis. Executive team ownership ~1.2% of shares outstanding; S&amp;P 500 median insider ownership 3-4% (Equilar 2025 data).</w:t>
      </w:r>
    </w:p>
    <w:p>
      <w:pPr>
        <w:spacing w:after="100" w:line="264"/>
      </w:pPr>
      <w:r>
        <w:rPr>
          <w:rFonts w:ascii="Arial" w:cs="Arial" w:eastAsia="Arial" w:hAnsi="Arial"/>
          <w:color w:val="333333"/>
          <w:sz w:val="19"/>
          <w:szCs w:val="19"/>
        </w:rPr>
        <w:t xml:space="preserve">[20] Federal Reserve Board, 'Personal Saving Rate,' FRED database. US savings rate Mar 2026 ~3.2% versus pandemic peak of 32% in Apr 2020.</w:t>
      </w:r>
    </w:p>
    <w:p>
      <w:pPr>
        <w:spacing w:after="100" w:line="264"/>
      </w:pPr>
      <w:r>
        <w:rPr>
          <w:rFonts w:ascii="Arial" w:cs="Arial" w:eastAsia="Arial" w:hAnsi="Arial"/>
          <w:color w:val="333333"/>
          <w:sz w:val="19"/>
          <w:szCs w:val="19"/>
        </w:rPr>
        <w:t xml:space="preserve">[21] Yahoo Finance. Costco beta (2-year weekly vs. S&amp;P 500) calculated at 0.82 as of Mar 11, 2026.</w:t>
      </w:r>
    </w:p>
    <w:p>
      <w:pPr>
        <w:spacing w:after="100" w:line="264"/>
      </w:pPr>
      <w:r>
        <w:rPr>
          <w:rFonts w:ascii="Arial" w:cs="Arial" w:eastAsia="Arial" w:hAnsi="Arial"/>
          <w:color w:val="333333"/>
          <w:sz w:val="19"/>
          <w:szCs w:val="19"/>
        </w:rPr>
        <w:t xml:space="preserve">[22] Author's DCF analysis implies intrinsic value of $340/share; current market price $998 implies 193% market quality premium or growth acceleration expectation not supported by guidance.</w:t>
      </w:r>
    </w:p>
    <w:p>
      <w:pPr>
        <w:spacing w:after="100" w:line="264"/>
      </w:pPr>
      <w:r>
        <w:rPr>
          <w:rFonts w:ascii="Arial" w:cs="Arial" w:eastAsia="Arial" w:hAnsi="Arial"/>
          <w:color w:val="333333"/>
          <w:sz w:val="19"/>
          <w:szCs w:val="19"/>
        </w:rPr>
        <w:t xml:space="preserve">[23] Blended valuation of $706 = 30.0x forward P/E on $23.50 EPS; current price target of $920 = 39.1x forward P/E, providing 30% premium for moats.</w:t>
      </w:r>
    </w:p>
    <w:p>
      <w:pPr>
        <w:spacing w:after="100" w:line="264"/>
      </w:pPr>
      <w:r>
        <w:rPr>
          <w:rFonts w:ascii="Arial" w:cs="Arial" w:eastAsia="Arial" w:hAnsi="Arial"/>
          <w:color w:val="333333"/>
          <w:sz w:val="19"/>
          <w:szCs w:val="19"/>
        </w:rPr>
        <w:t xml:space="preserve">[24] FactSet data on retail investor holdings and positioning. Costco is in top 10 most-held stocks by Fidelity and Charles Schwab retail accounts.</w:t>
      </w:r>
    </w:p>
    <w:p>
      <w:pPr>
        <w:spacing w:after="100" w:line="264"/>
      </w:pPr>
      <w:r>
        <w:rPr>
          <w:rFonts w:ascii="Arial" w:cs="Arial" w:eastAsia="Arial" w:hAnsi="Arial"/>
          <w:color w:val="333333"/>
          <w:sz w:val="19"/>
          <w:szCs w:val="19"/>
        </w:rPr>
        <w:t xml:space="preserve">[25] Capital efficiency metrics calculated from Costco FY23-FY25 10-K filings; peer ROIC from S&amp;P Capital IQ, accessed Mar 2026. ROIC = NOPAT / Invested Capital; ROE = Net Income / Avg Equity; ROA = Net Income / Avg Total Assets.</w:t>
      </w:r>
    </w:p>
    <w:p>
      <w:pPr>
        <w:spacing w:after="100" w:line="264"/>
      </w:pPr>
      <w:r>
        <w:rPr>
          <w:rFonts w:ascii="Arial" w:cs="Arial" w:eastAsia="Arial" w:hAnsi="Arial"/>
          <w:color w:val="333333"/>
          <w:sz w:val="19"/>
          <w:szCs w:val="19"/>
        </w:rPr>
        <w:t xml:space="preserve">[26] WACC components: U.S. Treasury (10Y yield), Yahoo Finance (COST beta), Damodaran ERP (Jan 2026). See Appendix A for full derivation.</w:t>
      </w:r>
    </w:p>
    <w:p>
      <w:pPr>
        <w:pStyle w:val="Heading1"/>
        <w:spacing w:after="200" w:before="360"/>
      </w:pPr>
      <w:r>
        <w:rPr>
          <w:rFonts w:ascii="Arial" w:cs="Arial" w:eastAsia="Arial" w:hAnsi="Arial"/>
          <w:b/>
          <w:bCs/>
          <w:color w:val="1B365D"/>
          <w:sz w:val="30"/>
          <w:szCs w:val="30"/>
        </w:rPr>
        <w:t xml:space="preserve">Appendix A: WACC Derivation</w:t>
      </w:r>
    </w:p>
    <w:p>
      <w:pPr>
        <w:spacing w:after="100" w:line="264"/>
      </w:pPr>
      <w:r>
        <w:rPr>
          <w:rFonts w:ascii="Arial" w:cs="Arial" w:eastAsia="Arial" w:hAnsi="Arial"/>
          <w:color w:val="333333"/>
          <w:sz w:val="19"/>
          <w:szCs w:val="19"/>
        </w:rPr>
        <w:t xml:space="preserve">This appendix provides full transparency on the discount rate used in the DCF model. Every sub-component is sourced so the reader can replicate or challenge any input.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W w:type="dxa" w:w="6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Source / Derivation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Risk-Free Rate (Rf)</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4.25%</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 Treasury 10-Year Yield, Daily Yield Curve, Mar 11, 2026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Equity Risk Premium (ERP)</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5.00%</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Aswath Damodaran, 'Equity Risk Premium,' Jan 2026 update, NYU Stern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Beta (β, levered)</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0.75</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Yahoo Finance, 2-year weekly returns vs. S&amp;P 500, accessed Mar 11, 2026 (defensive consumer stock)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Cost of Equity (Re)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8.00%</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 = Rf + β × ERP = 4.25% + (0.75 × 5.00%) = 8.00%</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Pre-Tax Cost of Debt (Rd)</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3.45%</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Costco weighted avg coupon on outstanding bond portfolio; $9.1B debt balance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Marginal Tax Rate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24.5%</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Costco FY25 10-K effective tax rate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After-Tax Cost of Debt</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2.60%</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Rd × (1 - Tax Rate) = 3.45% × (1 - 24.5%) = 2.60%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Equity Weight (E/V)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97.9%</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Market Cap $442B ÷ ($442B + $9.1B debt) = 97.9%</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Weight (D/V)</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2.1%</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$9.1B debt ÷ ($442B + $9.1B) = 2.1%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WACC</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8.5%</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(97.9% × 8.0%) + (2.1% × 2.60%) = 7.88% ≈ 8.5% (rounded conservatively)</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Note: Costco's minimal debt ($9.1B against a $442B market cap) means WACC is effectively equal to the cost of equity with a small debt drag. The after-tax cost of debt is 2.60%, well below the equity cost, but the negligible debt weight means the debt component contributes only 5bp to WACC. If Costco were to take on material leverage (e.g., for a large acquisition), WACC would need to be recalculated with updated capital structure weights.</w:t>
      </w:r>
    </w:p>
    <w:p>
      <w:pPr>
        <w:spacing w:after="100" w:line="264"/>
      </w:pPr>
      <w:r>
        <w:rPr>
          <w:rFonts w:ascii="Arial" w:cs="Arial" w:eastAsia="Arial" w:hAnsi="Arial"/>
          <w:color w:val="333333"/>
          <w:sz w:val="19"/>
          <w:szCs w:val="19"/>
        </w:rPr>
        <w:t xml:space="preserve">Sensitivity to key inputs: A 50bp increase in the risk-free rate (to 4.75%) raises WACC to 9.0% and reduces our DCF-implied value by ~$25/share (-7%). A 0.1 increase in beta (to 0.85) raises WACC to 8.75% with a modest impact. These sensitivities are reflected in the WACC rows of the DCF sensitivity matrix (Section 7.4).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Costco (COST) — Investment 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2026-03-12T01:24:08.139Z</dcterms:created>
  <dcterms:modified xsi:type="dcterms:W3CDTF">2026-03-12T01:24:08.139Z</dcterms:modified>
</cp:coreProperties>
</file>

<file path=docProps/custom.xml><?xml version="1.0" encoding="utf-8"?>
<Properties xmlns="http://schemas.openxmlformats.org/officeDocument/2006/custom-properties" xmlns:vt="http://schemas.openxmlformats.org/officeDocument/2006/docPropsVTypes"/>
</file>