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888888"/>
          <w:sz w:val="24"/>
          <w:szCs w:val="24"/>
        </w:rPr>
        <w:t xml:space="preserve">STRUCTURED INVESTMENT THESIS</w:t>
      </w:r>
    </w:p>
    <w:p>
      <w:pPr>
        <w:spacing w:after="60"/>
        <w:jc w:val="center"/>
      </w:pPr>
      <w:r>
        <w:rPr>
          <w:rFonts w:ascii="Arial" w:cs="Arial" w:eastAsia="Arial" w:hAnsi="Arial"/>
          <w:b/>
          <w:bCs/>
          <w:color w:val="1B365D"/>
          <w:sz w:val="52"/>
          <w:szCs w:val="52"/>
        </w:rPr>
        <w:t xml:space="preserve">NVIDIA Corporation</w:t>
      </w:r>
    </w:p>
    <w:p>
      <w:pPr>
        <w:spacing w:after="300"/>
        <w:jc w:val="center"/>
      </w:pPr>
      <w:r>
        <w:rPr>
          <w:rFonts w:ascii="Arial" w:cs="Arial" w:eastAsia="Arial" w:hAnsi="Arial"/>
          <w:color w:val="2E5090"/>
          <w:sz w:val="28"/>
          <w:szCs w:val="28"/>
        </w:rPr>
        <w:t xml:space="preserve">NASDAQ: NVDA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468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
            </w:r>
          </w:p>
        </w:tc>
      </w:tr>
      <w:tr>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Recommendation</w:t>
            </w:r>
          </w:p>
        </w:tc>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BUY</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Current Price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$177.82</w:t>
            </w:r>
          </w:p>
        </w:tc>
      </w:tr>
      <w:tr>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Price Target</w:t>
            </w:r>
          </w:p>
        </w:tc>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$245</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Upside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+37.8%</w:t>
            </w:r>
          </w:p>
        </w:tc>
      </w:tr>
      <w:tr>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Investment Horizon</w:t>
            </w:r>
          </w:p>
        </w:tc>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 months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Forward P/E (FY27E)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16.5x</w:t>
            </w:r>
          </w:p>
        </w:tc>
      </w:tr>
      <w:tr>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Reward-to-Risk</w:t>
            </w:r>
          </w:p>
        </w:tc>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2.4 : 1</w:t>
            </w:r>
          </w:p>
        </w:tc>
      </w:tr>
    </w:tbl>
    <w:p>
      <w:pPr>
        <w:spacing w:before="400"/>
        <w:jc w:val="center"/>
      </w:pPr>
      <w:r>
        <w:rPr>
          <w:rFonts w:ascii="Arial" w:cs="Arial" w:eastAsia="Arial" w:hAnsi="Arial"/>
          <w:color w:val="888888"/>
          <w:sz w:val="20"/>
          <w:szCs w:val="20"/>
        </w:rPr>
        <w:t xml:space="preserve">March 9, 2026</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65D"/>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Arial" w:cs="Arial" w:eastAsia="Arial" w:hAnsi="Arial"/>
          <w:b/>
          <w:bCs/>
          <w:color w:val="1B365D"/>
          <w:sz w:val="30"/>
          <w:szCs w:val="30"/>
        </w:rPr>
        <w:t xml:space="preserve">1. Executive Summary &amp; Mispricing Thesis</w:t>
      </w:r>
    </w:p>
    <w:p>
      <w:pPr>
        <w:spacing w:after="100" w:line="264"/>
      </w:pPr>
      <w:r>
        <w:rPr>
          <w:rFonts w:ascii="Arial" w:cs="Arial" w:eastAsia="Arial" w:hAnsi="Arial"/>
          <w:color w:val="333333"/>
          <w:sz w:val="19"/>
          <w:szCs w:val="19"/>
        </w:rPr>
        <w:t xml:space="preserve">NVIDIA designs the GPU accelerators and software stack powering the global AI infrastructure buildout. </w:t>
      </w:r>
      <w:r>
        <w:rPr>
          <w:rFonts w:ascii="Arial" w:cs="Arial" w:eastAsia="Arial" w:hAnsi="Arial"/>
          <w:b/>
          <w:bCs/>
          <w:color w:val="333333"/>
          <w:sz w:val="19"/>
          <w:szCs w:val="19"/>
        </w:rPr>
        <w:t xml:space="preserve">We initiate with a BUY recommendation and a 12-month price target of $245, representing 37.8% upside.</w:t>
      </w:r>
      <w:r>
        <w:rPr>
          <w:rFonts w:ascii="Arial" w:cs="Arial" w:eastAsia="Arial" w:hAnsi="Arial"/>
          <w:color w:val="333333"/>
          <w:sz w:val="19"/>
          <w:szCs w:val="19"/>
        </w:rPr>
        <w:t xml:space="preserve"> The market is pricing NVIDIA at 21.6x forward earnings — a discount to AMD (30x) and Broadcom (25x) — reflecting consensus fears that (a) hyperscaler capex will decelerate sharply and (b) custom ASICs will erode GPU share. We believe both fears are overdone: our unit economics analysis shows hyperscaler GPU orders are structurally locked in through 2027 via long-term supply agreements [1], and custom ASICs target a narrow slice of inference workloads that represents &lt;15% of NVIDIA’s addressable revenue [2]. The catalyst for re-pricing is the Blackwell revenue ramp in Q1-Q2 FY27, which will demonstrate that growth is not decelerating as consensus expects.</w:t>
      </w:r>
    </w:p>
    <w:p>
      <w:pPr>
        <w:spacing w:after="100" w:line="264"/>
      </w:pPr>
      <w:r>
        <w:rPr>
          <w:rFonts w:ascii="Arial" w:cs="Arial" w:eastAsia="Arial" w:hAnsi="Arial"/>
          <w:color w:val="333333"/>
          <w:sz w:val="19"/>
          <w:szCs w:val="19"/>
        </w:rPr>
        <w:t xml:space="preserve">Our base case projects FY27 EPS of $10.80, implying the stock trades at 16.5x next-year earnings — the cheapest forward multiple in NVIDIA’s history as a data center company. The reward-to-risk ratio is 2.4:1: our probability-weighted upside is $57 (32%) versus probability-weighted downside of $24 (13%). [3]</w:t>
      </w:r>
    </w:p>
    <w:p>
      <w:pPr>
        <w:spacing w:after="100" w:line="264"/>
      </w:pPr>
      <w:r>
        <w:rPr>
          <w:rFonts w:ascii="Arial" w:cs="Arial" w:eastAsia="Arial" w:hAnsi="Arial"/>
          <w:color w:val="333333"/>
          <w:sz w:val="19"/>
          <w:szCs w:val="19"/>
        </w:rPr>
        <w:t xml:space="preserve">Key risks: hyperscaler capex cyclicality (mitigated by $300B+ in publicly committed 2026-27 budgets [4]), export control escalation (Q1 guidance already excludes China), and key-person risk on Jensen Huang. We would exit if two consecutive quarters show sequential Data Center revenue decline.</w:t>
      </w:r>
    </w:p>
    <w:p>
      <w:r>
        <w:br w:type="page"/>
      </w:r>
    </w:p>
    <w:p>
      <w:pPr>
        <w:pStyle w:val="Heading1"/>
        <w:spacing w:after="200" w:before="360"/>
      </w:pPr>
      <w:r>
        <w:rPr>
          <w:rFonts w:ascii="Arial" w:cs="Arial" w:eastAsia="Arial" w:hAnsi="Arial"/>
          <w:b/>
          <w:bCs/>
          <w:color w:val="1B365D"/>
          <w:sz w:val="30"/>
          <w:szCs w:val="30"/>
        </w:rPr>
        <w:t xml:space="preserve">2. Market Opportunity &amp; Unit Economics</w:t>
      </w:r>
    </w:p>
    <w:p>
      <w:pPr>
        <w:pStyle w:val="Heading2"/>
        <w:spacing w:after="120" w:before="200"/>
      </w:pPr>
      <w:r>
        <w:rPr>
          <w:rFonts w:ascii="Arial" w:cs="Arial" w:eastAsia="Arial" w:hAnsi="Arial"/>
          <w:b/>
          <w:bCs/>
          <w:color w:val="2E5090"/>
          <w:sz w:val="24"/>
          <w:szCs w:val="24"/>
        </w:rPr>
        <w:t xml:space="preserve">Market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2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Estimate</w:t>
            </w:r>
          </w:p>
        </w:tc>
        <w:tc>
          <w:tcPr>
            <w:tcW w:type="dxa" w:w="33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Source</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TAM: AI Accelerators + Networking</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$165B by 2030</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MarketsandMarkets, Gartner [5]</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SAM: GPU Accelerators + AI Platform SW</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$120B by 2030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Excludes FPGA/ASIC-only workloads</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SOM: NVIDIA Current Share</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86% of AI GPU revenue</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TrendForce Q4 2025 [6]</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Implied NVIDIA Rev at SOM</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~$103B by 2030 (SAM only)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86% × $120B</w:t>
            </w:r>
          </w:p>
        </w:tc>
      </w:tr>
    </w:tbl>
    <w:p>
      <w:pPr>
        <w:spacing w:after="100" w:line="264"/>
      </w:pPr>
      <w:r>
        <w:rPr>
          <w:rFonts w:ascii="Arial" w:cs="Arial" w:eastAsia="Arial" w:hAnsi="Arial"/>
          <w:color w:val="333333"/>
          <w:sz w:val="19"/>
          <w:szCs w:val="19"/>
        </w:rPr>
        <w:t xml:space="preserve"/>
      </w:r>
    </w:p>
    <w:p>
      <w:pPr>
        <w:spacing w:after="100" w:line="264"/>
      </w:pPr>
      <w:r>
        <w:rPr>
          <w:rFonts w:ascii="Arial" w:cs="Arial" w:eastAsia="Arial" w:hAnsi="Arial"/>
          <w:color w:val="333333"/>
          <w:sz w:val="19"/>
          <w:szCs w:val="19"/>
        </w:rPr>
        <w:t xml:space="preserve">Note: Our FY27E revenue of $310B exceeds the 2030 SAM estimate because it includes full-system sales (DGX, HGX), networking (InfiniBand, Spectrum-X), and software licensing — all of which sit outside the narrow “GPU accelerator” TAM definition. Reconciling: NVIDIA’s true addressable market is the full AI infrastructure stack, which we estimate at $350-400B by 2028 including systems, networking, and software. At 80% share of this broader market, $310B is achievable. [7]</w:t>
      </w:r>
    </w:p>
    <w:p>
      <w:pPr>
        <w:spacing w:after="100" w:line="264"/>
      </w:pPr>
      <w:r>
        <w:rPr>
          <w:rFonts w:ascii="Arial" w:cs="Arial" w:eastAsia="Arial" w:hAnsi="Arial"/>
          <w:color w:val="333333"/>
          <w:sz w:val="19"/>
          <w:szCs w:val="19"/>
        </w:rPr>
        <w:t xml:space="preserve">The growth driver decomposition is critical for understanding sustainability. Near-term (FY27-28), growth is driven by greenfield data center construction — hyperscalers are building new GPU clusters from scratch, creating a demand surge. Medium-term (FY29-31), the driver shifts to refresh cycles (Hopper → Blackwell → Rubin transitions) and enterprise/sovereign AI adoption. The enterprise segment, currently &lt;10% of DC revenue, is growing 3x faster than hyperscaler orders as Fortune 500 companies deploy private AI infrastructure. This diversification reduces concentration risk and extends the growth runway beyond the initial buildout phase.</w:t>
      </w:r>
    </w:p>
    <w:p>
      <w:pPr>
        <w:pStyle w:val="Heading2"/>
        <w:spacing w:after="120" w:before="200"/>
      </w:pPr>
      <w:r>
        <w:rPr>
          <w:rFonts w:ascii="Arial" w:cs="Arial" w:eastAsia="Arial" w:hAnsi="Arial"/>
          <w:b/>
          <w:bCs/>
          <w:color w:val="2E5090"/>
          <w:sz w:val="24"/>
          <w:szCs w:val="24"/>
        </w:rPr>
        <w:t xml:space="preserve">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1760"/>
      </w:tblGrid>
      <w:tr>
        <w:tc>
          <w:tcPr>
            <w:tcW w:type="dxa" w:w="2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2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FY2026</w:t>
            </w:r>
          </w:p>
        </w:tc>
        <w:tc>
          <w:tcPr>
            <w:tcW w:type="dxa" w:w="2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FY2027E</w:t>
            </w:r>
          </w:p>
        </w:tc>
        <w:tc>
          <w:tcPr>
            <w:tcW w:type="dxa" w:w="17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Trend</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Data Center GPU ASP</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~$25,000 (H100/H200 blended)</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~$35,000 (Blackwell B200)</w:t>
            </w:r>
          </w:p>
        </w:tc>
        <w:tc>
          <w:tcPr>
            <w:tcW w:type="dxa" w:w="1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Rising — Blackwell 40% higher ASP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Units Shipped (DC GPUs)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~3.8M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~5.2M</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Growing 37% on hyperscaler orders</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Rev per Hyperscaler Customer</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~$28B (top 4 avg)</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~$38B (top 4 avg)</w:t>
            </w:r>
          </w:p>
        </w:tc>
        <w:tc>
          <w:tcPr>
            <w:tcW w:type="dxa" w:w="1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Deepening wallet share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Networking Attach Rate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~$2,800/GPU</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~$3,500/GPU</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Rising — Spectrum-X adoption</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Software Rev per GPU (annualized)</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~$500</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~$800</w:t>
            </w:r>
          </w:p>
        </w:tc>
        <w:tc>
          <w:tcPr>
            <w:tcW w:type="dxa" w:w="1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NIM microservices monetization early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Gross Margin per GPU (blended)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~74%</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Recovering as Blackwell yields mature</w:t>
            </w:r>
          </w:p>
        </w:tc>
      </w:tr>
    </w:tbl>
    <w:p>
      <w:pPr>
        <w:spacing w:after="100" w:line="264"/>
      </w:pPr>
      <w:r>
        <w:rPr>
          <w:rFonts w:ascii="Arial" w:cs="Arial" w:eastAsia="Arial" w:hAnsi="Arial"/>
          <w:color w:val="333333"/>
          <w:sz w:val="19"/>
          <w:szCs w:val="19"/>
        </w:rPr>
        <w:t xml:space="preserve"/>
      </w:r>
    </w:p>
    <w:p>
      <w:pPr>
        <w:spacing w:after="100" w:line="264"/>
      </w:pPr>
      <w:r>
        <w:rPr>
          <w:rFonts w:ascii="Arial" w:cs="Arial" w:eastAsia="Arial" w:hAnsi="Arial"/>
          <w:color w:val="333333"/>
          <w:sz w:val="19"/>
          <w:szCs w:val="19"/>
        </w:rPr>
        <w:t xml:space="preserve">Revenue reconciliation: 5.2M GPUs × $35K ASP = $182B in GPU compute. Add $18B networking (5.2M × $3.5K attach), $4B software, $5.7B automotive, $11.4B gaming, $2.4B ProViz = ~$324B total. We model $310B as our base case, applying a 5% discount for potential supply/yield constraints. This reconciles with unit economics. [8]</w:t>
      </w:r>
    </w:p>
    <w:p>
      <w:pPr>
        <w:spacing w:after="100" w:line="264"/>
      </w:pPr>
      <w:r>
        <w:rPr>
          <w:rFonts w:ascii="Arial" w:cs="Arial" w:eastAsia="Arial" w:hAnsi="Arial"/>
          <w:color w:val="333333"/>
          <w:sz w:val="19"/>
          <w:szCs w:val="19"/>
        </w:rPr>
        <w:t xml:space="preserve">Two dynamics deserve attention in the unit economics. First, the networking attach rate ($3,500/GPU in FY27E vs. $2,800 in FY26) reflects NVIDIA’s transition from selling discrete GPUs to selling complete compute clusters. Each DGX/HGX system includes InfiniBand or Spectrum-X networking at 10-15% of system cost, and this attach rate is increasing as training clusters scale to 100,000+ GPU configurations where network fabric is the performance bottleneck. Second, software monetization ($800/GPU annualized) is the highest-margin, most durable revenue stream. NIM microservices and AI Enterprise licensing are in early innings — penetration is &lt;15% of the installed base — and every dollar of software revenue carries 85%+ gross margins. If software attach reaches $2,000/GPU by FY29 (still conservative vs. cloud software benchmarks), it adds $10B+ in near-pure-profit revenue.</w:t>
      </w:r>
    </w:p>
    <w:p>
      <w:r>
        <w:br w:type="page"/>
      </w:r>
    </w:p>
    <w:p>
      <w:pPr>
        <w:pStyle w:val="Heading1"/>
        <w:spacing w:after="200" w:before="360"/>
      </w:pPr>
      <w:r>
        <w:rPr>
          <w:rFonts w:ascii="Arial" w:cs="Arial" w:eastAsia="Arial" w:hAnsi="Arial"/>
          <w:b/>
          <w:bCs/>
          <w:color w:val="1B365D"/>
          <w:sz w:val="30"/>
          <w:szCs w:val="30"/>
        </w:rPr>
        <w:t xml:space="preserve">3. Business Overview &amp; Competitive Moats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1000"/>
        <w:gridCol w:w="1600"/>
        <w:gridCol w:w="2360"/>
      </w:tblGrid>
      <w:tr>
        <w:tc>
          <w:tcPr>
            <w:tcW w:type="dxa" w:w="2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Segment</w:t>
            </w:r>
          </w:p>
        </w:tc>
        <w:tc>
          <w:tcPr>
            <w:tcW w:type="dxa" w:w="1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FY26 Rev</w:t>
            </w:r>
          </w:p>
        </w:tc>
        <w:tc>
          <w:tcPr>
            <w:tcW w:type="dxa" w:w="1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 Total</w:t>
            </w:r>
          </w:p>
        </w:tc>
        <w:tc>
          <w:tcPr>
            <w:tcW w:type="dxa" w:w="1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Growth</w:t>
            </w:r>
          </w:p>
        </w:tc>
        <w:tc>
          <w:tcPr>
            <w:tcW w:type="dxa" w:w="1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Gross Margin</w:t>
            </w:r>
          </w:p>
        </w:tc>
        <w:tc>
          <w:tcPr>
            <w:tcW w:type="dxa" w:w="23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Trend</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Data Center (Compute)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$185B</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86%</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+72%</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~69%</w:t>
            </w:r>
          </w:p>
        </w:tc>
        <w:tc>
          <w:tcPr>
            <w:tcW w:type="dxa" w:w="2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Accelerating (Blackwell ramp)</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Data Center (Networking)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$11.4B</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+250%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~65%</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Inflecting (Spectrum-X)</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Gaming</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$11.4B</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~60%</w:t>
            </w:r>
          </w:p>
        </w:tc>
        <w:tc>
          <w:tcPr>
            <w:tcW w:type="dxa" w:w="2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Stable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Automotive &amp; Robotics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$5.7B</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~55%</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Accelerating</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Professional Visualization</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$2.4B</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+18%</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~70%</w:t>
            </w:r>
          </w:p>
        </w:tc>
        <w:tc>
          <w:tcPr>
            <w:tcW w:type="dxa" w:w="2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Stable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Total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$215.9B</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71.1%</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w:r>
          </w:p>
        </w:tc>
      </w:tr>
    </w:tbl>
    <w:p>
      <w:pPr>
        <w:spacing w:after="100" w:line="264"/>
      </w:pPr>
      <w:r>
        <w:rPr>
          <w:rFonts w:ascii="Arial" w:cs="Arial" w:eastAsia="Arial" w:hAnsi="Arial"/>
          <w:color w:val="333333"/>
          <w:sz w:val="19"/>
          <w:szCs w:val="19"/>
        </w:rPr>
        <w:t xml:space="preserve"/>
      </w:r>
    </w:p>
    <w:p>
      <w:pPr>
        <w:pStyle w:val="Heading2"/>
        <w:spacing w:after="120" w:before="200"/>
      </w:pPr>
      <w:r>
        <w:rPr>
          <w:rFonts w:ascii="Arial" w:cs="Arial" w:eastAsia="Arial" w:hAnsi="Arial"/>
          <w:b/>
          <w:bCs/>
          <w:color w:val="2E5090"/>
          <w:sz w:val="24"/>
          <w:szCs w:val="24"/>
        </w:rPr>
        <w:t xml:space="preserve">Moats (Quantified)</w:t>
      </w:r>
    </w:p>
    <w:p>
      <w:pPr>
        <w:spacing w:after="100" w:line="264"/>
      </w:pPr>
      <w:r>
        <w:rPr>
          <w:rFonts w:ascii="Arial" w:cs="Arial" w:eastAsia="Arial" w:hAnsi="Arial"/>
          <w:b/>
          <w:bCs/>
          <w:color w:val="333333"/>
          <w:sz w:val="19"/>
          <w:szCs w:val="19"/>
        </w:rPr>
        <w:t xml:space="preserve">CUDA ecosystem lock-in: </w:t>
      </w:r>
      <w:r>
        <w:rPr>
          <w:rFonts w:ascii="Arial" w:cs="Arial" w:eastAsia="Arial" w:hAnsi="Arial"/>
          <w:color w:val="333333"/>
          <w:sz w:val="19"/>
          <w:szCs w:val="19"/>
        </w:rPr>
        <w:t xml:space="preserve">4M+ developers [9], 15 years of library accumulation. Enterprise migration to ROCm/oneAPI requires 12-18 months and $2-5M in engineering cost per deployment. Evidence: 95%+ gross retention in enterprise compute contracts. [10]</w:t>
      </w:r>
    </w:p>
    <w:p>
      <w:pPr>
        <w:spacing w:after="100" w:line="264"/>
      </w:pPr>
      <w:r>
        <w:rPr>
          <w:rFonts w:ascii="Arial" w:cs="Arial" w:eastAsia="Arial" w:hAnsi="Arial"/>
          <w:b/>
          <w:bCs/>
          <w:color w:val="333333"/>
          <w:sz w:val="19"/>
          <w:szCs w:val="19"/>
        </w:rPr>
        <w:t xml:space="preserve">Full-stack integration: </w:t>
      </w:r>
      <w:r>
        <w:rPr>
          <w:rFonts w:ascii="Arial" w:cs="Arial" w:eastAsia="Arial" w:hAnsi="Arial"/>
          <w:color w:val="333333"/>
          <w:sz w:val="19"/>
          <w:szCs w:val="19"/>
        </w:rPr>
        <w:t xml:space="preserve">Only vendor offering GPU + networking + systems + software. This reduces integration risk for customers and increases NVIDIA’s share of wallet from ~$25K (GPU only) to ~$39K (GPU + networking + software). Share of wallet has grown 56% in two years.</w:t>
      </w:r>
    </w:p>
    <w:p>
      <w:pPr>
        <w:spacing w:after="100" w:line="264"/>
      </w:pPr>
      <w:r>
        <w:rPr>
          <w:rFonts w:ascii="Arial" w:cs="Arial" w:eastAsia="Arial" w:hAnsi="Arial"/>
          <w:b/>
          <w:bCs/>
          <w:color w:val="333333"/>
          <w:sz w:val="19"/>
          <w:szCs w:val="19"/>
        </w:rPr>
        <w:t xml:space="preserve">Scale-funded R&amp;D: </w:t>
      </w:r>
      <w:r>
        <w:rPr>
          <w:rFonts w:ascii="Arial" w:cs="Arial" w:eastAsia="Arial" w:hAnsi="Arial"/>
          <w:color w:val="333333"/>
          <w:sz w:val="19"/>
          <w:szCs w:val="19"/>
        </w:rPr>
        <w:t xml:space="preserve">$12.9B R&amp;D in FY26 [11] enables annual architecture cadence (Hopper → Blackwell → Rubin). AMD spends $6.1B, Intel AI group ~$4B. This spending gap compounds: each generation widens the performance lead.</w:t>
      </w:r>
    </w:p>
    <w:p>
      <w:pPr>
        <w:spacing w:after="100" w:line="264"/>
      </w:pPr>
      <w:r>
        <w:rPr>
          <w:rFonts w:ascii="Arial" w:cs="Arial" w:eastAsia="Arial" w:hAnsi="Arial"/>
          <w:b/>
          <w:bCs/>
          <w:color w:val="333333"/>
          <w:sz w:val="19"/>
          <w:szCs w:val="19"/>
        </w:rPr>
        <w:t xml:space="preserve">Supply chain priority: </w:t>
      </w:r>
      <w:r>
        <w:rPr>
          <w:rFonts w:ascii="Arial" w:cs="Arial" w:eastAsia="Arial" w:hAnsi="Arial"/>
          <w:color w:val="333333"/>
          <w:sz w:val="19"/>
          <w:szCs w:val="19"/>
        </w:rPr>
        <w:t xml:space="preserve">NVIDIA’s volume at TSMC (~20% of TSMC revenue [12]) secures priority allocation on 4nm/3nm nodes. Competitors cannot match this allocation without comparable volume commitments.</w:t>
      </w:r>
    </w:p>
    <w:p>
      <w:pPr>
        <w:spacing w:after="100" w:line="264"/>
      </w:pPr>
      <w:r>
        <w:rPr>
          <w:rFonts w:ascii="Arial" w:cs="Arial" w:eastAsia="Arial" w:hAnsi="Arial"/>
          <w:color w:val="333333"/>
          <w:sz w:val="19"/>
          <w:szCs w:val="19"/>
        </w:rPr>
        <w:t xml:space="preserve">Product roadmap: The Blackwell (B200/GB200) architecture, shipping in volume from Q1 FY27, delivers 4x training throughput per watt versus Hopper at a 40% higher ASP — a favorable TCO proposition that accelerates replacement cycles. The Rubin architecture (expected CY2027) extends this cadence. Critically, each generation deepens CUDA dependency: Blackwell introduces new FP4 precision modes and transformer engine optimizations that require CUDA 13 libraries, further raising switching costs for customers already invested in the NVIDIA stack.</w:t>
      </w:r>
    </w:p>
    <w:p>
      <w:r>
        <w:br w:type="page"/>
      </w:r>
    </w:p>
    <w:p>
      <w:pPr>
        <w:pStyle w:val="Heading1"/>
        <w:spacing w:after="200" w:before="360"/>
      </w:pPr>
      <w:r>
        <w:rPr>
          <w:rFonts w:ascii="Arial" w:cs="Arial" w:eastAsia="Arial" w:hAnsi="Arial"/>
          <w:b/>
          <w:bCs/>
          <w:color w:val="1B365D"/>
          <w:sz w:val="30"/>
          <w:szCs w:val="30"/>
        </w:rPr>
        <w:t xml:space="preserve">4. Competitive Landscape</w:t>
      </w:r>
    </w:p>
    <w:p>
      <w:pPr>
        <w:spacing w:after="100" w:line="264"/>
      </w:pPr>
      <w:r>
        <w:rPr>
          <w:rFonts w:ascii="Arial" w:cs="Arial" w:eastAsia="Arial" w:hAnsi="Arial"/>
          <w:color w:val="333333"/>
          <w:sz w:val="19"/>
          <w:szCs w:val="19"/>
        </w:rPr>
        <w:t xml:space="preserve">We compare NVIDIA against AI infrastructure suppliers (its actual competitive set), not diversified semiconductor companies.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200"/>
        <w:gridCol w:w="1000"/>
        <w:gridCol w:w="1200"/>
        <w:gridCol w:w="2360"/>
      </w:tblGrid>
      <w:tr>
        <w:tc>
          <w:tcPr>
            <w:tcW w:type="dxa" w:w="1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Company</w:t>
            </w:r>
          </w:p>
        </w:tc>
        <w:tc>
          <w:tcPr>
            <w:tcW w:type="dxa" w:w="2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Why Comparable</w:t>
            </w:r>
          </w:p>
        </w:tc>
        <w:tc>
          <w:tcPr>
            <w:tcW w:type="dxa" w:w="1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AI Rev ($B)</w:t>
            </w:r>
          </w:p>
        </w:tc>
        <w:tc>
          <w:tcPr>
            <w:tcW w:type="dxa" w:w="1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Growth</w:t>
            </w:r>
          </w:p>
        </w:tc>
        <w:tc>
          <w:tcPr>
            <w:tcW w:type="dxa" w:w="1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GPU Share</w:t>
            </w:r>
          </w:p>
        </w:tc>
        <w:tc>
          <w:tcPr>
            <w:tcW w:type="dxa" w:w="23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Key Threat</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AMD (MI300X)</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Direct GPU competitor</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$8.5</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+94%</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w:t>
            </w:r>
          </w:p>
        </w:tc>
        <w:tc>
          <w:tcPr>
            <w:tcW w:type="dxa" w:w="2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Price/perf on inference; ROCm improving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Broadcom (Custom ASIC)</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Hyperscaler custom silicon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$12.2B AI</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+220%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 (custom)</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Purpose-built TCO advantage</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Google (TPU v5p)</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Internal hyperscaler silicon</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Internal</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N/A</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Internal</w:t>
            </w:r>
          </w:p>
        </w:tc>
        <w:tc>
          <w:tcPr>
            <w:tcW w:type="dxa" w:w="2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Optimized for own workloads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Amazon (Trainium2)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Internal hyperscaler silicon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Internal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Internal</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AWS cost advantage</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Huawei (Ascend 910B)</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China-market GPU alternative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~$4B est.</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+80% est.</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 (China)</w:t>
            </w:r>
          </w:p>
        </w:tc>
        <w:tc>
          <w:tcPr>
            <w:tcW w:type="dxa" w:w="2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Mandated domestic purchase quotas</w:t>
            </w:r>
          </w:p>
        </w:tc>
      </w:tr>
    </w:tbl>
    <w:p>
      <w:pPr>
        <w:spacing w:after="100" w:line="264"/>
      </w:pPr>
      <w:r>
        <w:rPr>
          <w:rFonts w:ascii="Arial" w:cs="Arial" w:eastAsia="Arial" w:hAnsi="Arial"/>
          <w:color w:val="333333"/>
          <w:sz w:val="19"/>
          <w:szCs w:val="19"/>
        </w:rPr>
        <w:t xml:space="preserve"/>
      </w:r>
    </w:p>
    <w:p>
      <w:pPr>
        <w:spacing w:after="100" w:line="264"/>
      </w:pPr>
      <w:r>
        <w:rPr>
          <w:rFonts w:ascii="Arial" w:cs="Arial" w:eastAsia="Arial" w:hAnsi="Arial"/>
          <w:color w:val="333333"/>
          <w:sz w:val="19"/>
          <w:szCs w:val="19"/>
        </w:rPr>
        <w:t xml:space="preserve">The competitive window is widening, not closing. AMD’s quarterly data center revenue ($4.3B Q3 2025) is &lt;7% of NVIDIA’s ($62.3B Q4 FY26). Custom ASICs from Google/Amazon/Broadcom target specific inference workloads where 30-50% TCO savings justify the loss of general-purpose flexibility. We estimate ASICs could capture 10-15% of inference TAM over 5 years — but inference is ~35% of NVIDIA’s data center revenue today, so the maximum impact is 3.5-5% of total revenue. Training remains a natural monopoly due to CUDA’s software moat. [13]</w:t>
      </w:r>
    </w:p>
    <w:p>
      <w:pPr>
        <w:spacing w:after="100" w:line="264"/>
      </w:pPr>
      <w:r>
        <w:rPr>
          <w:rFonts w:ascii="Arial" w:cs="Arial" w:eastAsia="Arial" w:hAnsi="Arial"/>
          <w:color w:val="333333"/>
          <w:sz w:val="19"/>
          <w:szCs w:val="19"/>
        </w:rPr>
        <w:t xml:space="preserve">The Intel partnership (NVIDIA invested $5B in Jan 2025 [14]) is a co-development play for x86+GPU integration, reducing AMD’s competitive position in enterprise CPU+GPU bundles.</w:t>
      </w:r>
    </w:p>
    <w:p>
      <w:pPr>
        <w:spacing w:after="100" w:line="264"/>
      </w:pPr>
      <w:r>
        <w:rPr>
          <w:rFonts w:ascii="Arial" w:cs="Arial" w:eastAsia="Arial" w:hAnsi="Arial"/>
          <w:color w:val="333333"/>
          <w:sz w:val="19"/>
          <w:szCs w:val="19"/>
        </w:rPr>
        <w:t xml:space="preserve">A nuanced point that bears on the mispricing thesis: the market treats “ASIC competition” as a monolithic threat, but the reality is fragmented. Google’s TPUs serve internal workloads only and do not compete in the merchant market. Amazon’s Trainium2 targets cost-sensitive inference on AWS. Broadcom’s custom ASICs require 12-18 month design cycles per customer. None of these alternatives threaten the training workload where CUDA’s software moat is deepest. The relevant question is not “will ASICs gain share?” (yes, at the margin) but “will ASICs reduce NVIDIA’s absolute dollar revenue?” (no — the market is expanding faster than share loss).</w:t>
      </w:r>
    </w:p>
    <w:p>
      <w:r>
        <w:br w:type="page"/>
      </w:r>
    </w:p>
    <w:p>
      <w:pPr>
        <w:pStyle w:val="Heading1"/>
        <w:spacing w:after="200" w:before="360"/>
      </w:pPr>
      <w:r>
        <w:rPr>
          <w:rFonts w:ascii="Arial" w:cs="Arial" w:eastAsia="Arial" w:hAnsi="Arial"/>
          <w:b/>
          <w:bCs/>
          <w:color w:val="1B365D"/>
          <w:sz w:val="30"/>
          <w:szCs w:val="30"/>
        </w:rPr>
        <w:t xml:space="preserve">5. Management &amp;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400"/>
        <w:gridCol w:w="2360"/>
      </w:tblGrid>
      <w:tr>
        <w:tc>
          <w:tcPr>
            <w:tcW w:type="dxa" w:w="2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Executive</w:t>
            </w:r>
          </w:p>
        </w:tc>
        <w:tc>
          <w:tcPr>
            <w:tcW w:type="dxa" w:w="1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Tenure</w:t>
            </w:r>
          </w:p>
        </w:tc>
        <w:tc>
          <w:tcPr>
            <w:tcW w:type="dxa" w:w="3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Key Achievement</w:t>
            </w:r>
          </w:p>
        </w:tc>
        <w:tc>
          <w:tcPr>
            <w:tcW w:type="dxa" w:w="23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Concern</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Jensen Huang, CEO</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33 yrs (founder)</w:t>
            </w:r>
          </w:p>
        </w:tc>
        <w:tc>
          <w:tcPr>
            <w:tcW w:type="dxa" w:w="3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Pivoted from gaming → AI; $10B → $4T mkt cap</w:t>
            </w:r>
          </w:p>
        </w:tc>
        <w:tc>
          <w:tcPr>
            <w:tcW w:type="dxa" w:w="2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No succession plan; key-person risk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Colette Kress, CFO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13 yrs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Maintained 70%+ margins through 65% revenue growth</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None identified</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Debora Shoquist, EVP Ops</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19 yrs</w:t>
            </w:r>
          </w:p>
        </w:tc>
        <w:tc>
          <w:tcPr>
            <w:tcW w:type="dxa" w:w="3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Scaled TSMC relationship through 10x volume growth</w:t>
            </w:r>
          </w:p>
        </w:tc>
        <w:tc>
          <w:tcPr>
            <w:tcW w:type="dxa" w:w="2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None identified</w:t>
            </w:r>
          </w:p>
        </w:tc>
      </w:tr>
    </w:tbl>
    <w:p>
      <w:pPr>
        <w:spacing w:after="100" w:line="264"/>
      </w:pPr>
      <w:r>
        <w:rPr>
          <w:rFonts w:ascii="Arial" w:cs="Arial" w:eastAsia="Arial" w:hAnsi="Arial"/>
          <w:color w:val="333333"/>
          <w:sz w:val="19"/>
          <w:szCs w:val="19"/>
        </w:rPr>
        <w:t xml:space="preserve"/>
      </w:r>
    </w:p>
    <w:p>
      <w:pPr>
        <w:spacing w:after="100" w:line="264"/>
      </w:pPr>
      <w:r>
        <w:rPr>
          <w:rFonts w:ascii="Arial" w:cs="Arial" w:eastAsia="Arial" w:hAnsi="Arial"/>
          <w:color w:val="333333"/>
          <w:sz w:val="19"/>
          <w:szCs w:val="19"/>
        </w:rPr>
        <w:t xml:space="preserve">Compensation is heavily equity-based, aligning management with shareholders. Huang’s total comp is 96% equity, and the executive team collectively holds $25B+ in unvested RSUs tied to multi-year performance targets. In FY26, NVIDIA returned $41.1B via buybacks and dividends — a 58% payout ratio relative to free cash flow, demonstrating discipline on capital allocation. [15] Insider transactions show no unusual selling patterns; Huang’s only dispositions have been pre-scheduled 10b5-1 plans at regular intervals.</w:t>
      </w:r>
    </w:p>
    <w:p>
      <w:pPr>
        <w:spacing w:after="100" w:line="264"/>
      </w:pPr>
      <w:r>
        <w:rPr>
          <w:rFonts w:ascii="Arial" w:cs="Arial" w:eastAsia="Arial" w:hAnsi="Arial"/>
          <w:color w:val="333333"/>
          <w:sz w:val="19"/>
          <w:szCs w:val="19"/>
        </w:rPr>
        <w:t xml:space="preserve">The primary governance risk is key-person dependency on Huang. However, his 33-year tenure and the deep executive bench (average tenure 15+ years) suggest institutional continuity rather than a one-man operation. The Blackwell-to-Rubin roadmap is already in advanced development, reducing near-term execution risk from any leadership transition. Board quality is strong: 8 of 12 directors are independent, and the board includes former semiconductor executives and AI researchers.</w:t>
      </w:r>
    </w:p>
    <w:p>
      <w:pPr>
        <w:pStyle w:val="Heading1"/>
        <w:spacing w:after="200" w:before="360"/>
      </w:pPr>
      <w:r>
        <w:rPr>
          <w:rFonts w:ascii="Arial" w:cs="Arial" w:eastAsia="Arial" w:hAnsi="Arial"/>
          <w:b/>
          <w:bCs/>
          <w:color w:val="1B365D"/>
          <w:sz w:val="30"/>
          <w:szCs w:val="30"/>
        </w:rPr>
        <w:t xml:space="preserve">6. Macroeconomic &amp; Regulatory Context</w:t>
      </w:r>
    </w:p>
    <w:p>
      <w:pPr>
        <w:spacing w:after="100" w:line="264"/>
      </w:pPr>
      <w:r>
        <w:rPr>
          <w:rFonts w:ascii="Arial" w:cs="Arial" w:eastAsia="Arial" w:hAnsi="Arial"/>
          <w:color w:val="333333"/>
          <w:sz w:val="19"/>
          <w:szCs w:val="19"/>
        </w:rPr>
        <w:t xml:space="preserve">Two macro factors materially affect this thesis. Other macro variables (interest rates, inflation, GDP growth) have second-order effects on the multiple but not on the business trajectory. We deliberately exclude generic semiconductor cycle commentary — NVIDIA’s data center business is driven by AI infrastructure investment, which is uncorrelated with traditional chip cycles (PCs, smartphones, auto).</w:t>
      </w:r>
    </w:p>
    <w:p>
      <w:pPr>
        <w:spacing w:after="100" w:line="264"/>
      </w:pPr>
      <w:r>
        <w:rPr>
          <w:rFonts w:ascii="Arial" w:cs="Arial" w:eastAsia="Arial" w:hAnsi="Arial"/>
          <w:b/>
          <w:bCs/>
          <w:color w:val="333333"/>
          <w:sz w:val="19"/>
          <w:szCs w:val="19"/>
        </w:rPr>
        <w:t xml:space="preserve">Export controls (quantified impact): </w:t>
      </w:r>
      <w:r>
        <w:rPr>
          <w:rFonts w:ascii="Arial" w:cs="Arial" w:eastAsia="Arial" w:hAnsi="Arial"/>
          <w:color w:val="333333"/>
          <w:sz w:val="19"/>
          <w:szCs w:val="19"/>
        </w:rPr>
        <w:t xml:space="preserve">The Jan 2026 policy shift allows H200 exports to China under a 25% tariff + 50% volume cap + AI Overwatch Act revocation risk. [16] NVIDIA’s Q1 FY27 guidance of $78B explicitly excludes China data center compute. Any China revenue is pure upside to our model. We estimate the addressable China opportunity at $15-20B annually if restrictions ease, representing 5-6% upside to our FY27 estimate. The market is pricing in ~$0 of China revenue, which we believe is correct for our base case but conservative for the bull case.</w:t>
      </w:r>
    </w:p>
    <w:p>
      <w:pPr>
        <w:spacing w:after="100" w:line="264"/>
      </w:pPr>
      <w:r>
        <w:rPr>
          <w:rFonts w:ascii="Arial" w:cs="Arial" w:eastAsia="Arial" w:hAnsi="Arial"/>
          <w:b/>
          <w:bCs/>
          <w:color w:val="333333"/>
          <w:sz w:val="19"/>
          <w:szCs w:val="19"/>
        </w:rPr>
        <w:t xml:space="preserve">Hyperscaler capex cyclicality (quantified impact): </w:t>
      </w:r>
      <w:r>
        <w:rPr>
          <w:rFonts w:ascii="Arial" w:cs="Arial" w:eastAsia="Arial" w:hAnsi="Arial"/>
          <w:color w:val="333333"/>
          <w:sz w:val="19"/>
          <w:szCs w:val="19"/>
        </w:rPr>
        <w:t xml:space="preserve">Microsoft, Google, Amazon, and Meta have publicly committed $300B+ in combined 2026-27 AI capex. [4] A 30% cut to these budgets would reduce our FY27 revenue estimate by ~$50B (16%) and compress the multiple by ~3x, implying a stock price of ~$130. We assign 15% probability to this scenario. The market appears to be pricing in ~20% probability of a severe capex pullback, based on the gap between NVIDIA’s forward P/E (21.6x) and peers (25-30x). We believe 15% is the correct probability.</w:t>
      </w:r>
    </w:p>
    <w:p>
      <w:r>
        <w:br w:type="page"/>
      </w:r>
    </w:p>
    <w:p>
      <w:pPr>
        <w:pStyle w:val="Heading1"/>
        <w:spacing w:after="200" w:before="360"/>
      </w:pPr>
      <w:r>
        <w:rPr>
          <w:rFonts w:ascii="Arial" w:cs="Arial" w:eastAsia="Arial" w:hAnsi="Arial"/>
          <w:b/>
          <w:bCs/>
          <w:color w:val="1B365D"/>
          <w:sz w:val="30"/>
          <w:szCs w:val="30"/>
        </w:rPr>
        <w:t xml:space="preserve">7. Fundamental Valuation</w:t>
      </w:r>
    </w:p>
    <w:p>
      <w:pPr>
        <w:pStyle w:val="Heading2"/>
        <w:spacing w:after="120" w:before="200"/>
      </w:pPr>
      <w:r>
        <w:rPr>
          <w:rFonts w:ascii="Arial" w:cs="Arial" w:eastAsia="Arial" w:hAnsi="Arial"/>
          <w:b/>
          <w:bCs/>
          <w:color w:val="2E5090"/>
          <w:sz w:val="24"/>
          <w:szCs w:val="24"/>
        </w:rPr>
        <w:t xml:space="preserve">7.1 Capital Efficiency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100"/>
        <w:gridCol w:w="1100"/>
        <w:gridCol w:w="1100"/>
        <w:gridCol w:w="1200"/>
        <w:gridCol w:w="2160"/>
      </w:tblGrid>
      <w:tr>
        <w:tc>
          <w:tcPr>
            <w:tcW w:type="dxa" w:w="1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11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FY24</w:t>
            </w:r>
          </w:p>
        </w:tc>
        <w:tc>
          <w:tcPr>
            <w:tcW w:type="dxa" w:w="11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FY25</w:t>
            </w:r>
          </w:p>
        </w:tc>
        <w:tc>
          <w:tcPr>
            <w:tcW w:type="dxa" w:w="11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FY26</w:t>
            </w:r>
          </w:p>
        </w:tc>
        <w:tc>
          <w:tcPr>
            <w:tcW w:type="dxa" w:w="11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FY27E</w:t>
            </w:r>
          </w:p>
        </w:tc>
        <w:tc>
          <w:tcPr>
            <w:tcW w:type="dxa" w:w="1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Peer Median</w:t>
            </w:r>
          </w:p>
        </w:tc>
        <w:tc>
          <w:tcPr>
            <w:tcW w:type="dxa" w:w="2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vs. WACC</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ROIC</w:t>
            </w:r>
          </w:p>
        </w:tc>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89.2%</w:t>
            </w:r>
          </w:p>
        </w:tc>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74.5%</w:t>
            </w:r>
          </w:p>
        </w:tc>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65.3%</w:t>
            </w:r>
          </w:p>
        </w:tc>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68.0%</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18.4%</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Well Above (55pp spread)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ROE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91.5%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119.8%</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88.7%</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82.0%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28.2%</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Well Above</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ROA</w:t>
            </w:r>
          </w:p>
        </w:tc>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55.3%</w:t>
            </w:r>
          </w:p>
        </w:tc>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50.1%</w:t>
            </w:r>
          </w:p>
        </w:tc>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45.8%</w:t>
            </w:r>
          </w:p>
        </w:tc>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48.0%</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12.1%</w:t>
            </w:r>
          </w:p>
        </w:tc>
        <w:tc>
          <w:tcPr>
            <w:tcW w:type="dxa" w:w="2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Well Above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WACC</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10.2%</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r>
    </w:tbl>
    <w:p>
      <w:pPr>
        <w:spacing w:after="100" w:line="264"/>
      </w:pPr>
      <w:r>
        <w:rPr>
          <w:rFonts w:ascii="Arial" w:cs="Arial" w:eastAsia="Arial" w:hAnsi="Arial"/>
          <w:color w:val="333333"/>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530"/>
        <w:gridCol w:w="2530"/>
      </w:tblGrid>
      <w:tr>
        <w:tc>
          <w:tcPr>
            <w:tcW w:type="dxa" w:w="15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2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ROIC Derivation</w:t>
            </w:r>
          </w:p>
        </w:tc>
        <w:tc>
          <w:tcPr>
            <w:tcW w:type="dxa" w:w="253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ROE Derivation</w:t>
            </w:r>
          </w:p>
        </w:tc>
        <w:tc>
          <w:tcPr>
            <w:tcW w:type="dxa" w:w="253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ROA Derivation</w:t>
            </w:r>
          </w:p>
        </w:tc>
      </w:tr>
      <w:tr>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Numerator</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NOPAT: $141B (Op. Inc. $152B × (1-7.1% tax))</w:t>
            </w:r>
          </w:p>
        </w:tc>
        <w:tc>
          <w:tcPr>
            <w:tcW w:type="dxa" w:w="253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Net Income: $73.8B</w:t>
            </w:r>
          </w:p>
        </w:tc>
        <w:tc>
          <w:tcPr>
            <w:tcW w:type="dxa" w:w="253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Net Income: $73.8B</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Denominator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Invested Capital: $216B (Equity $157B + Debt $10B + Leases $6B + NWC $43B)</w:t>
            </w:r>
          </w:p>
        </w:tc>
        <w:tc>
          <w:tcPr>
            <w:tcW w:type="dxa" w:w="25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Avg Equity: $83.2B</w:t>
            </w:r>
          </w:p>
        </w:tc>
        <w:tc>
          <w:tcPr>
            <w:tcW w:type="dxa" w:w="25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Avg Total Assets: $161B</w:t>
            </w:r>
          </w:p>
        </w:tc>
      </w:tr>
    </w:tbl>
    <w:p>
      <w:pPr>
        <w:spacing w:after="100" w:line="264"/>
      </w:pPr>
      <w:r>
        <w:rPr>
          <w:rFonts w:ascii="Arial" w:cs="Arial" w:eastAsia="Arial" w:hAnsi="Arial"/>
          <w:color w:val="333333"/>
          <w:sz w:val="19"/>
          <w:szCs w:val="19"/>
        </w:rPr>
        <w:t xml:space="preserve"/>
      </w:r>
    </w:p>
    <w:p>
      <w:pPr>
        <w:spacing w:after="100" w:line="264"/>
      </w:pPr>
      <w:r>
        <w:rPr>
          <w:rFonts w:ascii="Arial" w:cs="Arial" w:eastAsia="Arial" w:hAnsi="Arial"/>
          <w:color w:val="333333"/>
          <w:sz w:val="19"/>
          <w:szCs w:val="19"/>
        </w:rPr>
        <w:t xml:space="preserve">NVIDIA’s ROIC of 65.3% against a 10.2% WACC produces a 55 percentage point economic spread — among the widest in large-cap technology and 3.5x the peer median ROIC of 18.4%. This spread quantifies the value creation: every dollar of invested capital generates $0.55 in excess return annually. The declining trend from FY24’s 89.2% reflects the massive capex ramp for Blackwell manufacturing, which temporarily inflates the invested capital denominator before the revenue flows through. We project a recovery to 68% in FY27 as Blackwell revenue materializes. ROE is elevated (88.7%) partly due to aggressive share buybacks reducing the equity base — ROIC is the more reliable metric here because it strips out leverage effects. [25]</w:t>
      </w:r>
    </w:p>
    <w:p>
      <w:pPr>
        <w:pStyle w:val="Heading2"/>
        <w:spacing w:after="120" w:before="200"/>
      </w:pPr>
      <w:r>
        <w:rPr>
          <w:rFonts w:ascii="Arial" w:cs="Arial" w:eastAsia="Arial" w:hAnsi="Arial"/>
          <w:b/>
          <w:bCs/>
          <w:color w:val="2E5090"/>
          <w:sz w:val="24"/>
          <w:szCs w:val="24"/>
        </w:rPr>
        <w:t xml:space="preserve">7.2 DCF Analysis</w:t>
      </w:r>
    </w:p>
    <w:p>
      <w:pPr>
        <w:spacing w:after="100" w:line="264"/>
      </w:pPr>
      <w:r>
        <w:rPr>
          <w:rFonts w:ascii="Arial" w:cs="Arial" w:eastAsia="Arial" w:hAnsi="Arial"/>
          <w:color w:val="333333"/>
          <w:sz w:val="19"/>
          <w:szCs w:val="19"/>
        </w:rPr>
        <w:t xml:space="preserve">Key assumptions (each justified):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560"/>
      </w:tblGrid>
      <w:tr>
        <w:tc>
          <w:tcPr>
            <w:tcW w:type="dxa" w:w="2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Assumption</w:t>
            </w:r>
          </w:p>
        </w:tc>
        <w:tc>
          <w:tcPr>
            <w:tcW w:type="dxa" w:w="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Value</w:t>
            </w:r>
          </w:p>
        </w:tc>
        <w:tc>
          <w:tcPr>
            <w:tcW w:type="dxa" w:w="65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Derivation</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Revenue CAGR (FY27-31)</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22%</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Decelerating from 44% (FY27) to 10% (FY31). FY27 driven by Blackwell unit ramp (5.2M GPUs × $35K ASP). Deceleration reflects base effect + data center buildout shifting from greenfield to refresh. Cross-checked: FY31 rev of $530B = 75% of our estimated $700B AI infrastructure TAM.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Gross Margin (Steady State)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75%</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FY26 trough of 71% due to Blackwell yield ramp. Recovery to 75% by FY28 based on: yield improvement (70% → 90%), software mix increase (8% → 14% of rev at 85%+ margin), networking attach growth. Historical peak was 78% (FY24).</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Terminal Growth</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3.0%</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Above GDP (2.5%) reflecting structural AI compute demand, but below current growth. Conservative vs. bull case of 4%.</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WACC</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10.2%</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Risk-free 4.25% (10yr Treasury, Mar 2026 [17]) + Beta 1.18 (2yr weekly vs SPX [18]) × ERP 5.0% (Damodaran Jan 2026 [19]) = Cost of Equity 10.15%. Negligible debt → WACC ≈ Re.</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Terminal EV/EBITDA</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18x</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15% discount to current peer median (21x). Discount justified by: (a) terminal-year growth decelerating to 10%, (b) ASIC competition matures by FY31 reducing pricing power modestly. If full peer median (21x): implied value +18%.</w:t>
            </w:r>
          </w:p>
        </w:tc>
      </w:tr>
    </w:tbl>
    <w:p>
      <w:pPr>
        <w:spacing w:after="100" w:line="264"/>
      </w:pPr>
      <w:r>
        <w:rPr>
          <w:rFonts w:ascii="Arial" w:cs="Arial" w:eastAsia="Arial" w:hAnsi="Arial"/>
          <w:color w:val="333333"/>
          <w:sz w:val="19"/>
          <w:szCs w:val="19"/>
        </w:rPr>
        <w:t xml:space="preserve"/>
      </w:r>
    </w:p>
    <w:p>
      <w:pPr>
        <w:pStyle w:val="Heading2"/>
        <w:spacing w:after="120" w:before="200"/>
      </w:pPr>
      <w:r>
        <w:rPr>
          <w:rFonts w:ascii="Arial" w:cs="Arial" w:eastAsia="Arial" w:hAnsi="Arial"/>
          <w:b/>
          <w:bCs/>
          <w:color w:val="2E5090"/>
          <w:sz w:val="24"/>
          <w:szCs w:val="24"/>
        </w:rPr>
        <w:t xml:space="preserve">7.2 DCF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60"/>
        <w:gridCol w:w="1260"/>
        <w:gridCol w:w="1260"/>
        <w:gridCol w:w="1260"/>
        <w:gridCol w:w="1260"/>
        <w:gridCol w:w="12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12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FY27E</w:t>
            </w:r>
          </w:p>
        </w:tc>
        <w:tc>
          <w:tcPr>
            <w:tcW w:type="dxa" w:w="12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FY28E</w:t>
            </w:r>
          </w:p>
        </w:tc>
        <w:tc>
          <w:tcPr>
            <w:tcW w:type="dxa" w:w="12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FY29E</w:t>
            </w:r>
          </w:p>
        </w:tc>
        <w:tc>
          <w:tcPr>
            <w:tcW w:type="dxa" w:w="12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FY30E</w:t>
            </w:r>
          </w:p>
        </w:tc>
        <w:tc>
          <w:tcPr>
            <w:tcW w:type="dxa" w:w="12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FY31E</w:t>
            </w:r>
          </w:p>
        </w:tc>
        <w:tc>
          <w:tcPr>
            <w:tcW w:type="dxa" w:w="12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Terminal</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Revenue ($B)</w:t>
            </w:r>
          </w:p>
        </w:tc>
        <w:tc>
          <w:tcPr>
            <w:tcW w:type="dxa" w:w="1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$310</w:t>
            </w:r>
          </w:p>
        </w:tc>
        <w:tc>
          <w:tcPr>
            <w:tcW w:type="dxa" w:w="1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$380</w:t>
            </w:r>
          </w:p>
        </w:tc>
        <w:tc>
          <w:tcPr>
            <w:tcW w:type="dxa" w:w="1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$440</w:t>
            </w:r>
          </w:p>
        </w:tc>
        <w:tc>
          <w:tcPr>
            <w:tcW w:type="dxa" w:w="1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$490</w:t>
            </w:r>
          </w:p>
        </w:tc>
        <w:tc>
          <w:tcPr>
            <w:tcW w:type="dxa" w:w="1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$530</w:t>
            </w:r>
          </w:p>
        </w:tc>
        <w:tc>
          <w:tcPr>
            <w:tcW w:type="dxa" w:w="1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EBITDA ($B)</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$217</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$278</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$330</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$368</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$398</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UFCF ($B)</w:t>
            </w:r>
          </w:p>
        </w:tc>
        <w:tc>
          <w:tcPr>
            <w:tcW w:type="dxa" w:w="1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$182</w:t>
            </w:r>
          </w:p>
        </w:tc>
        <w:tc>
          <w:tcPr>
            <w:tcW w:type="dxa" w:w="1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$235</w:t>
            </w:r>
          </w:p>
        </w:tc>
        <w:tc>
          <w:tcPr>
            <w:tcW w:type="dxa" w:w="1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$280</w:t>
            </w:r>
          </w:p>
        </w:tc>
        <w:tc>
          <w:tcPr>
            <w:tcW w:type="dxa" w:w="1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$312</w:t>
            </w:r>
          </w:p>
        </w:tc>
        <w:tc>
          <w:tcPr>
            <w:tcW w:type="dxa" w:w="1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$337</w:t>
            </w:r>
          </w:p>
        </w:tc>
        <w:tc>
          <w:tcPr>
            <w:tcW w:type="dxa" w:w="1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$9,645</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PV of UFCF ($B)</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$165</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$194</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$209</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$212</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$208</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$5,959</w:t>
            </w:r>
          </w:p>
        </w:tc>
      </w:tr>
    </w:tbl>
    <w:p>
      <w:pPr>
        <w:spacing w:after="100" w:line="264"/>
      </w:pPr>
      <w:r>
        <w:rPr>
          <w:rFonts w:ascii="Arial" w:cs="Arial" w:eastAsia="Arial" w:hAnsi="Arial"/>
          <w:color w:val="333333"/>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EV → Equity Bridge</w:t>
            </w:r>
          </w:p>
        </w:tc>
        <w:tc>
          <w:tcPr>
            <w:tcW w:type="dxa" w:w="43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
            </w:r>
          </w:p>
        </w:tc>
      </w:tr>
      <w:tr>
        <w:tc>
          <w:tcPr>
            <w:tcW w:type="dxa" w:w="5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Sum of PV (UFCF)</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$988B</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PV of Terminal Value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$5,959B</w:t>
            </w:r>
          </w:p>
        </w:tc>
      </w:tr>
      <w:tr>
        <w:tc>
          <w:tcPr>
            <w:tcW w:type="dxa" w:w="5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Enterprise Value</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$6,947B</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Less Net Debt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+$43B (net cash)</w:t>
            </w:r>
          </w:p>
        </w:tc>
      </w:tr>
      <w:tr>
        <w:tc>
          <w:tcPr>
            <w:tcW w:type="dxa" w:w="5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Equity Value</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$6,990B</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Diluted Shares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24.4B</w:t>
            </w:r>
          </w:p>
        </w:tc>
      </w:tr>
      <w:tr>
        <w:tc>
          <w:tcPr>
            <w:tcW w:type="dxa" w:w="5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Implied Price/Share</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$286</w:t>
            </w:r>
          </w:p>
        </w:tc>
      </w:tr>
    </w:tbl>
    <w:p>
      <w:pPr>
        <w:spacing w:after="100" w:line="264"/>
      </w:pPr>
      <w:r>
        <w:rPr>
          <w:rFonts w:ascii="Arial" w:cs="Arial" w:eastAsia="Arial" w:hAnsi="Arial"/>
          <w:color w:val="333333"/>
          <w:sz w:val="19"/>
          <w:szCs w:val="19"/>
        </w:rPr>
        <w:t xml:space="preserve"/>
      </w:r>
    </w:p>
    <w:p>
      <w:pPr>
        <w:pStyle w:val="Heading2"/>
        <w:spacing w:after="120" w:before="200"/>
      </w:pPr>
      <w:r>
        <w:rPr>
          <w:rFonts w:ascii="Arial" w:cs="Arial" w:eastAsia="Arial" w:hAnsi="Arial"/>
          <w:b/>
          <w:bCs/>
          <w:color w:val="2E5090"/>
          <w:sz w:val="24"/>
          <w:szCs w:val="24"/>
        </w:rPr>
        <w:t xml:space="preserve">7.3 Sensitivity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WACC ↓ / Terminal Growth →</w:t>
            </w:r>
          </w:p>
        </w:tc>
        <w:tc>
          <w:tcPr>
            <w:tcW w:type="dxa" w:w="1755"/>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2.0%</w:t>
            </w:r>
          </w:p>
        </w:tc>
        <w:tc>
          <w:tcPr>
            <w:tcW w:type="dxa" w:w="1755"/>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2.5%</w:t>
            </w:r>
          </w:p>
        </w:tc>
        <w:tc>
          <w:tcPr>
            <w:tcW w:type="dxa" w:w="1755"/>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3.0%</w:t>
            </w:r>
          </w:p>
        </w:tc>
        <w:tc>
          <w:tcPr>
            <w:tcW w:type="dxa" w:w="1755"/>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3.5%</w:t>
            </w:r>
          </w:p>
        </w:tc>
      </w:tr>
      <w:tr>
        <w:tc>
          <w:tcPr>
            <w:tcW w:type="dxa" w:w="23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9.5%</w:t>
            </w:r>
          </w:p>
        </w:tc>
        <w:tc>
          <w:tcPr>
            <w:tcW w:type="dxa" w:w="1755"/>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$310</w:t>
            </w:r>
          </w:p>
        </w:tc>
        <w:tc>
          <w:tcPr>
            <w:tcW w:type="dxa" w:w="1755"/>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$335</w:t>
            </w:r>
          </w:p>
        </w:tc>
        <w:tc>
          <w:tcPr>
            <w:tcW w:type="dxa" w:w="1755"/>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$365</w:t>
            </w:r>
          </w:p>
        </w:tc>
        <w:tc>
          <w:tcPr>
            <w:tcW w:type="dxa" w:w="1755"/>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$400</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10.0%</w:t>
            </w:r>
          </w:p>
        </w:tc>
        <w:tc>
          <w:tcPr>
            <w:tcW w:type="dxa" w:w="175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$275</w:t>
            </w:r>
          </w:p>
        </w:tc>
        <w:tc>
          <w:tcPr>
            <w:tcW w:type="dxa" w:w="175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$295</w:t>
            </w:r>
          </w:p>
        </w:tc>
        <w:tc>
          <w:tcPr>
            <w:tcW w:type="dxa" w:w="175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$320</w:t>
            </w:r>
          </w:p>
        </w:tc>
        <w:tc>
          <w:tcPr>
            <w:tcW w:type="dxa" w:w="175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$348</w:t>
            </w:r>
          </w:p>
        </w:tc>
      </w:tr>
      <w:tr>
        <w:tc>
          <w:tcPr>
            <w:tcW w:type="dxa" w:w="23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10.5%</w:t>
            </w:r>
          </w:p>
        </w:tc>
        <w:tc>
          <w:tcPr>
            <w:tcW w:type="dxa" w:w="1755"/>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$248</w:t>
            </w:r>
          </w:p>
        </w:tc>
        <w:tc>
          <w:tcPr>
            <w:tcW w:type="dxa" w:w="1755"/>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$265</w:t>
            </w:r>
          </w:p>
        </w:tc>
        <w:tc>
          <w:tcPr>
            <w:tcW w:type="dxa" w:w="1755"/>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$286</w:t>
            </w:r>
          </w:p>
        </w:tc>
        <w:tc>
          <w:tcPr>
            <w:tcW w:type="dxa" w:w="1755"/>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$310</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11.0%</w:t>
            </w:r>
          </w:p>
        </w:tc>
        <w:tc>
          <w:tcPr>
            <w:tcW w:type="dxa" w:w="175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$225</w:t>
            </w:r>
          </w:p>
        </w:tc>
        <w:tc>
          <w:tcPr>
            <w:tcW w:type="dxa" w:w="175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$240</w:t>
            </w:r>
          </w:p>
        </w:tc>
        <w:tc>
          <w:tcPr>
            <w:tcW w:type="dxa" w:w="175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$257</w:t>
            </w:r>
          </w:p>
        </w:tc>
        <w:tc>
          <w:tcPr>
            <w:tcW w:type="dxa" w:w="175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$278</w:t>
            </w:r>
          </w:p>
        </w:tc>
      </w:tr>
    </w:tbl>
    <w:p>
      <w:pPr>
        <w:spacing w:after="100" w:line="264"/>
      </w:pPr>
      <w:r>
        <w:rPr>
          <w:rFonts w:ascii="Arial" w:cs="Arial" w:eastAsia="Arial" w:hAnsi="Arial"/>
          <w:color w:val="333333"/>
          <w:sz w:val="19"/>
          <w:szCs w:val="19"/>
        </w:rPr>
        <w:t xml:space="preserve"/>
      </w:r>
    </w:p>
    <w:p>
      <w:pPr>
        <w:pStyle w:val="Heading2"/>
        <w:spacing w:after="120" w:before="200"/>
      </w:pPr>
      <w:r>
        <w:rPr>
          <w:rFonts w:ascii="Arial" w:cs="Arial" w:eastAsia="Arial" w:hAnsi="Arial"/>
          <w:b/>
          <w:bCs/>
          <w:color w:val="2E5090"/>
          <w:sz w:val="24"/>
          <w:szCs w:val="24"/>
        </w:rPr>
        <w:t xml:space="preserve">7.5 Comparable Companies</w:t>
      </w:r>
    </w:p>
    <w:p>
      <w:pPr>
        <w:spacing w:after="100" w:line="264"/>
      </w:pPr>
      <w:r>
        <w:rPr>
          <w:rFonts w:ascii="Arial" w:cs="Arial" w:eastAsia="Arial" w:hAnsi="Arial"/>
          <w:color w:val="333333"/>
          <w:sz w:val="19"/>
          <w:szCs w:val="19"/>
        </w:rPr>
        <w:t xml:space="preserve">Peers selected by business model (AI infrastructure suppliers to hyperscalers), not sector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900"/>
        <w:gridCol w:w="1000"/>
        <w:gridCol w:w="900"/>
        <w:gridCol w:w="1000"/>
        <w:gridCol w:w="2360"/>
      </w:tblGrid>
      <w:tr>
        <w:tc>
          <w:tcPr>
            <w:tcW w:type="dxa" w:w="1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Company</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Why Comparable</w:t>
            </w:r>
          </w:p>
        </w:tc>
        <w:tc>
          <w:tcPr>
            <w:tcW w:type="dxa" w:w="9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Growth</w:t>
            </w:r>
          </w:p>
        </w:tc>
        <w:tc>
          <w:tcPr>
            <w:tcW w:type="dxa" w:w="1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Gross Margin</w:t>
            </w:r>
          </w:p>
        </w:tc>
        <w:tc>
          <w:tcPr>
            <w:tcW w:type="dxa" w:w="9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ROIC</w:t>
            </w:r>
          </w:p>
        </w:tc>
        <w:tc>
          <w:tcPr>
            <w:tcW w:type="dxa" w:w="1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Fwd P/E</w:t>
            </w:r>
          </w:p>
        </w:tc>
        <w:tc>
          <w:tcPr>
            <w:tcW w:type="dxa" w:w="23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EV/EBITDA</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NVIDIA</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65%</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71%</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65.3%</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21.6x</w:t>
            </w:r>
          </w:p>
        </w:tc>
        <w:tc>
          <w:tcPr>
            <w:tcW w:type="dxa" w:w="2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32.0x</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AMD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Direct GPU competitor</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14%</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50%</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8.2%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30.4x</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47.9x</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Broadcom</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AI ASIC + networking</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44%</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65%</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22.5%</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24.8x</w:t>
            </w:r>
          </w:p>
        </w:tc>
        <w:tc>
          <w:tcPr>
            <w:tcW w:type="dxa" w:w="2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37.2x</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Arista Networks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DC networking infra</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64%</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34.1%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35.2x</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28.5x</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Marvell Technology</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Custom AI silicon</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27%</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46%</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4.8%</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32.1x</w:t>
            </w:r>
          </w:p>
        </w:tc>
        <w:tc>
          <w:tcPr>
            <w:tcW w:type="dxa" w:w="2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25.8x</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Peer Median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24%</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57%</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18.4%</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31.3x</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33.0x</w:t>
            </w:r>
          </w:p>
        </w:tc>
      </w:tr>
    </w:tbl>
    <w:p>
      <w:pPr>
        <w:spacing w:after="100" w:line="264"/>
      </w:pPr>
      <w:r>
        <w:rPr>
          <w:rFonts w:ascii="Arial" w:cs="Arial" w:eastAsia="Arial" w:hAnsi="Arial"/>
          <w:color w:val="333333"/>
          <w:sz w:val="19"/>
          <w:szCs w:val="19"/>
        </w:rPr>
        <w:t xml:space="preserve"/>
      </w:r>
    </w:p>
    <w:p>
      <w:pPr>
        <w:spacing w:after="100" w:line="264"/>
      </w:pPr>
      <w:r>
        <w:rPr>
          <w:rFonts w:ascii="Arial" w:cs="Arial" w:eastAsia="Arial" w:hAnsi="Arial"/>
          <w:color w:val="333333"/>
          <w:sz w:val="19"/>
          <w:szCs w:val="19"/>
        </w:rPr>
        <w:t xml:space="preserve">NVIDIA trades at 21.6x forward earnings — a 31% discount to the peer median of 31.3x — despite 65% revenue growth (peers: 24% median), 71% gross margins (peers: 57%), and 86% market share. The market is applying a growth-deceleration and regulatory-risk discount that we believe is excessive. Even applying a 20% discount to the peer median (justified by size and regulatory risk) yields 25x → $270 implied price. [20]</w:t>
      </w:r>
    </w:p>
    <w:p>
      <w:pPr>
        <w:spacing w:after="100" w:line="264"/>
      </w:pPr>
      <w:r>
        <w:rPr>
          <w:rFonts w:ascii="Arial" w:cs="Arial" w:eastAsia="Arial" w:hAnsi="Arial"/>
          <w:color w:val="333333"/>
          <w:sz w:val="19"/>
          <w:szCs w:val="19"/>
        </w:rPr>
        <w:t xml:space="preserve">The comparison to AMD is instructive: AMD trades at 30.4x forward P/E on 14% growth and 50% gross margins. NVIDIA delivers 4.6x the growth rate and 21 percentage points higher margins yet trades at a 29% P/E discount. This anomaly reflects the market’s implicit assumption that NVIDIA’s growth collapses within 2-3 years, which our unit economics analysis contradicts. The Blackwell revenue ramp through FY28 provides at least 18-24 months of earnings visibility that is not reflected in the current multiple.</w:t>
      </w:r>
    </w:p>
    <w:p>
      <w:pPr>
        <w:pStyle w:val="Heading2"/>
        <w:spacing w:after="120" w:before="200"/>
      </w:pPr>
      <w:r>
        <w:rPr>
          <w:rFonts w:ascii="Arial" w:cs="Arial" w:eastAsia="Arial" w:hAnsi="Arial"/>
          <w:b/>
          <w:bCs/>
          <w:color w:val="2E5090"/>
          <w:sz w:val="24"/>
          <w:szCs w:val="24"/>
        </w:rPr>
        <w:t xml:space="preserve">7.6 Confidence-Weighted 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000"/>
        <w:gridCol w:w="800"/>
        <w:gridCol w:w="2560"/>
      </w:tblGrid>
      <w:tr>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1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Implied Value</w:t>
            </w:r>
          </w:p>
        </w:tc>
        <w:tc>
          <w:tcPr>
            <w:tcW w:type="dxa" w:w="3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Confidence</w:t>
            </w:r>
          </w:p>
        </w:tc>
        <w:tc>
          <w:tcPr>
            <w:tcW w:type="dxa" w:w="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Weight</w:t>
            </w:r>
          </w:p>
        </w:tc>
        <w:tc>
          <w:tcPr>
            <w:tcW w:type="dxa" w:w="25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Contribution</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DCF (Base Case)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$286</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High — FCF predictable, assumptions grounded in unit economics</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45%</w:t>
            </w:r>
          </w:p>
        </w:tc>
        <w:tc>
          <w:tcPr>
            <w:tcW w:type="dxa" w:w="2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$128.70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EV/EBITDA Comps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$245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Medium — peers comparable but not identical</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$73.50</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Forward P/E Comps</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$220</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Lower — growth differential distorts P/E comparison</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25%</w:t>
            </w:r>
          </w:p>
        </w:tc>
        <w:tc>
          <w:tcPr>
            <w:tcW w:type="dxa" w:w="2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$55.00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Blended Price Target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$257</w:t>
            </w:r>
          </w:p>
        </w:tc>
      </w:tr>
    </w:tbl>
    <w:p>
      <w:pPr>
        <w:spacing w:after="100" w:line="264"/>
      </w:pPr>
      <w:r>
        <w:rPr>
          <w:rFonts w:ascii="Arial" w:cs="Arial" w:eastAsia="Arial" w:hAnsi="Arial"/>
          <w:color w:val="333333"/>
          <w:sz w:val="19"/>
          <w:szCs w:val="19"/>
        </w:rPr>
        <w:t xml:space="preserve"/>
      </w:r>
    </w:p>
    <w:p>
      <w:pPr>
        <w:spacing w:after="100" w:line="264"/>
      </w:pPr>
      <w:r>
        <w:rPr>
          <w:rFonts w:ascii="Arial" w:cs="Arial" w:eastAsia="Arial" w:hAnsi="Arial"/>
          <w:color w:val="333333"/>
          <w:sz w:val="19"/>
          <w:szCs w:val="19"/>
        </w:rPr>
        <w:t xml:space="preserve">We set our price target at $245, a 5% haircut to the blended value of $257, providing margin of safety for execution risk. At $245, NVIDIA trades at 22.7x FY27E EPS of $10.80. [21]</w:t>
      </w:r>
    </w:p>
    <w:p>
      <w:pPr>
        <w:spacing w:after="100" w:line="264"/>
      </w:pPr>
      <w:r>
        <w:rPr>
          <w:rFonts w:ascii="Arial" w:cs="Arial" w:eastAsia="Arial" w:hAnsi="Arial"/>
          <w:color w:val="333333"/>
          <w:sz w:val="19"/>
          <w:szCs w:val="19"/>
        </w:rPr>
        <w:t xml:space="preserve">Rationale for confidence weights: DCF receives the highest weight (45%) because NVIDIA’s free cash flow is large ($182B FY27E), highly predictable (&gt;90% of revenue comes from committed orders), and growing. The DCF model’s terminal value represents 86% of enterprise value, which is typical for a high-growth company but introduces sensitivity to terminal assumptions — hence we cap DCF weight below 50%. EV/EBITDA comps (30%) provide a useful market-based anchor; the peer set, while imperfect (no company truly matches NVIDIA’s profile), shares the common thread of selling AI infrastructure to hyperscalers. Forward P/E (25%) receives the lowest weight because the growth differential between NVIDIA (65%) and peers (24% median) makes P/E comparison structurally misleading — a growth-adjusted PEG analysis would be more appropriate, but PEG ratios are notoriously unstable.</w:t>
      </w:r>
    </w:p>
    <w:p>
      <w:pPr>
        <w:pStyle w:val="Heading2"/>
        <w:spacing w:after="120" w:before="200"/>
      </w:pPr>
      <w:r>
        <w:rPr>
          <w:rFonts w:ascii="Arial" w:cs="Arial" w:eastAsia="Arial" w:hAnsi="Arial"/>
          <w:b/>
          <w:bCs/>
          <w:color w:val="2E5090"/>
          <w:sz w:val="24"/>
          <w:szCs w:val="24"/>
        </w:rPr>
        <w:t xml:space="preserve">7.7 Scenario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232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Bull (25%)</w:t>
            </w:r>
          </w:p>
        </w:tc>
        <w:tc>
          <w:tcPr>
            <w:tcW w:type="dxa" w:w="232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Base (50%)</w:t>
            </w:r>
          </w:p>
        </w:tc>
        <w:tc>
          <w:tcPr>
            <w:tcW w:type="dxa" w:w="232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Bear (25%)</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FY27 Revenue</w:t>
            </w:r>
          </w:p>
        </w:tc>
        <w:tc>
          <w:tcPr>
            <w:tcW w:type="dxa" w:w="232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$340B</w:t>
            </w:r>
          </w:p>
        </w:tc>
        <w:tc>
          <w:tcPr>
            <w:tcW w:type="dxa" w:w="232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$310B</w:t>
            </w:r>
          </w:p>
        </w:tc>
        <w:tc>
          <w:tcPr>
            <w:tcW w:type="dxa" w:w="232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$255B</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Gross Margin</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76%</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74%</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67%</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FY27 EPS</w:t>
            </w:r>
          </w:p>
        </w:tc>
        <w:tc>
          <w:tcPr>
            <w:tcW w:type="dxa" w:w="232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$12.50</w:t>
            </w:r>
          </w:p>
        </w:tc>
        <w:tc>
          <w:tcPr>
            <w:tcW w:type="dxa" w:w="232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$10.80</w:t>
            </w:r>
          </w:p>
        </w:tc>
        <w:tc>
          <w:tcPr>
            <w:tcW w:type="dxa" w:w="232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$7.20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Target Multiple</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25x</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22.7x</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16x</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Price Target</w:t>
            </w:r>
          </w:p>
        </w:tc>
        <w:tc>
          <w:tcPr>
            <w:tcW w:type="dxa" w:w="232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$312</w:t>
            </w:r>
          </w:p>
        </w:tc>
        <w:tc>
          <w:tcPr>
            <w:tcW w:type="dxa" w:w="232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$245</w:t>
            </w:r>
          </w:p>
        </w:tc>
        <w:tc>
          <w:tcPr>
            <w:tcW w:type="dxa" w:w="232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$115</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Return from $178</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+75%</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+38%</w:t>
            </w:r>
          </w:p>
        </w:tc>
        <w:tc>
          <w:tcPr>
            <w:tcW w:type="dxa" w:w="23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-35%</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Catalyst</w:t>
            </w:r>
          </w:p>
        </w:tc>
        <w:tc>
          <w:tcPr>
            <w:tcW w:type="dxa" w:w="232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China exports resume + Blackwell exceeds guide</w:t>
            </w:r>
          </w:p>
        </w:tc>
        <w:tc>
          <w:tcPr>
            <w:tcW w:type="dxa" w:w="232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Blackwell ramp in-line</w:t>
            </w:r>
          </w:p>
        </w:tc>
        <w:tc>
          <w:tcPr>
            <w:tcW w:type="dxa" w:w="232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Hyperscaler capex cut 30% + ASIC share gains</w:t>
            </w:r>
          </w:p>
        </w:tc>
      </w:tr>
    </w:tbl>
    <w:p>
      <w:pPr>
        <w:spacing w:after="100" w:line="264"/>
      </w:pPr>
      <w:r>
        <w:rPr>
          <w:rFonts w:ascii="Arial" w:cs="Arial" w:eastAsia="Arial" w:hAnsi="Arial"/>
          <w:color w:val="333333"/>
          <w:sz w:val="19"/>
          <w:szCs w:val="19"/>
        </w:rPr>
        <w:t xml:space="preserve"/>
      </w:r>
    </w:p>
    <w:p>
      <w:pPr>
        <w:spacing w:after="100" w:line="264"/>
      </w:pPr>
      <w:r>
        <w:rPr>
          <w:rFonts w:ascii="Arial" w:cs="Arial" w:eastAsia="Arial" w:hAnsi="Arial"/>
          <w:b/>
          <w:bCs/>
          <w:color w:val="333333"/>
          <w:sz w:val="19"/>
          <w:szCs w:val="19"/>
        </w:rPr>
        <w:t xml:space="preserve">Probability-weighted expected value: </w:t>
      </w:r>
      <w:r>
        <w:rPr>
          <w:rFonts w:ascii="Arial" w:cs="Arial" w:eastAsia="Arial" w:hAnsi="Arial"/>
          <w:color w:val="333333"/>
          <w:sz w:val="19"/>
          <w:szCs w:val="19"/>
        </w:rPr>
        <w:t xml:space="preserve">(25% × $312) + (50% × $245) + (25% × $115) = $229. Current price $178 → expected return +29%.</w:t>
      </w:r>
    </w:p>
    <w:p>
      <w:pPr>
        <w:spacing w:after="100" w:line="264"/>
      </w:pPr>
      <w:r>
        <w:rPr>
          <w:rFonts w:ascii="Arial" w:cs="Arial" w:eastAsia="Arial" w:hAnsi="Arial"/>
          <w:b/>
          <w:bCs/>
          <w:color w:val="333333"/>
          <w:sz w:val="19"/>
          <w:szCs w:val="19"/>
        </w:rPr>
        <w:t xml:space="preserve">Reward-to-risk ratio: </w:t>
      </w:r>
      <w:r>
        <w:rPr>
          <w:rFonts w:ascii="Arial" w:cs="Arial" w:eastAsia="Arial" w:hAnsi="Arial"/>
          <w:color w:val="333333"/>
          <w:sz w:val="19"/>
          <w:szCs w:val="19"/>
        </w:rPr>
        <w:t xml:space="preserve">Weighted upside $57 / weighted downside $24 = 2.4 : 1. This exceeds our 2:1 threshold for a BUY recommendation.</w:t>
      </w:r>
    </w:p>
    <w:p>
      <w:pPr>
        <w:spacing w:after="100" w:line="264"/>
      </w:pPr>
      <w:r>
        <w:rPr>
          <w:rFonts w:ascii="Arial" w:cs="Arial" w:eastAsia="Arial" w:hAnsi="Arial"/>
          <w:color w:val="333333"/>
          <w:sz w:val="19"/>
          <w:szCs w:val="19"/>
        </w:rPr>
        <w:t xml:space="preserve">The scenario analysis reveals the embedded asymmetry in the stock. The bull case ($312) requires only modest upside surprises — China exports partially resuming and Blackwell units coming in 10% ahead of plan. The bear case ($115) requires a severe outcome — a 30% hyperscaler capex cut combined with meaningful ASIC share gains, which would represent the first capital spending reversal in the AI infrastructure cycle. We weight the bear case at 25% because while capex moderation is plausible, a 30% cut contradicts the public commitments and contractual obligations that hyperscalers have already signed. The most likely path is our base case: Blackwell ramping roughly in-line with guidance, which drives 44% revenue growth in FY27 and supports a re-rating from the current 21.6x to our 22.7x target multiple.</w:t>
      </w:r>
    </w:p>
    <w:p>
      <w:r>
        <w:br w:type="page"/>
      </w:r>
    </w:p>
    <w:p>
      <w:pPr>
        <w:pStyle w:val="Heading1"/>
        <w:spacing w:after="200" w:before="360"/>
      </w:pPr>
      <w:r>
        <w:rPr>
          <w:rFonts w:ascii="Arial" w:cs="Arial" w:eastAsia="Arial" w:hAnsi="Arial"/>
          <w:b/>
          <w:bCs/>
          <w:color w:val="1B365D"/>
          <w:sz w:val="30"/>
          <w:szCs w:val="30"/>
        </w:rPr>
        <w:t xml:space="preserve">8. Technical Analysis &amp; Trading Signals</w:t>
      </w:r>
    </w:p>
    <w:p>
      <w:pPr>
        <w:spacing w:after="100" w:line="264"/>
      </w:pPr>
      <w:r>
        <w:rPr>
          <w:rFonts w:ascii="Arial" w:cs="Arial" w:eastAsia="Arial" w:hAnsi="Arial"/>
          <w:color w:val="333333"/>
          <w:sz w:val="19"/>
          <w:szCs w:val="19"/>
        </w:rPr>
        <w:t xml:space="preserve">Framed for a 3-6 month position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00"/>
        <w:gridCol w:w="4160"/>
      </w:tblGrid>
      <w:tr>
        <w:tc>
          <w:tcPr>
            <w:tcW w:type="dxa" w:w="1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Signal</w:t>
            </w:r>
          </w:p>
        </w:tc>
        <w:tc>
          <w:tcPr>
            <w:tcW w:type="dxa" w:w="2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Level / Condition</w:t>
            </w:r>
          </w:p>
        </w:tc>
        <w:tc>
          <w:tcPr>
            <w:tcW w:type="dxa" w:w="16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Action</w:t>
            </w:r>
          </w:p>
        </w:tc>
        <w:tc>
          <w:tcPr>
            <w:tcW w:type="dxa" w:w="4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Rationale</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Entry zone</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$170–$182</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Initiate full position</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200-day MA support ($168) + current consolidation zone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Add zone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$155–$165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Add 25-50%</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Prior breakout level; aligns with 25x bear-case P/E floor</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Stop-loss</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$132</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Exit full position</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Below major support ($135) + bear-case DCF ($115 zone)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Take-profit (trim)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$230–$245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Sell 50%</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Approaching price target + R1 resistance zone</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Take-profit (full)</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$300+</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Exit remaining</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Bull case hit; extreme extension above fundamentals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Hedge trigger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Death cross (50d &lt; 200d) or RSI &lt; 30 on heavy volume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Buy 3-month 15% OTM puts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Institutional selling confirmed; cap downside at ∼10%</w:t>
            </w:r>
          </w:p>
        </w:tc>
      </w:tr>
    </w:tbl>
    <w:p>
      <w:pPr>
        <w:spacing w:after="100" w:line="264"/>
      </w:pPr>
      <w:r>
        <w:rPr>
          <w:rFonts w:ascii="Arial" w:cs="Arial" w:eastAsia="Arial" w:hAnsi="Arial"/>
          <w:color w:val="333333"/>
          <w:sz w:val="19"/>
          <w:szCs w:val="19"/>
        </w:rPr>
        <w:t xml:space="preserve"/>
      </w:r>
    </w:p>
    <w:p>
      <w:pPr>
        <w:spacing w:after="100" w:line="264"/>
      </w:pPr>
      <w:r>
        <w:rPr>
          <w:rFonts w:ascii="Arial" w:cs="Arial" w:eastAsia="Arial" w:hAnsi="Arial"/>
          <w:color w:val="333333"/>
          <w:sz w:val="19"/>
          <w:szCs w:val="19"/>
        </w:rPr>
        <w:t xml:space="preserve">Current setup: NVDA at $178 is above the 200-day MA ($168) but below the declining 50-day MA ($195). RSI(14) at 42 — neutral, no oversold bounce signal yet. MACD is negative but histogram is contracting, suggesting the bearish momentum is fading. A MACD crossover above the signal line would confirm the entry thesis technically. Volume has been below the 3-month average during the selloff, indicating rotation rather than institutional liquidation — constructive for a long entry. [22]</w:t>
      </w:r>
    </w:p>
    <w:p>
      <w:pPr>
        <w:spacing w:after="100" w:line="264"/>
      </w:pPr>
      <w:r>
        <w:rPr>
          <w:rFonts w:ascii="Arial" w:cs="Arial" w:eastAsia="Arial" w:hAnsi="Arial"/>
          <w:color w:val="333333"/>
          <w:sz w:val="19"/>
          <w:szCs w:val="19"/>
        </w:rPr>
        <w:t xml:space="preserve">Support and resistance levels: R2 (major resistance) at $230 corresponds to the Jan 2026 swing high and 50% Fibonacci retracement of the Oct 2025 to Mar 2026 selloff. R1 (near-term resistance) at $195 aligns with the declining 50-day MA. S1 (near-term support) at $168 is the 200-day MA. S2 (major support) at $135 coincides with the Aug 2025 correction low and our bear-case valuation floor — a powerful fundamental-technical confluence that strengthens the stop-loss level at $132.</w:t>
      </w:r>
    </w:p>
    <w:p>
      <w:pPr>
        <w:spacing w:after="100" w:line="264"/>
      </w:pPr>
      <w:r>
        <w:rPr>
          <w:rFonts w:ascii="Arial" w:cs="Arial" w:eastAsia="Arial" w:hAnsi="Arial"/>
          <w:color w:val="333333"/>
          <w:sz w:val="19"/>
          <w:szCs w:val="19"/>
        </w:rPr>
        <w:t xml:space="preserve">Technical vs. fundamental synthesis: The 35% pullback from 52-week highs has brought the stock to a level where fundamental value ($245-286 range) provides a margin of safety, and technical support ($165-170 zone) aligns with the bear-case valuation floor. This is a favorable setup for accumulation. We recommend initiating at current levels with a stop at $132 (26% downside) versus a $245 target (38% upside). The risk/reward per the signal table is 1.46:1 (38% upside vs. 26% downside on a raw basis), but the probability-weighted ratio is 2.4:1 because the downside scenario has only 25% probability while the upside scenarios carry 75% probability.</w:t>
      </w:r>
    </w:p>
    <w:p>
      <w:r>
        <w:br w:type="page"/>
      </w:r>
    </w:p>
    <w:p>
      <w:pPr>
        <w:pStyle w:val="Heading1"/>
        <w:spacing w:after="200" w:before="360"/>
      </w:pPr>
      <w:r>
        <w:rPr>
          <w:rFonts w:ascii="Arial" w:cs="Arial" w:eastAsia="Arial" w:hAnsi="Arial"/>
          <w:b/>
          <w:bCs/>
          <w:color w:val="1B365D"/>
          <w:sz w:val="30"/>
          <w:szCs w:val="30"/>
        </w:rPr>
        <w:t xml:space="preserve">9. Investment Risks &amp; Mitigants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800"/>
        <w:gridCol w:w="800"/>
        <w:gridCol w:w="4560"/>
      </w:tblGrid>
      <w:tr>
        <w:tc>
          <w:tcPr>
            <w:tcW w:type="dxa" w:w="2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Risk</w:t>
            </w:r>
          </w:p>
        </w:tc>
        <w:tc>
          <w:tcPr>
            <w:tcW w:type="dxa" w:w="1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Severity</w:t>
            </w:r>
          </w:p>
        </w:tc>
        <w:tc>
          <w:tcPr>
            <w:tcW w:type="dxa" w:w="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Prob.</w:t>
            </w:r>
          </w:p>
        </w:tc>
        <w:tc>
          <w:tcPr>
            <w:tcW w:type="dxa" w:w="45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Mitigant</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Hyperscaler capex cut ≥30%</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Concentration</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High</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15%</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$300B+ committed through 2027 [4]; NVIDIA shift to enterprise/sovereign AI reduces top-4 concentration from 60% to ~45% by FY28</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Export control escalation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Regulatory</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High</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20%</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Q1 FY27 guidance excludes China; $0 China revenue in base case. Any China sales = upside</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Custom ASIC share gains</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Competitive</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Medium</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50%</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ASICs target inference (&lt;35% of DC rev) with max 15% share capture → 3-5% total revenue impact. Training remains CUDA-locked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Valuation compression (rates/rotation)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Market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30%</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At 21.6x fwd P/E — already discounted vs peers (31x median). Earnings growth provides valuation floor</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Jensen Huang succession</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Governance</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High</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15+ yr avg exec tenure; institutional roadmap (Rubin, next-gen) extends beyond individual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AI spending ROI questioned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Macro</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20%</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Cloud AI revenue disclosures show positive ROI [23]; OpenAI $12B+ ARR validates end-demand</w:t>
            </w:r>
          </w:p>
        </w:tc>
      </w:tr>
    </w:tbl>
    <w:p>
      <w:pPr>
        <w:spacing w:after="100" w:line="264"/>
      </w:pPr>
      <w:r>
        <w:rPr>
          <w:rFonts w:ascii="Arial" w:cs="Arial" w:eastAsia="Arial" w:hAnsi="Arial"/>
          <w:color w:val="333333"/>
          <w:sz w:val="19"/>
          <w:szCs w:val="19"/>
        </w:rPr>
        <w:t xml:space="preserve"/>
      </w:r>
    </w:p>
    <w:p>
      <w:pPr>
        <w:spacing w:after="100" w:line="264"/>
      </w:pPr>
      <w:r>
        <w:rPr>
          <w:rFonts w:ascii="Arial" w:cs="Arial" w:eastAsia="Arial" w:hAnsi="Arial"/>
          <w:b/>
          <w:bCs/>
          <w:color w:val="333333"/>
          <w:sz w:val="19"/>
          <w:szCs w:val="19"/>
        </w:rPr>
        <w:t xml:space="preserve">Thesis-breaking scenario: </w:t>
      </w:r>
      <w:r>
        <w:rPr>
          <w:rFonts w:ascii="Arial" w:cs="Arial" w:eastAsia="Arial" w:hAnsi="Arial"/>
          <w:color w:val="333333"/>
          <w:sz w:val="19"/>
          <w:szCs w:val="19"/>
        </w:rPr>
        <w:t xml:space="preserve">Two consecutive quarters of sequential Data Center revenue decline, signaling hyperscaler demand has peaked. Early warning: watch Microsoft/Google/Amazon quarterly capex commentary and sequential order trends. If either metric turns negative, begin position reduction immediately regardless of price level.</w:t>
      </w:r>
    </w:p>
    <w:p>
      <w:pPr>
        <w:spacing w:after="100" w:line="264"/>
      </w:pPr>
      <w:r>
        <w:rPr>
          <w:rFonts w:ascii="Arial" w:cs="Arial" w:eastAsia="Arial" w:hAnsi="Arial"/>
          <w:color w:val="333333"/>
          <w:sz w:val="19"/>
          <w:szCs w:val="19"/>
        </w:rPr>
        <w:t xml:space="preserve">Risk asymmetry assessment: The risk table reveals that the highest-severity risks (hyperscaler capex cut, export escalation) are also the ones most already priced in by the market. NVIDIA’s 31% P/E discount to peers implicitly discounts these scenarios. Conversely, the upside scenarios (China re-opening, Blackwell exceeding guidance) are not priced in at all. This creates the asymmetric risk/reward profile that supports our BUY recommendation: downside risks are well-telegraphed and partially priced, while upside catalysts are under-appreciated.</w:t>
      </w:r>
    </w:p>
    <w:p>
      <w:pPr>
        <w:pStyle w:val="Heading1"/>
        <w:spacing w:after="200" w:before="360"/>
      </w:pPr>
      <w:r>
        <w:rPr>
          <w:rFonts w:ascii="Arial" w:cs="Arial" w:eastAsia="Arial" w:hAnsi="Arial"/>
          <w:b/>
          <w:bCs/>
          <w:color w:val="1B365D"/>
          <w:sz w:val="30"/>
          <w:szCs w:val="30"/>
        </w:rPr>
        <w:t xml:space="preserve">10. Exit Strategy &amp; Hedging</w:t>
      </w:r>
    </w:p>
    <w:p>
      <w:pPr>
        <w:spacing w:after="100" w:line="264"/>
      </w:pPr>
      <w:r>
        <w:rPr>
          <w:rFonts w:ascii="Arial" w:cs="Arial" w:eastAsia="Arial" w:hAnsi="Arial"/>
          <w:b/>
          <w:bCs/>
          <w:color w:val="333333"/>
          <w:sz w:val="19"/>
          <w:szCs w:val="19"/>
        </w:rPr>
        <w:t xml:space="preserve">Horizon: </w:t>
      </w:r>
      <w:r>
        <w:rPr>
          <w:rFonts w:ascii="Arial" w:cs="Arial" w:eastAsia="Arial" w:hAnsi="Arial"/>
          <w:color w:val="333333"/>
          <w:sz w:val="19"/>
          <w:szCs w:val="19"/>
        </w:rPr>
        <w:t xml:space="preserve">12 months (through Q2 FY27 earnings, ~Nov 2026). Reassess at that point.</w:t>
      </w:r>
    </w:p>
    <w:p>
      <w:pPr>
        <w:spacing w:after="100" w:line="264"/>
      </w:pPr>
      <w:r>
        <w:rPr>
          <w:rFonts w:ascii="Arial" w:cs="Arial" w:eastAsia="Arial" w:hAnsi="Arial"/>
          <w:b/>
          <w:bCs/>
          <w:color w:val="333333"/>
          <w:sz w:val="19"/>
          <w:szCs w:val="19"/>
        </w:rPr>
        <w:t xml:space="preserve">Upside exits: </w:t>
      </w:r>
      <w:r>
        <w:rPr>
          <w:rFonts w:ascii="Arial" w:cs="Arial" w:eastAsia="Arial" w:hAnsi="Arial"/>
          <w:color w:val="333333"/>
          <w:sz w:val="19"/>
          <w:szCs w:val="19"/>
        </w:rPr>
        <w:t xml:space="preserve">(1) $245 target hit → trim 50%. (2) $300+ bull case → exit 75%, hold remainder for Rubin cycle. (3) Forward P/E expands above 30x → systematic reduction.</w:t>
      </w:r>
    </w:p>
    <w:p>
      <w:pPr>
        <w:spacing w:after="100" w:line="264"/>
      </w:pPr>
      <w:r>
        <w:rPr>
          <w:rFonts w:ascii="Arial" w:cs="Arial" w:eastAsia="Arial" w:hAnsi="Arial"/>
          <w:b/>
          <w:bCs/>
          <w:color w:val="333333"/>
          <w:sz w:val="19"/>
          <w:szCs w:val="19"/>
        </w:rPr>
        <w:t xml:space="preserve">Downside exits: </w:t>
      </w:r>
      <w:r>
        <w:rPr>
          <w:rFonts w:ascii="Arial" w:cs="Arial" w:eastAsia="Arial" w:hAnsi="Arial"/>
          <w:color w:val="333333"/>
          <w:sz w:val="19"/>
          <w:szCs w:val="19"/>
        </w:rPr>
        <w:t xml:space="preserve">(1) Two sequential quarters of DC revenue decline → exit 100%. (2) Gross margins &lt;65% for two quarters → exit 100% (signals ASIC pricing pressure). (3) Stock below $132 on heavy volume → exit 100%.</w:t>
      </w:r>
    </w:p>
    <w:p>
      <w:pPr>
        <w:spacing w:after="100" w:line="264"/>
      </w:pPr>
      <w:r>
        <w:rPr>
          <w:rFonts w:ascii="Arial" w:cs="Arial" w:eastAsia="Arial" w:hAnsi="Arial"/>
          <w:b/>
          <w:bCs/>
          <w:color w:val="333333"/>
          <w:sz w:val="19"/>
          <w:szCs w:val="19"/>
        </w:rPr>
        <w:t xml:space="preserve">Hedging: </w:t>
      </w:r>
      <w:r>
        <w:rPr>
          <w:rFonts w:ascii="Arial" w:cs="Arial" w:eastAsia="Arial" w:hAnsi="Arial"/>
          <w:color w:val="333333"/>
          <w:sz w:val="19"/>
          <w:szCs w:val="19"/>
        </w:rPr>
        <w:t xml:space="preserve">Current technical setup (neutral RSI, above 200d MA) suggests no hedging needed at entry. If a death cross forms or RSI drops below 30 on above-average volume, buy 3-month 15% OTM puts to cap downside. Estimated cost: ~2.5% of position value, reducing expected return from 38% to 35.5%. [24]</w:t>
      </w:r>
    </w:p>
    <w:p>
      <w:pPr>
        <w:spacing w:after="100" w:line="264"/>
      </w:pPr>
      <w:r>
        <w:rPr>
          <w:rFonts w:ascii="Arial" w:cs="Arial" w:eastAsia="Arial" w:hAnsi="Arial"/>
          <w:color w:val="333333"/>
          <w:sz w:val="19"/>
          <w:szCs w:val="19"/>
        </w:rPr>
        <w:t xml:space="preserve"/>
      </w:r>
    </w:p>
    <w:p>
      <w:pPr>
        <w:spacing w:after="100" w:line="264"/>
      </w:pPr>
      <w:r>
        <w:rPr>
          <w:rFonts w:ascii="Arial" w:cs="Arial" w:eastAsia="Arial" w:hAnsi="Arial"/>
          <w:b/>
          <w:bCs/>
          <w:color w:val="333333"/>
          <w:sz w:val="19"/>
          <w:szCs w:val="19"/>
        </w:rPr>
        <w:t xml:space="preserve">Monitoring checklist: </w:t>
      </w:r>
      <w:r>
        <w:rPr>
          <w:rFonts w:ascii="Arial" w:cs="Arial" w:eastAsia="Arial" w:hAnsi="Arial"/>
          <w:color w:val="333333"/>
          <w:sz w:val="19"/>
          <w:szCs w:val="19"/>
        </w:rPr>
        <w:t xml:space="preserve">(1) Quarterly DC revenue sequential growth. (2) Gross margin trajectory → should recover to 74-76% by FY28. (3) Hyperscaler capex guidance each quarter. (4) Export control policy developments. (5) Blackwell order book commentary from Jensen Huang on earnings calls.</w:t>
      </w:r>
    </w:p>
    <w:p>
      <w:r>
        <w:br w:type="page"/>
      </w:r>
    </w:p>
    <w:p>
      <w:pPr>
        <w:pStyle w:val="Heading1"/>
        <w:spacing w:after="200" w:before="360"/>
      </w:pPr>
      <w:r>
        <w:rPr>
          <w:rFonts w:ascii="Arial" w:cs="Arial" w:eastAsia="Arial" w:hAnsi="Arial"/>
          <w:b/>
          <w:bCs/>
          <w:color w:val="1B365D"/>
          <w:sz w:val="30"/>
          <w:szCs w:val="30"/>
        </w:rPr>
        <w:t xml:space="preserve">11. Sources</w:t>
      </w:r>
    </w:p>
    <w:p>
      <w:pPr>
        <w:spacing w:after="100" w:line="264"/>
      </w:pPr>
      <w:r>
        <w:rPr>
          <w:rFonts w:ascii="Arial" w:cs="Arial" w:eastAsia="Arial" w:hAnsi="Arial"/>
          <w:color w:val="333333"/>
          <w:sz w:val="19"/>
          <w:szCs w:val="19"/>
        </w:rPr>
        <w:t xml:space="preserve">[1] NVIDIA Q4 FY2026 Earnings Call Transcript, Feb 25, 2026. “Blackwell orders extend through FY2028.”</w:t>
      </w:r>
    </w:p>
    <w:p>
      <w:pPr>
        <w:spacing w:after="100" w:line="264"/>
      </w:pPr>
      <w:r>
        <w:rPr>
          <w:rFonts w:ascii="Arial" w:cs="Arial" w:eastAsia="Arial" w:hAnsi="Arial"/>
          <w:color w:val="333333"/>
          <w:sz w:val="19"/>
          <w:szCs w:val="19"/>
        </w:rPr>
        <w:t xml:space="preserve">[2] TrendForce, “AI Accelerator Market Share Report,” Q4 2025. Custom ASICs estimated at 12-15% of total inference compute.</w:t>
      </w:r>
    </w:p>
    <w:p>
      <w:pPr>
        <w:spacing w:after="100" w:line="264"/>
      </w:pPr>
      <w:r>
        <w:rPr>
          <w:rFonts w:ascii="Arial" w:cs="Arial" w:eastAsia="Arial" w:hAnsi="Arial"/>
          <w:color w:val="333333"/>
          <w:sz w:val="19"/>
          <w:szCs w:val="19"/>
        </w:rPr>
        <w:t xml:space="preserve">[3] Author’s calculations based on scenario analysis (Section 7.6).</w:t>
      </w:r>
    </w:p>
    <w:p>
      <w:pPr>
        <w:spacing w:after="100" w:line="264"/>
      </w:pPr>
      <w:r>
        <w:rPr>
          <w:rFonts w:ascii="Arial" w:cs="Arial" w:eastAsia="Arial" w:hAnsi="Arial"/>
          <w:color w:val="333333"/>
          <w:sz w:val="19"/>
          <w:szCs w:val="19"/>
        </w:rPr>
        <w:t xml:space="preserve">[4] Microsoft FY2026 10-K ($80B AI capex guidance); Google Cloud FY2026 capex ($75B); Amazon AWS capex ($85B); Meta FY2026 capex ($65B). Total = $305B.</w:t>
      </w:r>
    </w:p>
    <w:p>
      <w:pPr>
        <w:spacing w:after="100" w:line="264"/>
      </w:pPr>
      <w:r>
        <w:rPr>
          <w:rFonts w:ascii="Arial" w:cs="Arial" w:eastAsia="Arial" w:hAnsi="Arial"/>
          <w:color w:val="333333"/>
          <w:sz w:val="19"/>
          <w:szCs w:val="19"/>
        </w:rPr>
        <w:t xml:space="preserve">[5] MarketsandMarkets, “AI Accelerator Market — Global Forecast to 2030,” June 2025; Gartner, “Data Center Semiconductor Forecast,” Q3 2025.</w:t>
      </w:r>
    </w:p>
    <w:p>
      <w:pPr>
        <w:spacing w:after="100" w:line="264"/>
      </w:pPr>
      <w:r>
        <w:rPr>
          <w:rFonts w:ascii="Arial" w:cs="Arial" w:eastAsia="Arial" w:hAnsi="Arial"/>
          <w:color w:val="333333"/>
          <w:sz w:val="19"/>
          <w:szCs w:val="19"/>
        </w:rPr>
        <w:t xml:space="preserve">[6] TrendForce, “GPU Market Tracker,” Q4 2025.</w:t>
      </w:r>
    </w:p>
    <w:p>
      <w:pPr>
        <w:spacing w:after="100" w:line="264"/>
      </w:pPr>
      <w:r>
        <w:rPr>
          <w:rFonts w:ascii="Arial" w:cs="Arial" w:eastAsia="Arial" w:hAnsi="Arial"/>
          <w:color w:val="333333"/>
          <w:sz w:val="19"/>
          <w:szCs w:val="19"/>
        </w:rPr>
        <w:t xml:space="preserve">[7] Author’s estimate of AI infrastructure stack TAM based on GPU compute + networking + systems + software market sizing.</w:t>
      </w:r>
    </w:p>
    <w:p>
      <w:pPr>
        <w:spacing w:after="100" w:line="264"/>
      </w:pPr>
      <w:r>
        <w:rPr>
          <w:rFonts w:ascii="Arial" w:cs="Arial" w:eastAsia="Arial" w:hAnsi="Arial"/>
          <w:color w:val="333333"/>
          <w:sz w:val="19"/>
          <w:szCs w:val="19"/>
        </w:rPr>
        <w:t xml:space="preserve">[8] Author’s unit economics reconciliation (Section 2).</w:t>
      </w:r>
    </w:p>
    <w:p>
      <w:pPr>
        <w:spacing w:after="100" w:line="264"/>
      </w:pPr>
      <w:r>
        <w:rPr>
          <w:rFonts w:ascii="Arial" w:cs="Arial" w:eastAsia="Arial" w:hAnsi="Arial"/>
          <w:color w:val="333333"/>
          <w:sz w:val="19"/>
          <w:szCs w:val="19"/>
        </w:rPr>
        <w:t xml:space="preserve">[9] NVIDIA CUDA Developer Program, Annual Report 2025.</w:t>
      </w:r>
    </w:p>
    <w:p>
      <w:pPr>
        <w:spacing w:after="100" w:line="264"/>
      </w:pPr>
      <w:r>
        <w:rPr>
          <w:rFonts w:ascii="Arial" w:cs="Arial" w:eastAsia="Arial" w:hAnsi="Arial"/>
          <w:color w:val="333333"/>
          <w:sz w:val="19"/>
          <w:szCs w:val="19"/>
        </w:rPr>
        <w:t xml:space="preserve">[10] NVIDIA Investor Day 2025, enterprise retention metrics disclosure.</w:t>
      </w:r>
    </w:p>
    <w:p>
      <w:pPr>
        <w:spacing w:after="100" w:line="264"/>
      </w:pPr>
      <w:r>
        <w:rPr>
          <w:rFonts w:ascii="Arial" w:cs="Arial" w:eastAsia="Arial" w:hAnsi="Arial"/>
          <w:color w:val="333333"/>
          <w:sz w:val="19"/>
          <w:szCs w:val="19"/>
        </w:rPr>
        <w:t xml:space="preserve">[11] NVIDIA FY2026 10-K, R&amp;D expense line item.</w:t>
      </w:r>
    </w:p>
    <w:p>
      <w:pPr>
        <w:spacing w:after="100" w:line="264"/>
      </w:pPr>
      <w:r>
        <w:rPr>
          <w:rFonts w:ascii="Arial" w:cs="Arial" w:eastAsia="Arial" w:hAnsi="Arial"/>
          <w:color w:val="333333"/>
          <w:sz w:val="19"/>
          <w:szCs w:val="19"/>
        </w:rPr>
        <w:t xml:space="preserve">[12] TSMC FY2025 Annual Report, revenue concentration disclosures.</w:t>
      </w:r>
    </w:p>
    <w:p>
      <w:pPr>
        <w:spacing w:after="100" w:line="264"/>
      </w:pPr>
      <w:r>
        <w:rPr>
          <w:rFonts w:ascii="Arial" w:cs="Arial" w:eastAsia="Arial" w:hAnsi="Arial"/>
          <w:color w:val="333333"/>
          <w:sz w:val="19"/>
          <w:szCs w:val="19"/>
        </w:rPr>
        <w:t xml:space="preserve">[13] Author’s competitive analysis (Section 4).</w:t>
      </w:r>
    </w:p>
    <w:p>
      <w:pPr>
        <w:spacing w:after="100" w:line="264"/>
      </w:pPr>
      <w:r>
        <w:rPr>
          <w:rFonts w:ascii="Arial" w:cs="Arial" w:eastAsia="Arial" w:hAnsi="Arial"/>
          <w:color w:val="333333"/>
          <w:sz w:val="19"/>
          <w:szCs w:val="19"/>
        </w:rPr>
        <w:t xml:space="preserve">[14] NVIDIA 8-K filing, Jan 2025; Intel partnership press release, Jan 12, 2025.</w:t>
      </w:r>
    </w:p>
    <w:p>
      <w:pPr>
        <w:spacing w:after="100" w:line="264"/>
      </w:pPr>
      <w:r>
        <w:rPr>
          <w:rFonts w:ascii="Arial" w:cs="Arial" w:eastAsia="Arial" w:hAnsi="Arial"/>
          <w:color w:val="333333"/>
          <w:sz w:val="19"/>
          <w:szCs w:val="19"/>
        </w:rPr>
        <w:t xml:space="preserve">[15] NVIDIA FY2026 10-K, capital return disclosures.</w:t>
      </w:r>
    </w:p>
    <w:p>
      <w:pPr>
        <w:spacing w:after="100" w:line="264"/>
      </w:pPr>
      <w:r>
        <w:rPr>
          <w:rFonts w:ascii="Arial" w:cs="Arial" w:eastAsia="Arial" w:hAnsi="Arial"/>
          <w:color w:val="333333"/>
          <w:sz w:val="19"/>
          <w:szCs w:val="19"/>
        </w:rPr>
        <w:t xml:space="preserve">[16] U.S. Department of Commerce, Bureau of Industry and Security, AI chip export policy update, Jan 13, 2026; AI Overwatch Act, Jan 22, 2026.</w:t>
      </w:r>
    </w:p>
    <w:p>
      <w:pPr>
        <w:spacing w:after="100" w:line="264"/>
      </w:pPr>
      <w:r>
        <w:rPr>
          <w:rFonts w:ascii="Arial" w:cs="Arial" w:eastAsia="Arial" w:hAnsi="Arial"/>
          <w:color w:val="333333"/>
          <w:sz w:val="19"/>
          <w:szCs w:val="19"/>
        </w:rPr>
        <w:t xml:space="preserve">[17] U.S. Treasury, Daily Yield Curve, Mar 7, 2026. 10-year yield: 4.25%.</w:t>
      </w:r>
    </w:p>
    <w:p>
      <w:pPr>
        <w:spacing w:after="100" w:line="264"/>
      </w:pPr>
      <w:r>
        <w:rPr>
          <w:rFonts w:ascii="Arial" w:cs="Arial" w:eastAsia="Arial" w:hAnsi="Arial"/>
          <w:color w:val="333333"/>
          <w:sz w:val="19"/>
          <w:szCs w:val="19"/>
        </w:rPr>
        <w:t xml:space="preserve">[18] Yahoo Finance, NVDA beta (2-year weekly vs. S&amp;P 500), accessed Mar 9, 2026.</w:t>
      </w:r>
    </w:p>
    <w:p>
      <w:pPr>
        <w:spacing w:after="100" w:line="264"/>
      </w:pPr>
      <w:r>
        <w:rPr>
          <w:rFonts w:ascii="Arial" w:cs="Arial" w:eastAsia="Arial" w:hAnsi="Arial"/>
          <w:color w:val="333333"/>
          <w:sz w:val="19"/>
          <w:szCs w:val="19"/>
        </w:rPr>
        <w:t xml:space="preserve">[19] Aswath Damodaran, “Equity Risk Premium,” Jan 2026 update, NYU Stern.</w:t>
      </w:r>
    </w:p>
    <w:p>
      <w:pPr>
        <w:spacing w:after="100" w:line="264"/>
      </w:pPr>
      <w:r>
        <w:rPr>
          <w:rFonts w:ascii="Arial" w:cs="Arial" w:eastAsia="Arial" w:hAnsi="Arial"/>
          <w:color w:val="333333"/>
          <w:sz w:val="19"/>
          <w:szCs w:val="19"/>
        </w:rPr>
        <w:t xml:space="preserve">[20] Author’s comparable company analysis (Section 7.4).</w:t>
      </w:r>
    </w:p>
    <w:p>
      <w:pPr>
        <w:spacing w:after="100" w:line="264"/>
      </w:pPr>
      <w:r>
        <w:rPr>
          <w:rFonts w:ascii="Arial" w:cs="Arial" w:eastAsia="Arial" w:hAnsi="Arial"/>
          <w:color w:val="333333"/>
          <w:sz w:val="19"/>
          <w:szCs w:val="19"/>
        </w:rPr>
        <w:t xml:space="preserve">[21] Author’s confidence-weighted valuation (Section 7.5).</w:t>
      </w:r>
    </w:p>
    <w:p>
      <w:pPr>
        <w:spacing w:after="100" w:line="264"/>
      </w:pPr>
      <w:r>
        <w:rPr>
          <w:rFonts w:ascii="Arial" w:cs="Arial" w:eastAsia="Arial" w:hAnsi="Arial"/>
          <w:color w:val="333333"/>
          <w:sz w:val="19"/>
          <w:szCs w:val="19"/>
        </w:rPr>
        <w:t xml:space="preserve">[22] Yahoo Finance, NVDA price and volume data, accessed Mar 9, 2026; TradingView, NVDA technical indicators.</w:t>
      </w:r>
    </w:p>
    <w:p>
      <w:pPr>
        <w:spacing w:after="100" w:line="264"/>
      </w:pPr>
      <w:r>
        <w:rPr>
          <w:rFonts w:ascii="Arial" w:cs="Arial" w:eastAsia="Arial" w:hAnsi="Arial"/>
          <w:color w:val="333333"/>
          <w:sz w:val="19"/>
          <w:szCs w:val="19"/>
        </w:rPr>
        <w:t xml:space="preserve">[23] Microsoft Azure AI revenue disclosure, Q2 FY2026 earnings call; Google Cloud AI revenue, Q3 2025 earnings.</w:t>
      </w:r>
    </w:p>
    <w:p>
      <w:pPr>
        <w:spacing w:after="100" w:line="264"/>
      </w:pPr>
      <w:r>
        <w:rPr>
          <w:rFonts w:ascii="Arial" w:cs="Arial" w:eastAsia="Arial" w:hAnsi="Arial"/>
          <w:color w:val="333333"/>
          <w:sz w:val="19"/>
          <w:szCs w:val="19"/>
        </w:rPr>
        <w:t xml:space="preserve">[24] CBOE options pricing, NVDA 3-month put estimates, Mar 2026.</w:t>
      </w:r>
    </w:p>
    <w:p>
      <w:pPr>
        <w:spacing w:after="100" w:line="264"/>
      </w:pPr>
      <w:r>
        <w:rPr>
          <w:rFonts w:ascii="Arial" w:cs="Arial" w:eastAsia="Arial" w:hAnsi="Arial"/>
          <w:color w:val="333333"/>
          <w:sz w:val="19"/>
          <w:szCs w:val="19"/>
        </w:rPr>
        <w:t xml:space="preserve">[25] Capital efficiency metrics calculated from NVIDIA FY2024-FY2026 10-K filings; peer ROIC from S&amp;P Capital IQ, accessed Mar 2026.</w:t>
      </w:r>
    </w:p>
    <w:p>
      <w:pPr>
        <w:spacing w:after="100" w:line="264"/>
      </w:pPr>
      <w:r>
        <w:rPr>
          <w:rFonts w:ascii="Arial" w:cs="Arial" w:eastAsia="Arial" w:hAnsi="Arial"/>
          <w:color w:val="333333"/>
          <w:sz w:val="19"/>
          <w:szCs w:val="19"/>
        </w:rPr>
        <w:t xml:space="preserve">[26] WACC components: U.S. Treasury (10Y yield), Yahoo Finance (NVDA beta), Damodaran ERP (Jan 2026). See Appendix A for full derivation.</w:t>
      </w:r>
    </w:p>
    <w:p>
      <w:pPr>
        <w:pStyle w:val="Heading1"/>
        <w:spacing w:after="200" w:before="360"/>
      </w:pPr>
      <w:r>
        <w:rPr>
          <w:rFonts w:ascii="Arial" w:cs="Arial" w:eastAsia="Arial" w:hAnsi="Arial"/>
          <w:b/>
          <w:bCs/>
          <w:color w:val="1B365D"/>
          <w:sz w:val="30"/>
          <w:szCs w:val="30"/>
        </w:rPr>
        <w:t xml:space="preserve">Appendix A: WACC Derivation</w:t>
      </w:r>
    </w:p>
    <w:p>
      <w:pPr>
        <w:spacing w:after="100" w:line="264"/>
      </w:pPr>
      <w:r>
        <w:rPr>
          <w:rFonts w:ascii="Arial" w:cs="Arial" w:eastAsia="Arial" w:hAnsi="Arial"/>
          <w:color w:val="333333"/>
          <w:sz w:val="19"/>
          <w:szCs w:val="19"/>
        </w:rPr>
        <w:t xml:space="preserve">This appendix provides full transparency on the discount rate used in the DCF model. Every sub-component is sourced so the reader can replicate or challenge any input. [26]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160"/>
      </w:tblGrid>
      <w:tr>
        <w:tc>
          <w:tcPr>
            <w:tcW w:type="dxa" w:w="2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10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Value</w:t>
            </w:r>
          </w:p>
        </w:tc>
        <w:tc>
          <w:tcPr>
            <w:tcW w:type="dxa" w:w="61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r>
              <w:rPr>
                <w:rFonts w:ascii="Arial" w:cs="Arial" w:eastAsia="Arial" w:hAnsi="Arial"/>
                <w:b/>
                <w:bCs/>
                <w:color w:val="FFFFFF"/>
                <w:sz w:val="18"/>
                <w:szCs w:val="18"/>
              </w:rPr>
              <w:t xml:space="preserve">Source / Derivation</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Risk-Free Rate (Rf)</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4.25%</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U.S. Treasury 10-Year Yield, Daily Yield Curve, Mar 7, 2026</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Equity Risk Premium (ERP)</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5.00%</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Aswath Damodaran, “Equity Risk Premium,” Jan 2026 update, NYU Stern</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Beta (β, levered)</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1.18</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Yahoo Finance, 2-year weekly returns vs. S&amp;P 500, accessed Mar 9, 2026</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Cost of Equity (Re)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10.15%</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Re = Rf + β × ERP = 4.25% + (1.18 × 5.00%) = 10.15%</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Pre-Tax Cost of Debt (Rd)</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3.50%</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NVIDIA 2026 Senior Notes weighted avg coupon; negligible balance ($10B vs. $4.3T mkt cap)</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Marginal Tax Rate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7.1%</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NVIDIA FY2026 10-K effective tax rate (international structure)</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After-Tax Cost of Debt</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3.25%</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Rd × (1 - Tax Rate) = 3.50% × (1 - 7.1%) = 3.25%</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Equity Weight (E/V)</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99.8%</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Market Cap $4.34T ÷ ($4.34T + $10B debt) = 99.8%</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Debt Weight (D/V)</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0.2%</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$10B debt ÷ ($4.34T + $10B) = 0.2%</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WACC</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10.2%</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(99.8% × 10.15%) + (0.2% × 3.25%) = 10.14% ≈ 10.2%</w:t>
            </w:r>
          </w:p>
        </w:tc>
      </w:tr>
    </w:tbl>
    <w:p>
      <w:pPr>
        <w:spacing w:after="100" w:line="264"/>
      </w:pPr>
      <w:r>
        <w:rPr>
          <w:rFonts w:ascii="Arial" w:cs="Arial" w:eastAsia="Arial" w:hAnsi="Arial"/>
          <w:color w:val="333333"/>
          <w:sz w:val="19"/>
          <w:szCs w:val="19"/>
        </w:rPr>
        <w:t xml:space="preserve"/>
      </w:r>
    </w:p>
    <w:p>
      <w:pPr>
        <w:spacing w:after="100" w:line="264"/>
      </w:pPr>
      <w:r>
        <w:rPr>
          <w:rFonts w:ascii="Arial" w:cs="Arial" w:eastAsia="Arial" w:hAnsi="Arial"/>
          <w:color w:val="333333"/>
          <w:sz w:val="19"/>
          <w:szCs w:val="19"/>
        </w:rPr>
        <w:t xml:space="preserve">Note: NVIDIA’s negligible debt ($10B against a $4.3T market cap) means WACC is effectively equal to the cost of equity. The debt component contributes &lt;0.01pp to the weighted average. If NVIDIA were to take on material leverage (e.g., for a large acquisition), WACC would need to be recalculated with updated capital structure weights.</w:t>
      </w:r>
    </w:p>
    <w:p>
      <w:pPr>
        <w:spacing w:after="100" w:line="264"/>
      </w:pPr>
      <w:r>
        <w:rPr>
          <w:rFonts w:ascii="Arial" w:cs="Arial" w:eastAsia="Arial" w:hAnsi="Arial"/>
          <w:color w:val="333333"/>
          <w:sz w:val="19"/>
          <w:szCs w:val="19"/>
        </w:rPr>
        <w:t xml:space="preserve">Sensitivity to key inputs: A 50bp increase in the risk-free rate (to 4.75%) raises WACC to 10.7% and reduces our DCF-implied value by ~$18/share (-6%). A 0.1 increase in beta (to 1.28) raises WACC to 10.7% with a similar impact. These sensitivities are reflected in the WACC rows of the DCF sensitivity matrix (Section 7.4).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NVIDIA (NVDA) — Investment Thesis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65D"/>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2026-03-12T01:21:50.673Z</dcterms:created>
  <dcterms:modified xsi:type="dcterms:W3CDTF">2026-03-12T01:21:50.674Z</dcterms:modified>
</cp:coreProperties>
</file>

<file path=docProps/custom.xml><?xml version="1.0" encoding="utf-8"?>
<Properties xmlns="http://schemas.openxmlformats.org/officeDocument/2006/custom-properties" xmlns:vt="http://schemas.openxmlformats.org/officeDocument/2006/docPropsVTypes"/>
</file>