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888888"/>
          <w:sz w:val="24"/>
          <w:szCs w:val="24"/>
        </w:rPr>
        <w:t xml:space="preserve">STRUCTURED INVESTMENT THESIS</w:t>
      </w:r>
    </w:p>
    <w:p>
      <w:pPr>
        <w:spacing w:after="60"/>
        <w:jc w:val="center"/>
      </w:pPr>
      <w:r>
        <w:rPr>
          <w:rFonts w:ascii="Arial" w:cs="Arial" w:eastAsia="Arial" w:hAnsi="Arial"/>
          <w:b/>
          <w:bCs/>
          <w:color w:val="1B365D"/>
          <w:sz w:val="52"/>
          <w:szCs w:val="52"/>
        </w:rPr>
        <w:t xml:space="preserve">SoFi Technologies Inc.</w:t>
      </w:r>
    </w:p>
    <w:p>
      <w:pPr>
        <w:spacing w:after="300"/>
        <w:jc w:val="center"/>
      </w:pPr>
      <w:r>
        <w:rPr>
          <w:rFonts w:ascii="Arial" w:cs="Arial" w:eastAsia="Arial" w:hAnsi="Arial"/>
          <w:color w:val="2E5090"/>
          <w:sz w:val="28"/>
          <w:szCs w:val="28"/>
        </w:rPr>
        <w:t xml:space="preserve">NASDAQ: SOFI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
            </w:r>
          </w:p>
        </w:tc>
        <w:tc>
          <w:tcPr>
            <w:tcW w:type="dxa" w:w="468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
            </w:r>
          </w:p>
        </w:tc>
      </w:tr>
      <w:tr>
        <w:tc>
          <w:tcPr>
            <w:tcW w:type="dxa" w:w="4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Recommendation</w:t>
            </w:r>
          </w:p>
        </w:tc>
        <w:tc>
          <w:tcPr>
            <w:tcW w:type="dxa" w:w="4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BUY</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Current Price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$22.00</w:t>
            </w:r>
          </w:p>
        </w:tc>
      </w:tr>
      <w:tr>
        <w:tc>
          <w:tcPr>
            <w:tcW w:type="dxa" w:w="4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Price Target</w:t>
            </w:r>
          </w:p>
        </w:tc>
        <w:tc>
          <w:tcPr>
            <w:tcW w:type="dxa" w:w="4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$32.00</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Upside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+45.5%</w:t>
            </w:r>
          </w:p>
        </w:tc>
      </w:tr>
      <w:tr>
        <w:tc>
          <w:tcPr>
            <w:tcW w:type="dxa" w:w="4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Investment Horizon</w:t>
            </w:r>
          </w:p>
        </w:tc>
        <w:tc>
          <w:tcPr>
            <w:tcW w:type="dxa" w:w="4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 months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Forward P/E (FY26E)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40.0x</w:t>
            </w:r>
          </w:p>
        </w:tc>
      </w:tr>
      <w:tr>
        <w:tc>
          <w:tcPr>
            <w:tcW w:type="dxa" w:w="4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Reward-to-Risk</w:t>
            </w:r>
          </w:p>
        </w:tc>
        <w:tc>
          <w:tcPr>
            <w:tcW w:type="dxa" w:w="4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1.8 : 1</w:t>
            </w:r>
          </w:p>
        </w:tc>
      </w:tr>
    </w:tbl>
    <w:p>
      <w:pPr>
        <w:spacing w:before="400"/>
        <w:jc w:val="center"/>
      </w:pPr>
      <w:r>
        <w:rPr>
          <w:rFonts w:ascii="Arial" w:cs="Arial" w:eastAsia="Arial" w:hAnsi="Arial"/>
          <w:color w:val="888888"/>
          <w:sz w:val="20"/>
          <w:szCs w:val="20"/>
        </w:rPr>
        <w:t xml:space="preserve">March 11, 2026</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65D"/>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Arial" w:cs="Arial" w:eastAsia="Arial" w:hAnsi="Arial"/>
          <w:b/>
          <w:bCs/>
          <w:color w:val="1B365D"/>
          <w:sz w:val="30"/>
          <w:szCs w:val="30"/>
        </w:rPr>
        <w:t xml:space="preserve">1. Executive Summary &amp; Mispricing Thesis</w:t>
      </w:r>
    </w:p>
    <w:p>
      <w:pPr>
        <w:spacing w:after="100" w:line="264"/>
      </w:pPr>
      <w:r>
        <w:rPr>
          <w:rFonts w:ascii="Arial" w:cs="Arial" w:eastAsia="Arial" w:hAnsi="Arial"/>
          <w:color w:val="333333"/>
          <w:sz w:val="19"/>
          <w:szCs w:val="19"/>
        </w:rPr>
        <w:t xml:space="preserve">SoFi Technologies is a digital banking and financial services platform that has evolved beyond its lending-focused origins into a comprehensive fintech ecosystem. </w:t>
      </w:r>
      <w:r>
        <w:rPr>
          <w:rFonts w:ascii="Arial" w:cs="Arial" w:eastAsia="Arial" w:hAnsi="Arial"/>
          <w:b/>
          <w:bCs/>
          <w:color w:val="333333"/>
          <w:sz w:val="19"/>
          <w:szCs w:val="19"/>
        </w:rPr>
        <w:t xml:space="preserve">We initiate with a BUY recommendation and a 12-month price target of $32.00, representing 45% upside from current levels of $22.</w:t>
      </w:r>
      <w:r>
        <w:rPr>
          <w:rFonts w:ascii="Arial" w:cs="Arial" w:eastAsia="Arial" w:hAnsi="Arial"/>
          <w:color w:val="333333"/>
          <w:sz w:val="19"/>
          <w:szCs w:val="19"/>
        </w:rPr>
        <w:t xml:space="preserve"> The market is mispricing SOFI by applying lending company multiples (~10-12x earnings) to a business that is rapidly becoming a digital banking platform with significant SaaS characteristics. The Financial Services segment (deposits, investing, credit cards) grew 78% in Q4 FY25 and now generates higher margins than lending. The Technology Platform (Galileo/Technisys) is a B2B fintech infrastructure play trading at a massive discount despite SaaS-like unit economics. The critical mispricing is in segment mix: the market values the entire company on lending when 45%+ of FY27 revenue will derive from higher-margin financial services and tech platform businesses that deserve 25-40x multiples. [1]</w:t>
      </w:r>
    </w:p>
    <w:p>
      <w:pPr>
        <w:spacing w:after="100" w:line="264"/>
      </w:pPr>
      <w:r>
        <w:rPr>
          <w:rFonts w:ascii="Arial" w:cs="Arial" w:eastAsia="Arial" w:hAnsi="Arial"/>
          <w:color w:val="333333"/>
          <w:sz w:val="19"/>
          <w:szCs w:val="19"/>
        </w:rPr>
        <w:t xml:space="preserve">Our base case projects FY26 guidance of $4.66B revenue (+30% YoY) and adjusted EPS of $0.60. At the current $22 price, SOFI trades at 36.7x FY26E EPS—extended on a 1-year basis, but our thesis hinges on the FY27 re-rating as segment mix shifts and profitability accelerates. FY27E EPS of $0.90 at a 35x terminal multiple (sum-of-parts justified) implies a $31.50 fair value, with $32.00 representing near-term momentum target. [2]</w:t>
      </w:r>
    </w:p>
    <w:p>
      <w:pPr>
        <w:spacing w:after="100" w:line="264"/>
      </w:pPr>
      <w:r>
        <w:rPr>
          <w:rFonts w:ascii="Arial" w:cs="Arial" w:eastAsia="Arial" w:hAnsi="Arial"/>
          <w:color w:val="333333"/>
          <w:sz w:val="19"/>
          <w:szCs w:val="19"/>
        </w:rPr>
        <w:t xml:space="preserve">The reward-to-risk profile is 1.8:1: probability-weighted upside of $10 (45%) versus probability-weighted downside of $8 (36%). Key mitigants: (a) the bank charter obtained in 2022 provides a structural deposit-funding advantage over peer fintechs; (b) 9 consecutive quarters of GAAP profitability demonstrate margin improvement trajectory; (c) rapid member growth (13.7M, +35% YoY) and product diversification (20+ products) create cross-sell flywheel. [3]</w:t>
      </w:r>
    </w:p>
    <w:p>
      <w:pPr>
        <w:spacing w:after="100" w:line="264"/>
      </w:pPr>
      <w:r>
        <w:rPr>
          <w:rFonts w:ascii="Arial" w:cs="Arial" w:eastAsia="Arial" w:hAnsi="Arial"/>
          <w:color w:val="333333"/>
          <w:sz w:val="19"/>
          <w:szCs w:val="19"/>
        </w:rPr>
        <w:t xml:space="preserve">Key risks: credit cycle deterioration (high severity, 30% prob—mitigated by tightened underwriting and high-FICO borrower profile), deposit competition (medium, 35%—mitigated by cross-sell), regulatory constraints on bank charter (medium, 25%), and valuation premium sustainability (medium, 40%—mitigated by EPS growth of 50%+ in FY26).</w:t>
      </w:r>
    </w:p>
    <w:p>
      <w:r>
        <w:br w:type="page"/>
      </w:r>
    </w:p>
    <w:p>
      <w:pPr>
        <w:pStyle w:val="Heading1"/>
        <w:spacing w:after="200" w:before="360"/>
      </w:pPr>
      <w:r>
        <w:rPr>
          <w:rFonts w:ascii="Arial" w:cs="Arial" w:eastAsia="Arial" w:hAnsi="Arial"/>
          <w:b/>
          <w:bCs/>
          <w:color w:val="1B365D"/>
          <w:sz w:val="30"/>
          <w:szCs w:val="30"/>
        </w:rPr>
        <w:t xml:space="preserve">2. Market Opportunity &amp; Unit Economics</w:t>
      </w:r>
    </w:p>
    <w:p>
      <w:pPr>
        <w:pStyle w:val="Heading2"/>
        <w:spacing w:after="120" w:before="200"/>
      </w:pPr>
      <w:r>
        <w:rPr>
          <w:rFonts w:ascii="Arial" w:cs="Arial" w:eastAsia="Arial" w:hAnsi="Arial"/>
          <w:b/>
          <w:bCs/>
          <w:color w:val="2E5090"/>
          <w:sz w:val="24"/>
          <w:szCs w:val="24"/>
        </w:rPr>
        <w:t xml:space="preserve">Market Sizing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2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Estimate</w:t>
            </w:r>
          </w:p>
        </w:tc>
        <w:tc>
          <w:tcPr>
            <w:tcW w:type="dxa" w:w="33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Source</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TAM: Digital Banking + Fintech Platform</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$600B+ by 2030</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McKinsey, Statista digital banking forecasts [4]</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SAM: U.S. Digital Banking + Investing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$350B by 2030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Digital channel adoption by U.S. adults 18-65</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SOM: SOFI Capture Potential</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~3-5% share</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Implies $10.5-17.5B revenue by 2030</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Implied SOFI Rev at SOM</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~$12-15B by 2030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From $4.66B FY26E base</w:t>
            </w:r>
          </w:p>
        </w:tc>
      </w:tr>
    </w:tbl>
    <w:p>
      <w:pPr>
        <w:spacing w:after="100" w:line="264"/>
      </w:pPr>
      <w:r>
        <w:rPr>
          <w:rFonts w:ascii="Arial" w:cs="Arial" w:eastAsia="Arial" w:hAnsi="Arial"/>
          <w:color w:val="333333"/>
          <w:sz w:val="19"/>
          <w:szCs w:val="19"/>
        </w:rPr>
        <w:t xml:space="preserve"/>
      </w:r>
    </w:p>
    <w:p>
      <w:pPr>
        <w:spacing w:after="100" w:line="264"/>
      </w:pPr>
      <w:r>
        <w:rPr>
          <w:rFonts w:ascii="Arial" w:cs="Arial" w:eastAsia="Arial" w:hAnsi="Arial"/>
          <w:color w:val="333333"/>
          <w:sz w:val="19"/>
          <w:szCs w:val="19"/>
        </w:rPr>
        <w:t xml:space="preserve">SOFI's addressable market is not narrowly defined lending—it is the entire ecosystem of digital financial services for millennials and Gen Z. The TAM encompasses lending ($200B), deposits/wealth management ($250B), investing/trading ($80B), credit products ($50B), and insurance ($20B). SOFI's current revenue ($4.66B in FY26E) represents &lt;1% penetration of the broader TAM, leaving enormous runway. Unlike Lending Club or Upstart (pure lending plays), SOFI can penetrate TAM via multiple channels: credit products (credit cards are now live), deposits (generated $3B+ deposits in FY25 [5]), and investing/trading (SoFi Invest platform). [6]</w:t>
      </w:r>
    </w:p>
    <w:p>
      <w:pPr>
        <w:spacing w:after="100" w:line="264"/>
      </w:pPr>
      <w:r>
        <w:rPr>
          <w:rFonts w:ascii="Arial" w:cs="Arial" w:eastAsia="Arial" w:hAnsi="Arial"/>
          <w:color w:val="333333"/>
          <w:sz w:val="19"/>
          <w:szCs w:val="19"/>
        </w:rPr>
        <w:t xml:space="preserve">The growth driver decomposition reveals secular tailwinds. Near-term (FY26-27), growth is driven by lending originations (Q4 FY25: $10.5B, +46% YoY) and member acquisition from legacy products. Medium-term (FY27-28), the driver shifts to Financial Services mix expansion (deposits, credit cards, insurance) which carry 60%+ gross margins—far higher than lending's 40-50% margins. Enterprise-scale (FY29-31), the Technology Platform (Galileo/Technisys) becomes a growth engine: Galileo processes $500B+ in transactions annually for external banks, a B2B SaaS-like business with 60-70% gross margins that is largely invisible to equity investors. [7]</w:t>
      </w:r>
    </w:p>
    <w:p>
      <w:pPr>
        <w:pStyle w:val="Heading2"/>
        <w:spacing w:after="120" w:before="200"/>
      </w:pPr>
      <w:r>
        <w:rPr>
          <w:rFonts w:ascii="Arial" w:cs="Arial" w:eastAsia="Arial" w:hAnsi="Arial"/>
          <w:b/>
          <w:bCs/>
          <w:color w:val="2E5090"/>
          <w:sz w:val="24"/>
          <w:szCs w:val="24"/>
        </w:rPr>
        <w:t xml:space="preserve">Unit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800"/>
        <w:gridCol w:w="1560"/>
      </w:tblGrid>
      <w:tr>
        <w:tc>
          <w:tcPr>
            <w:tcW w:type="dxa" w:w="24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FY25 Actual</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FY26E</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FY27E</w:t>
            </w:r>
          </w:p>
        </w:tc>
        <w:tc>
          <w:tcPr>
            <w:tcW w:type="dxa" w:w="15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Trend</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Avg Loan Size (Lending Segment)</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~$25,000</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~$26,000</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~$27,500</w:t>
            </w:r>
          </w:p>
        </w:tc>
        <w:tc>
          <w:tcPr>
            <w:tcW w:type="dxa" w:w="1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Modest growth from higher underwriting standards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Members (Total)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13.7M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16.0M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19.0M</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Growing +35% YoY; cross-sell flywheel</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Products per Member</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1.8</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2.1</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2.5</w:t>
            </w:r>
          </w:p>
        </w:tc>
        <w:tc>
          <w:tcPr>
            <w:tcW w:type="dxa" w:w="1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Deposits + Invest + Lending + Credit Card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Lending Margin (Yield - Losses - Funding)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~46%</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Improving as deposits grow and NIM widens</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Financial Services Gross Margin</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~58%</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~62%</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~68%</w:t>
            </w:r>
          </w:p>
        </w:tc>
        <w:tc>
          <w:tcPr>
            <w:tcW w:type="dxa" w:w="1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Mix shift to deposits (higher margin) from lending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Technology Platform Gross Margin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~72%</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SaaS-like economics from Galileo scaling</w:t>
            </w:r>
          </w:p>
        </w:tc>
      </w:tr>
    </w:tbl>
    <w:p>
      <w:pPr>
        <w:spacing w:after="100" w:line="264"/>
      </w:pPr>
      <w:r>
        <w:rPr>
          <w:rFonts w:ascii="Arial" w:cs="Arial" w:eastAsia="Arial" w:hAnsi="Arial"/>
          <w:color w:val="333333"/>
          <w:sz w:val="19"/>
          <w:szCs w:val="19"/>
        </w:rPr>
        <w:t xml:space="preserve"/>
      </w:r>
    </w:p>
    <w:p>
      <w:pPr>
        <w:spacing w:after="100" w:line="264"/>
      </w:pPr>
      <w:r>
        <w:rPr>
          <w:rFonts w:ascii="Arial" w:cs="Arial" w:eastAsia="Arial" w:hAnsi="Arial"/>
          <w:color w:val="333333"/>
          <w:sz w:val="19"/>
          <w:szCs w:val="19"/>
        </w:rPr>
        <w:t xml:space="preserve">Revenue reconciliation: FY26E guidance is $4.66B. Mix: Lending $1.8B (39%), Financial Services $1.5B (32%), Technology Platform $600M (13%), Corporate/Other $760M (16%). By FY27E, we project: Lending $2.2B (+23%), Financial Services $2.1B (+40%), Tech Platform $720M (+20%) = $5.6B total, representing blended growth of +20%. The key insight is that high-growth segments (Financial Services +40%, Tech Platform +20%) are faster-growing than mature lending (+23%) and carry higher margins. This mix shift is not priced into the consensus valuation, which applies lending multiples across the board. [8]</w:t>
      </w:r>
    </w:p>
    <w:p>
      <w:pPr>
        <w:spacing w:after="100" w:line="264"/>
      </w:pPr>
      <w:r>
        <w:rPr>
          <w:rFonts w:ascii="Arial" w:cs="Arial" w:eastAsia="Arial" w:hAnsi="Arial"/>
          <w:color w:val="333333"/>
          <w:sz w:val="19"/>
          <w:szCs w:val="19"/>
        </w:rPr>
        <w:t xml:space="preserve">Two dynamics drive unit economics. First, the deposit base is growing rapidly (now $10B+ in FY25, vs. $0 in 2021) and carries negative cost—SOFI pays depositors ~4% annually while funding loans at 8-12% rates. As deposits grow from 30% of funding to 60%+ by FY27, the net interest margin (NIM) widens and lending profitability improves. This is a structural moat: legacy lending platforms (Upgrade, Earnin) cannot match SOFI's deposit-funded advantages. Second, the cross-sell flywheel is just beginning. Members who use 3+ products have 10x lower churn than single-product users. [9] With average products/member currently at 1.8 and technology enabling rapid cross-sell (investing, credit cards, insurance), lifetime value (LTV) per member is expanding 30%+ annually. On a per-member basis, revenue per member grew from $180 (FY24) to $340 (FY25 estimate), and should reach $500-600 by FY27 as cross-sell penetration deepens.</w:t>
      </w:r>
    </w:p>
    <w:p>
      <w:r>
        <w:br w:type="page"/>
      </w:r>
    </w:p>
    <w:p>
      <w:pPr>
        <w:pStyle w:val="Heading1"/>
        <w:spacing w:after="200" w:before="360"/>
      </w:pPr>
      <w:r>
        <w:rPr>
          <w:rFonts w:ascii="Arial" w:cs="Arial" w:eastAsia="Arial" w:hAnsi="Arial"/>
          <w:b/>
          <w:bCs/>
          <w:color w:val="1B365D"/>
          <w:sz w:val="30"/>
          <w:szCs w:val="30"/>
        </w:rPr>
        <w:t xml:space="preserve">3. Business Overview &amp; Competitive Moats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1200"/>
        <w:gridCol w:w="1600"/>
        <w:gridCol w:w="2560"/>
      </w:tblGrid>
      <w:tr>
        <w:tc>
          <w:tcPr>
            <w:tcW w:type="dxa" w:w="2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Segment</w:t>
            </w:r>
          </w:p>
        </w:tc>
        <w:tc>
          <w:tcPr>
            <w:tcW w:type="dxa" w:w="1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FY25 Rev</w:t>
            </w:r>
          </w:p>
        </w:tc>
        <w:tc>
          <w:tcPr>
            <w:tcW w:type="dxa" w:w="1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 Total</w:t>
            </w:r>
          </w:p>
        </w:tc>
        <w:tc>
          <w:tcPr>
            <w:tcW w:type="dxa" w:w="12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Growth</w:t>
            </w:r>
          </w:p>
        </w:tc>
        <w:tc>
          <w:tcPr>
            <w:tcW w:type="dxa" w:w="1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Gross Margin</w:t>
            </w:r>
          </w:p>
        </w:tc>
        <w:tc>
          <w:tcPr>
            <w:tcW w:type="dxa" w:w="25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Trend</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Lending</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$1.80B</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50%</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+24%</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~44%</w:t>
            </w:r>
          </w:p>
        </w:tc>
        <w:tc>
          <w:tcPr>
            <w:tcW w:type="dxa" w:w="2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Slowing (mature channel)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Financial Services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$1.20B</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Accelerating (deposits + investing)</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Technology Platform</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$480M</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13%</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+19%</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~66%</w:t>
            </w:r>
          </w:p>
        </w:tc>
        <w:tc>
          <w:tcPr>
            <w:tcW w:type="dxa" w:w="2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Stable growth (Galileo infrastructure)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Corporate &amp; Other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$150M</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Overhead</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Total</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$3.63B</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100%</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+38%</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~52%</w:t>
            </w:r>
          </w:p>
        </w:tc>
        <w:tc>
          <w:tcPr>
            <w:tcW w:type="dxa" w:w="2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w:r>
          </w:p>
        </w:tc>
      </w:tr>
    </w:tbl>
    <w:p>
      <w:pPr>
        <w:spacing w:after="100" w:line="264"/>
      </w:pPr>
      <w:r>
        <w:rPr>
          <w:rFonts w:ascii="Arial" w:cs="Arial" w:eastAsia="Arial" w:hAnsi="Arial"/>
          <w:color w:val="333333"/>
          <w:sz w:val="19"/>
          <w:szCs w:val="19"/>
        </w:rPr>
        <w:t xml:space="preserve"/>
      </w:r>
    </w:p>
    <w:p>
      <w:pPr>
        <w:pStyle w:val="Heading2"/>
        <w:spacing w:after="120" w:before="200"/>
      </w:pPr>
      <w:r>
        <w:rPr>
          <w:rFonts w:ascii="Arial" w:cs="Arial" w:eastAsia="Arial" w:hAnsi="Arial"/>
          <w:b/>
          <w:bCs/>
          <w:color w:val="2E5090"/>
          <w:sz w:val="24"/>
          <w:szCs w:val="24"/>
        </w:rPr>
        <w:t xml:space="preserve">Moats (Quantified)</w:t>
      </w:r>
    </w:p>
    <w:p>
      <w:pPr>
        <w:spacing w:after="100" w:line="264"/>
      </w:pPr>
      <w:r>
        <w:rPr>
          <w:rFonts w:ascii="Arial" w:cs="Arial" w:eastAsia="Arial" w:hAnsi="Arial"/>
          <w:b/>
          <w:bCs/>
          <w:color w:val="333333"/>
          <w:sz w:val="19"/>
          <w:szCs w:val="19"/>
        </w:rPr>
        <w:t xml:space="preserve">Bank Charter: </w:t>
      </w:r>
      <w:r>
        <w:rPr>
          <w:rFonts w:ascii="Arial" w:cs="Arial" w:eastAsia="Arial" w:hAnsi="Arial"/>
          <w:color w:val="333333"/>
          <w:sz w:val="19"/>
          <w:szCs w:val="19"/>
        </w:rPr>
        <w:t xml:space="preserve">SOFI obtained a national bank charter in 2022 [10], a structural advantage over Lending Club, SoFi (Fiserv-powered), and Upstart. The charter enables direct deposit funding at near-zero cost versus wholesale funding (bonds, securitizations) at 5-6%. As SOFI's deposit base scales from $10B to $30B+ by FY27, the cost-of-funds advantage vs. non-bank fintechs compounds. Quantified: each $1B in deposits at 4% vs. wholesale funding at 5.5% = $15M annual funding advantage. At $30B deposits by 2027, this moat is worth $450M+ in net interest income annually.</w:t>
      </w:r>
    </w:p>
    <w:p>
      <w:pPr>
        <w:spacing w:after="100" w:line="264"/>
      </w:pPr>
      <w:r>
        <w:rPr>
          <w:rFonts w:ascii="Arial" w:cs="Arial" w:eastAsia="Arial" w:hAnsi="Arial"/>
          <w:b/>
          <w:bCs/>
          <w:color w:val="333333"/>
          <w:sz w:val="19"/>
          <w:szCs w:val="19"/>
        </w:rPr>
        <w:t xml:space="preserve">Member Lock-In via Cross-Sell: </w:t>
      </w:r>
      <w:r>
        <w:rPr>
          <w:rFonts w:ascii="Arial" w:cs="Arial" w:eastAsia="Arial" w:hAnsi="Arial"/>
          <w:color w:val="333333"/>
          <w:sz w:val="19"/>
          <w:szCs w:val="19"/>
        </w:rPr>
        <w:t xml:space="preserve">Members using 3+ products have 10x lower 12-month churn (2% vs. 20%) [11]. SOFI now has 13.7M members with 1.8 products/member on average. As credit cards, insurance, and brokerage scale adoption, moving the average to 2.5-3.0 products/member creates substantial switching costs. A member with deposits, loans, investing, and insurance at SOFI faces $5K-10K friction to migrate—sufficient to lock in base.</w:t>
      </w:r>
    </w:p>
    <w:p>
      <w:pPr>
        <w:spacing w:after="100" w:line="264"/>
      </w:pPr>
      <w:r>
        <w:rPr>
          <w:rFonts w:ascii="Arial" w:cs="Arial" w:eastAsia="Arial" w:hAnsi="Arial"/>
          <w:b/>
          <w:bCs/>
          <w:color w:val="333333"/>
          <w:sz w:val="19"/>
          <w:szCs w:val="19"/>
        </w:rPr>
        <w:t xml:space="preserve">Galileo/Technisys Platform: </w:t>
      </w:r>
      <w:r>
        <w:rPr>
          <w:rFonts w:ascii="Arial" w:cs="Arial" w:eastAsia="Arial" w:hAnsi="Arial"/>
          <w:color w:val="333333"/>
          <w:sz w:val="19"/>
          <w:szCs w:val="19"/>
        </w:rPr>
        <w:t xml:space="preserve">SOFI's Technology Platform generated $480M FY25 revenue, up 19% YoY. Galileo processes $500B+ in transactions annually for 300+ external financial institutions, creating a B2B SaaS dynamic. Network effects: each new customer adds value to existing customers. Churn is negligible (&gt;95% gross retention). This segment deserves a SaaS multiple (25-35x earnings) but is valued by the market as a cost center. Therein lies the arbitrage. [12]</w:t>
      </w:r>
    </w:p>
    <w:p>
      <w:pPr>
        <w:spacing w:after="100" w:line="264"/>
      </w:pPr>
      <w:r>
        <w:rPr>
          <w:rFonts w:ascii="Arial" w:cs="Arial" w:eastAsia="Arial" w:hAnsi="Arial"/>
          <w:b/>
          <w:bCs/>
          <w:color w:val="333333"/>
          <w:sz w:val="19"/>
          <w:szCs w:val="19"/>
        </w:rPr>
        <w:t xml:space="preserve">Member Growth + Brand: </w:t>
      </w:r>
      <w:r>
        <w:rPr>
          <w:rFonts w:ascii="Arial" w:cs="Arial" w:eastAsia="Arial" w:hAnsi="Arial"/>
          <w:color w:val="333333"/>
          <w:sz w:val="19"/>
          <w:szCs w:val="19"/>
        </w:rPr>
        <w:t xml:space="preserve">13.7M members growing 35% YoY, and brand awareness among &lt;35 demographic reached 62% in 2025 (vs. 8% in 2019). This is a secular advantage: SOFI owns the mindshare of a generation. Acquisition cost (CAC) is declining toward $80-100/member from $250+ in 2020, while lifetime value is inflecting upward. This creates a virtuous cycle for growth at diminishing customer acquisition cost.</w:t>
      </w:r>
    </w:p>
    <w:p>
      <w:pPr>
        <w:spacing w:after="100" w:line="264"/>
      </w:pPr>
      <w:r>
        <w:rPr>
          <w:rFonts w:ascii="Arial" w:cs="Arial" w:eastAsia="Arial" w:hAnsi="Arial"/>
          <w:color w:val="333333"/>
          <w:sz w:val="19"/>
          <w:szCs w:val="19"/>
        </w:rPr>
        <w:t xml:space="preserve">Product roadmap: SOFI is systematically adding products aligned with member lifecycle. Credit card launched Q2 2025 with 300K+ applications. Insurance partnerships (auto, home) launching 2026. This modular approach to TAM expansion is more sustainable than pure lending growth and creates cross-sell vectors that are impossible for pure-play lenders to replicate.</w:t>
      </w:r>
    </w:p>
    <w:p>
      <w:r>
        <w:br w:type="page"/>
      </w:r>
    </w:p>
    <w:p>
      <w:pPr>
        <w:pStyle w:val="Heading1"/>
        <w:spacing w:after="200" w:before="360"/>
      </w:pPr>
      <w:r>
        <w:rPr>
          <w:rFonts w:ascii="Arial" w:cs="Arial" w:eastAsia="Arial" w:hAnsi="Arial"/>
          <w:b/>
          <w:bCs/>
          <w:color w:val="1B365D"/>
          <w:sz w:val="30"/>
          <w:szCs w:val="30"/>
        </w:rPr>
        <w:t xml:space="preserve">4. Competitive Landscape</w:t>
      </w:r>
    </w:p>
    <w:p>
      <w:pPr>
        <w:spacing w:after="100" w:line="264"/>
      </w:pPr>
      <w:r>
        <w:rPr>
          <w:rFonts w:ascii="Arial" w:cs="Arial" w:eastAsia="Arial" w:hAnsi="Arial"/>
          <w:color w:val="333333"/>
          <w:sz w:val="19"/>
          <w:szCs w:val="19"/>
        </w:rPr>
        <w:t xml:space="preserve">We segment SOFI's competitive set into three categories: legacy fintech lenders, digital banking platforms, and big bank digital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1600"/>
        <w:gridCol w:w="1560"/>
      </w:tblGrid>
      <w:tr>
        <w:tc>
          <w:tcPr>
            <w:tcW w:type="dxa" w:w="14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Company</w:t>
            </w:r>
          </w:p>
        </w:tc>
        <w:tc>
          <w:tcPr>
            <w:tcW w:type="dxa" w:w="1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Business Model</w:t>
            </w:r>
          </w:p>
        </w:tc>
        <w:tc>
          <w:tcPr>
            <w:tcW w:type="dxa" w:w="1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Strategy</w:t>
            </w:r>
          </w:p>
        </w:tc>
        <w:tc>
          <w:tcPr>
            <w:tcW w:type="dxa" w:w="1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Weakness</w:t>
            </w:r>
          </w:p>
        </w:tc>
        <w:tc>
          <w:tcPr>
            <w:tcW w:type="dxa" w:w="15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Risk Level</w:t>
            </w:r>
          </w:p>
        </w:tc>
      </w:tr>
      <w:tr>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Upstart</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AI lending marketplace</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Partner-driven loans (no origination)</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No deposits, no diversification, pure lending multiple</w:t>
            </w:r>
          </w:p>
        </w:tc>
        <w:tc>
          <w:tcPr>
            <w:tcW w:type="dxa" w:w="1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Low threat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Lending Club</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Peer-to-peer marketplace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Loan origination + servicing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No deposits, declining growth, 15% EBITDA margins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Low threat</w:t>
            </w:r>
          </w:p>
        </w:tc>
      </w:tr>
      <w:tr>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Nu (NU)</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Digital bank (LatAm focus)</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Deposits + lending + investing</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Geographic limit (LatAm), different regulatory environment</w:t>
            </w:r>
          </w:p>
        </w:tc>
        <w:tc>
          <w:tcPr>
            <w:tcW w:type="dxa" w:w="1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Medium threat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Block/Square (SQ)</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Fintech ecosystem</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Payments + lending + banking services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Fragmented product, no cohesive banking experience, high burn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Medium threat</w:t>
            </w:r>
          </w:p>
        </w:tc>
      </w:tr>
      <w:tr>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Robinhood (HOOD)</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Investment platform + banking</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Investing + stock lending + cash management</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Capital-light model, low retention, regulatory scrutiny</w:t>
            </w:r>
          </w:p>
        </w:tc>
        <w:tc>
          <w:tcPr>
            <w:tcW w:type="dxa" w:w="1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Medium threat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JPMorgan/Goldman Sachs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Big bank digital channels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Web/mobile + banking (legacy)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Incumbent inertia, poor UX, regulatory constraints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Low threat</w:t>
            </w:r>
          </w:p>
        </w:tc>
      </w:tr>
    </w:tbl>
    <w:p>
      <w:pPr>
        <w:spacing w:after="100" w:line="264"/>
      </w:pPr>
      <w:r>
        <w:rPr>
          <w:rFonts w:ascii="Arial" w:cs="Arial" w:eastAsia="Arial" w:hAnsi="Arial"/>
          <w:color w:val="333333"/>
          <w:sz w:val="19"/>
          <w:szCs w:val="19"/>
        </w:rPr>
        <w:t xml:space="preserve"/>
      </w:r>
    </w:p>
    <w:p>
      <w:pPr>
        <w:spacing w:after="100" w:line="264"/>
      </w:pPr>
      <w:r>
        <w:rPr>
          <w:rFonts w:ascii="Arial" w:cs="Arial" w:eastAsia="Arial" w:hAnsi="Arial"/>
          <w:color w:val="333333"/>
          <w:sz w:val="19"/>
          <w:szCs w:val="19"/>
        </w:rPr>
        <w:t xml:space="preserve">SOFI's competitive position is defensible because it combines three elements that are hard to replicate: (1) a bank charter enabling deposit funding, (2) a cohesive member platform with multiple product categories, and (3) 13.7M engaged members with high cross-sell velocity. Upstart and Lending Club are pure lending plays and cannot diversify into deposits or financial services without years of infrastructure builds. Nu has deposits and a strong fintech model but is geographically constrained to Latin America. Robinhood and Block have diversified product sets but lack the banking infrastructure (deposits, lending maturity, institutional partnerships) that SOFI possesses. Big banks have deposits and scale but are encumbered by legacy technology, high cost structures, and regulatory constraints that prevent them from matching SOFI's member experience. [13]</w:t>
      </w:r>
    </w:p>
    <w:p>
      <w:pPr>
        <w:spacing w:after="100" w:line="264"/>
      </w:pPr>
      <w:r>
        <w:rPr>
          <w:rFonts w:ascii="Arial" w:cs="Arial" w:eastAsia="Arial" w:hAnsi="Arial"/>
          <w:color w:val="333333"/>
          <w:sz w:val="19"/>
          <w:szCs w:val="19"/>
        </w:rPr>
        <w:t xml:space="preserve">The AI/automation threat is real but overblown. If Upstart's AI underwriting becomes commoditized, SOFI's response is straightforward: integrate Upstart's API or develop in-house AI models. SOFI's advantage is not proprietary AI—it is member relationships and cross-sell velocity. AI impacts the cost structure of origination, not the stickiness of the customer. [14]</w:t>
      </w:r>
    </w:p>
    <w:p>
      <w:pPr>
        <w:spacing w:after="100" w:line="264"/>
      </w:pPr>
      <w:r>
        <w:rPr>
          <w:rFonts w:ascii="Arial" w:cs="Arial" w:eastAsia="Arial" w:hAnsi="Arial"/>
          <w:color w:val="333333"/>
          <w:sz w:val="19"/>
          <w:szCs w:val="19"/>
        </w:rPr>
        <w:t xml:space="preserve">A nuanced competitive point: in the near term (FY26-27), SOFI faces share loss from big banks launching digital banking products (JPM, Goldman, BofA). But this is a rising-tide phenomenon: as millennials + Gen Z shift to digital banking, total market expands faster than share loss. SOFI's 35% member growth outpaces industry growth of 10-15%, meaning SOFI is taking share even in a competitive environment.</w:t>
      </w:r>
    </w:p>
    <w:p>
      <w:r>
        <w:br w:type="page"/>
      </w:r>
    </w:p>
    <w:p>
      <w:pPr>
        <w:pStyle w:val="Heading1"/>
        <w:spacing w:after="200" w:before="360"/>
      </w:pPr>
      <w:r>
        <w:rPr>
          <w:rFonts w:ascii="Arial" w:cs="Arial" w:eastAsia="Arial" w:hAnsi="Arial"/>
          <w:b/>
          <w:bCs/>
          <w:color w:val="1B365D"/>
          <w:sz w:val="30"/>
          <w:szCs w:val="30"/>
        </w:rPr>
        <w:t xml:space="preserve">5. Management &amp;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400"/>
        <w:gridCol w:w="2560"/>
      </w:tblGrid>
      <w:tr>
        <w:tc>
          <w:tcPr>
            <w:tcW w:type="dxa" w:w="2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Executive</w:t>
            </w:r>
          </w:p>
        </w:tc>
        <w:tc>
          <w:tcPr>
            <w:tcW w:type="dxa" w:w="14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Tenure</w:t>
            </w:r>
          </w:p>
        </w:tc>
        <w:tc>
          <w:tcPr>
            <w:tcW w:type="dxa" w:w="34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Key Achievement</w:t>
            </w:r>
          </w:p>
        </w:tc>
        <w:tc>
          <w:tcPr>
            <w:tcW w:type="dxa" w:w="25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Concern</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Anthony Noto, CEO</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 yrs</w:t>
            </w:r>
          </w:p>
        </w:tc>
        <w:tc>
          <w:tcPr>
            <w:tcW w:type="dxa" w:w="3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Pivoted from lending-only to diversified fintech platform; secured bank charter</w:t>
            </w:r>
          </w:p>
        </w:tc>
        <w:tc>
          <w:tcPr>
            <w:tcW w:type="dxa" w:w="2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Execution risk on new products (credit card, insurance)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Chris Lapointe, CFO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 yrs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Improved unit economics, achieved GAAP profitability</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Limited track record managing rapid growth</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Katherine Ong, Chief Product Officer</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 yrs</w:t>
            </w:r>
          </w:p>
        </w:tc>
        <w:tc>
          <w:tcPr>
            <w:tcW w:type="dxa" w:w="3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Launched deposits (2021), investing (2020), credit card (2025)</w:t>
            </w:r>
          </w:p>
        </w:tc>
        <w:tc>
          <w:tcPr>
            <w:tcW w:type="dxa" w:w="2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None identified</w:t>
            </w:r>
          </w:p>
        </w:tc>
      </w:tr>
    </w:tbl>
    <w:p>
      <w:pPr>
        <w:spacing w:after="100" w:line="264"/>
      </w:pPr>
      <w:r>
        <w:rPr>
          <w:rFonts w:ascii="Arial" w:cs="Arial" w:eastAsia="Arial" w:hAnsi="Arial"/>
          <w:color w:val="333333"/>
          <w:sz w:val="19"/>
          <w:szCs w:val="19"/>
        </w:rPr>
        <w:t xml:space="preserve"/>
      </w:r>
    </w:p>
    <w:p>
      <w:pPr>
        <w:spacing w:after="100" w:line="264"/>
      </w:pPr>
      <w:r>
        <w:rPr>
          <w:rFonts w:ascii="Arial" w:cs="Arial" w:eastAsia="Arial" w:hAnsi="Arial"/>
          <w:color w:val="333333"/>
          <w:sz w:val="19"/>
          <w:szCs w:val="19"/>
        </w:rPr>
        <w:t xml:space="preserve">Compensation is equity-heavy, aligning management with shareholders. Noto's total comp is ~80% equity, and the executive team holds $2B+ in unvested RSUs tied to multi-year milestones. SOFI returned minimal capital to shareholders in FY25 ($0 buybacks, $0 dividends), prioritizing reinvestment in growth—appropriate for a high-growth fintech. [15] Insider transactions show no unusual selling; Noto's transactions have been minimal, indicating confidence in the business.</w:t>
      </w:r>
    </w:p>
    <w:p>
      <w:pPr>
        <w:spacing w:after="100" w:line="264"/>
      </w:pPr>
      <w:r>
        <w:rPr>
          <w:rFonts w:ascii="Arial" w:cs="Arial" w:eastAsia="Arial" w:hAnsi="Arial"/>
          <w:color w:val="333333"/>
          <w:sz w:val="19"/>
          <w:szCs w:val="19"/>
        </w:rPr>
        <w:t xml:space="preserve">The primary governance strength is Noto's track record. He inherited a lending-focused company and systematically diversified it into deposits (2021), investing (2020), and credit cards (2025). The bank charter acquisition in 2022 required navigating complex regulatory environments and demonstrated his ability to execute on transformational initiatives. Board composition: 10 of 13 directors are independent, including technology and fintech veterans. The board includes two former CEOs (Jemileh Mahmood from Bursa Malaysia, Carla Harris from Morgan Stanley), adding relevant experience. [16]</w:t>
      </w:r>
    </w:p>
    <w:p>
      <w:pPr>
        <w:spacing w:after="100" w:line="264"/>
      </w:pPr>
      <w:r>
        <w:rPr>
          <w:rFonts w:ascii="Arial" w:cs="Arial" w:eastAsia="Arial" w:hAnsi="Arial"/>
          <w:color w:val="333333"/>
          <w:sz w:val="19"/>
          <w:szCs w:val="19"/>
        </w:rPr>
        <w:t xml:space="preserve">Risk: Noto is 57 years old with no named successor. However, given the clear strategic roadmap (deposits, investing, credit cards, insurance) and capable executive team (Lapointe, Ong), institutional continuity appears strong. The company is not dependent on a single technical genius (unlike some founder-led fintechs).</w:t>
      </w:r>
    </w:p>
    <w:p>
      <w:pPr>
        <w:pStyle w:val="Heading1"/>
        <w:spacing w:after="200" w:before="360"/>
      </w:pPr>
      <w:r>
        <w:rPr>
          <w:rFonts w:ascii="Arial" w:cs="Arial" w:eastAsia="Arial" w:hAnsi="Arial"/>
          <w:b/>
          <w:bCs/>
          <w:color w:val="1B365D"/>
          <w:sz w:val="30"/>
          <w:szCs w:val="30"/>
        </w:rPr>
        <w:t xml:space="preserve">6. Macroeconomic &amp; Regulatory Context</w:t>
      </w:r>
    </w:p>
    <w:p>
      <w:pPr>
        <w:spacing w:after="100" w:line="264"/>
      </w:pPr>
      <w:r>
        <w:rPr>
          <w:rFonts w:ascii="Arial" w:cs="Arial" w:eastAsia="Arial" w:hAnsi="Arial"/>
          <w:color w:val="333333"/>
          <w:sz w:val="19"/>
          <w:szCs w:val="19"/>
        </w:rPr>
        <w:t xml:space="preserve">Three macro factors materially affect SOFI's thesis. Other macro variables (interest rates, GDP growth) have second-order effects on the business but not on the primary growth drivers.</w:t>
      </w:r>
    </w:p>
    <w:p>
      <w:pPr>
        <w:spacing w:after="100" w:line="264"/>
      </w:pPr>
      <w:r>
        <w:rPr>
          <w:rFonts w:ascii="Arial" w:cs="Arial" w:eastAsia="Arial" w:hAnsi="Arial"/>
          <w:b/>
          <w:bCs/>
          <w:color w:val="333333"/>
          <w:sz w:val="19"/>
          <w:szCs w:val="19"/>
        </w:rPr>
        <w:t xml:space="preserve">Credit Cycle Deterioration (quantified impact): </w:t>
      </w:r>
      <w:r>
        <w:rPr>
          <w:rFonts w:ascii="Arial" w:cs="Arial" w:eastAsia="Arial" w:hAnsi="Arial"/>
          <w:color w:val="333333"/>
          <w:sz w:val="19"/>
          <w:szCs w:val="19"/>
        </w:rPr>
        <w:t xml:space="preserve">Personal lending is cyclical. A recession triggering 200 bps of loan loss increase would reduce lending gross margin from 44% to ~39%, reducing FY26E profitability by $80-100M (~15-20% of net income). However, SOFI's underwriting has tightened: average FICO of borrowers is 746 (high), and ~70% of originations are co-signed or have strong repayment capacity. Loan loss trends in FY25 were flat-to-declining despite slower origination growth. [17] We assign 30% probability to a recession triggering 200 bps of loss increase. Mitigation: SOFI can raise rates, tighten underwriting further, or reduce originations volume—all of which are levers to protect margins.</w:t>
      </w:r>
    </w:p>
    <w:p>
      <w:pPr>
        <w:spacing w:after="100" w:line="264"/>
      </w:pPr>
      <w:r>
        <w:rPr>
          <w:rFonts w:ascii="Arial" w:cs="Arial" w:eastAsia="Arial" w:hAnsi="Arial"/>
          <w:b/>
          <w:bCs/>
          <w:color w:val="333333"/>
          <w:sz w:val="19"/>
          <w:szCs w:val="19"/>
        </w:rPr>
        <w:t xml:space="preserve">Interest Rate &amp; Deposit Competition (quantified impact): </w:t>
      </w:r>
      <w:r>
        <w:rPr>
          <w:rFonts w:ascii="Arial" w:cs="Arial" w:eastAsia="Arial" w:hAnsi="Arial"/>
          <w:color w:val="333333"/>
          <w:sz w:val="19"/>
          <w:szCs w:val="19"/>
        </w:rPr>
        <w:t xml:space="preserve">High-yield savings rates (HYSA) are currently 4-4.5%. SOFI offers 4.6% on deposits, competitive with the best of class but not differentiated. If HYSA rates fall to 2.5% (i.e., Fed cuts aggressively), SOFI's deposit funding advantage widens. If HYSA rates rise to 5.5%, SOFI must match to retain deposits, compressing NIM by ~75 bps. In the current rate environment, we estimate NIM of 2.5% on deposit-funded lending (8.5% yield - 4.6% deposit cost - 1.4% loan losses). A 75 bps NIM compression reduces lending profitability by $120M+ by FY27. We assign 35% probability to sustained competition for deposits. Mitigation: SOFI's cross-sell flywheel (members with 3+ products have higher switching costs) provides deposit stickiness.</w:t>
      </w:r>
    </w:p>
    <w:p>
      <w:pPr>
        <w:spacing w:after="100" w:line="264"/>
      </w:pPr>
      <w:r>
        <w:rPr>
          <w:rFonts w:ascii="Arial" w:cs="Arial" w:eastAsia="Arial" w:hAnsi="Arial"/>
          <w:b/>
          <w:bCs/>
          <w:color w:val="333333"/>
          <w:sz w:val="19"/>
          <w:szCs w:val="19"/>
        </w:rPr>
        <w:t xml:space="preserve">Regulatory Risk on Bank Charter (quantified impact): </w:t>
      </w:r>
      <w:r>
        <w:rPr>
          <w:rFonts w:ascii="Arial" w:cs="Arial" w:eastAsia="Arial" w:hAnsi="Arial"/>
          <w:color w:val="333333"/>
          <w:sz w:val="19"/>
          <w:szCs w:val="19"/>
        </w:rPr>
        <w:t xml:space="preserve">The OCC (federal regulator) has scrutinized SOFI's loan loss underwriting and technology infrastructure. Enhanced supervision requirements could add $10-20M annual compliance costs, or operational constraints could reduce origination volume by 5-10%. We assign 25% probability to material regulatory constraints. Mitigation: SOFI is a small bank ($45B in assets as of Q4 FY25) and falls below systemic importance threshold; the OCC has limited incentive to impose severe restrictions. [18]</w:t>
      </w:r>
    </w:p>
    <w:p>
      <w:r>
        <w:br w:type="page"/>
      </w:r>
    </w:p>
    <w:p>
      <w:pPr>
        <w:pStyle w:val="Heading1"/>
        <w:spacing w:after="200" w:before="360"/>
      </w:pPr>
      <w:r>
        <w:rPr>
          <w:rFonts w:ascii="Arial" w:cs="Arial" w:eastAsia="Arial" w:hAnsi="Arial"/>
          <w:b/>
          <w:bCs/>
          <w:color w:val="1B365D"/>
          <w:sz w:val="30"/>
          <w:szCs w:val="30"/>
        </w:rPr>
        <w:t xml:space="preserve">7. Fundamental Valuation</w:t>
      </w:r>
    </w:p>
    <w:p>
      <w:pPr>
        <w:pStyle w:val="Heading2"/>
        <w:spacing w:after="120" w:before="200"/>
      </w:pPr>
      <w:r>
        <w:rPr>
          <w:rFonts w:ascii="Arial" w:cs="Arial" w:eastAsia="Arial" w:hAnsi="Arial"/>
          <w:b/>
          <w:bCs/>
          <w:color w:val="2E5090"/>
          <w:sz w:val="24"/>
          <w:szCs w:val="24"/>
        </w:rPr>
        <w:t xml:space="preserve">7.1 Capital Efficiency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900"/>
        <w:gridCol w:w="900"/>
        <w:gridCol w:w="1100"/>
        <w:gridCol w:w="1100"/>
        <w:gridCol w:w="2360"/>
      </w:tblGrid>
      <w:tr>
        <w:tc>
          <w:tcPr>
            <w:tcW w:type="dxa" w:w="1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9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FY23</w:t>
            </w:r>
          </w:p>
        </w:tc>
        <w:tc>
          <w:tcPr>
            <w:tcW w:type="dxa" w:w="9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FY24</w:t>
            </w:r>
          </w:p>
        </w:tc>
        <w:tc>
          <w:tcPr>
            <w:tcW w:type="dxa" w:w="9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FY25</w:t>
            </w:r>
          </w:p>
        </w:tc>
        <w:tc>
          <w:tcPr>
            <w:tcW w:type="dxa" w:w="11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FY26E</w:t>
            </w:r>
          </w:p>
        </w:tc>
        <w:tc>
          <w:tcPr>
            <w:tcW w:type="dxa" w:w="11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Peer Median</w:t>
            </w:r>
          </w:p>
        </w:tc>
        <w:tc>
          <w:tcPr>
            <w:tcW w:type="dxa" w:w="23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vs. WACC</w:t>
            </w:r>
          </w:p>
        </w:tc>
      </w:tr>
      <w:tr>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ROE</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-8.5%</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4.2%</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8.8%</w:t>
            </w:r>
          </w:p>
        </w:tc>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13.0%</w:t>
            </w:r>
          </w:p>
        </w:tc>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12.5%</w:t>
            </w:r>
          </w:p>
        </w:tc>
        <w:tc>
          <w:tcPr>
            <w:tcW w:type="dxa" w:w="2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Approaching peer (but still below)</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ROA</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-0.8%</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0.5%</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Above peer (crossed 1.0% threshold)</w:t>
            </w:r>
          </w:p>
        </w:tc>
      </w:tr>
      <w:tr>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ROIC</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-2.1%</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3.8%</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7.2%</w:t>
            </w:r>
          </w:p>
        </w:tc>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10.5%</w:t>
            </w:r>
          </w:p>
        </w:tc>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2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Below WACC but trajectory improving</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WACC</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r>
    </w:tbl>
    <w:p>
      <w:pPr>
        <w:spacing w:after="100" w:line="264"/>
      </w:pPr>
      <w:r>
        <w:rPr>
          <w:rFonts w:ascii="Arial" w:cs="Arial" w:eastAsia="Arial" w:hAnsi="Arial"/>
          <w:color w:val="333333"/>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00"/>
        <w:gridCol w:w="2760"/>
      </w:tblGrid>
      <w:tr>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Component</w:t>
            </w:r>
          </w:p>
        </w:tc>
        <w:tc>
          <w:tcPr>
            <w:tcW w:type="dxa" w:w="2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ROE Derivation</w:t>
            </w:r>
          </w:p>
        </w:tc>
        <w:tc>
          <w:tcPr>
            <w:tcW w:type="dxa" w:w="2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ROA Derivation</w:t>
            </w:r>
          </w:p>
        </w:tc>
        <w:tc>
          <w:tcPr>
            <w:tcW w:type="dxa" w:w="27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ROIC Derivation (Secondary)</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Numerator</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Net Income: $481M (FY25)</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Net Income: $481M</w:t>
            </w:r>
          </w:p>
        </w:tc>
        <w:tc>
          <w:tcPr>
            <w:tcW w:type="dxa" w:w="2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NOPAT: Operating Income $620M × (1 - 22.5% tax) = $480M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Denominator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Avg Equity: $5.5B</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Avg Total Assets: $45.8B</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Invested Capital: Equity $6.1B + Excess Capital $1.2B = $7.3B</w:t>
            </w:r>
          </w:p>
        </w:tc>
      </w:tr>
    </w:tbl>
    <w:p>
      <w:pPr>
        <w:spacing w:after="100" w:line="264"/>
      </w:pPr>
      <w:r>
        <w:rPr>
          <w:rFonts w:ascii="Arial" w:cs="Arial" w:eastAsia="Arial" w:hAnsi="Arial"/>
          <w:color w:val="333333"/>
          <w:sz w:val="19"/>
          <w:szCs w:val="19"/>
        </w:rPr>
        <w:t xml:space="preserve"/>
      </w:r>
    </w:p>
    <w:p>
      <w:pPr>
        <w:spacing w:after="100" w:line="264"/>
      </w:pPr>
      <w:r>
        <w:rPr>
          <w:rFonts w:ascii="Arial" w:cs="Arial" w:eastAsia="Arial" w:hAnsi="Arial"/>
          <w:color w:val="333333"/>
          <w:sz w:val="19"/>
          <w:szCs w:val="19"/>
        </w:rPr>
        <w:t xml:space="preserve">For financial institutions, ROA and ROE are the primary capital efficiency metrics because debt IS the business (customer deposits are operating liabilities, not financing debt). SoFi's ROA of 1.05% in FY25 represents a critical inflection point—crossing the 1.0%+ threshold signals a viable, well-run banking franchise. This is approaching the peer median ROA of 1.2%, and we project 1.5% in FY26 as profitability scales and asset base grows. ROE of 8.8% in FY25 is below the fintech peer median of 12.5%, but the trajectory is sharply improving: SoFi went from -8.5% (FY23, pre-profitability) to 8.8% in just two years. By FY26E, we project ROE of 13.0%, reaching peer parity and reflecting the operating leverage inflection. ROIC is shown as secondary context (not the primary metric for banks) and illustrates that ROIC of 7.2% is below the 12.0% WACC, reflecting the pre-profit phase. However, the ROIC trajectory is compelling: from -2.1% (FY23) to 7.2% (FY25) to projected 10.5% (FY26E). This convergence toward WACC within 12-18 months is the core of the mispricing thesis: the market is pricing SoFi based on trailing capital efficiency while the trajectory shows inflection into peer territory. [25]</w:t>
      </w:r>
    </w:p>
    <w:p>
      <w:pPr>
        <w:pStyle w:val="Heading2"/>
        <w:spacing w:after="120" w:before="200"/>
      </w:pPr>
      <w:r>
        <w:rPr>
          <w:rFonts w:ascii="Arial" w:cs="Arial" w:eastAsia="Arial" w:hAnsi="Arial"/>
          <w:b/>
          <w:bCs/>
          <w:color w:val="2E5090"/>
          <w:sz w:val="24"/>
          <w:szCs w:val="24"/>
        </w:rPr>
        <w:t xml:space="preserve">7.2 DCF Analysis</w:t>
      </w:r>
    </w:p>
    <w:p>
      <w:pPr>
        <w:spacing w:after="100" w:line="264"/>
      </w:pPr>
      <w:r>
        <w:rPr>
          <w:rFonts w:ascii="Arial" w:cs="Arial" w:eastAsia="Arial" w:hAnsi="Arial"/>
          <w:color w:val="333333"/>
          <w:sz w:val="19"/>
          <w:szCs w:val="19"/>
        </w:rPr>
        <w:t xml:space="preserve">Key assumptions (each justified):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6560"/>
      </w:tblGrid>
      <w:tr>
        <w:tc>
          <w:tcPr>
            <w:tcW w:type="dxa" w:w="2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Assumption</w:t>
            </w:r>
          </w:p>
        </w:tc>
        <w:tc>
          <w:tcPr>
            <w:tcW w:type="dxa" w:w="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Value</w:t>
            </w:r>
          </w:p>
        </w:tc>
        <w:tc>
          <w:tcPr>
            <w:tcW w:type="dxa" w:w="65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Derivation</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Revenue CAGR (FY27-31)</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25%</w:t>
            </w:r>
          </w:p>
        </w:tc>
        <w:tc>
          <w:tcPr>
            <w:tcW w:type="dxa" w:w="6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FY26-27: +20% (Financial Services +40%, Lending +23%, Tech +20% blended). FY28-31: decelerating to 15% as scale effects emerge. Implies FY31 revenue of $14.2B, approaching lower end of TAM capture potential.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Gross Margin (Steady State)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62%</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FY26E: 53%. FY27E: 56% (mix shift to Financial Services +40%, higher-margin deposits). FY28E: 60% (Technology Platform scaling). Steady-state 62% reflects blended margin of lending (46%), Financial Services (68%), Tech Platform (72%).</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Terminal Growth</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3.0%</w:t>
            </w:r>
          </w:p>
        </w:tc>
        <w:tc>
          <w:tcPr>
            <w:tcW w:type="dxa" w:w="6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Above GDP (2.5%) reflecting structural digital banking adoption, but below current growth. Conservative vs. bull case of 4.5%.</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WACC</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12.0%</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Risk-free 4.25% (10yr Treasury, Mar 2026) + Beta 1.65 (fintech/early-stage bank risk premium) × ERP 5.0% = 12.5% Cost of Equity. ~$500M debt @ 5.2% after-tax = 4.03% blended. WACC = (70% × 12.5%) + (30% × 4.03%) ≈ 10.0%, adjusted up to 12.0% for size and execution risk premium. Higher WACC reflects fintech execution risk and early-stage bank regulatory unknowns. For banks, WACC calculation excludes customer deposits from capital structure because they are operating liabilities. [26]</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Terminal EV/EBITDA</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15x</w:t>
            </w:r>
          </w:p>
        </w:tc>
        <w:tc>
          <w:tcPr>
            <w:tcW w:type="dxa" w:w="6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Reflects mature fintech bank at 3% terminal growth. Peer median (PayPal, Fiserv) is 18-20x; we apply 25% discount for execution risk and regulatory unknowns.</w:t>
            </w:r>
          </w:p>
        </w:tc>
      </w:tr>
    </w:tbl>
    <w:p>
      <w:pPr>
        <w:spacing w:after="100" w:line="264"/>
      </w:pPr>
      <w:r>
        <w:rPr>
          <w:rFonts w:ascii="Arial" w:cs="Arial" w:eastAsia="Arial" w:hAnsi="Arial"/>
          <w:color w:val="333333"/>
          <w:sz w:val="19"/>
          <w:szCs w:val="19"/>
        </w:rPr>
        <w:t xml:space="preserve"/>
      </w:r>
    </w:p>
    <w:p>
      <w:pPr>
        <w:pStyle w:val="Heading2"/>
        <w:spacing w:after="120" w:before="200"/>
      </w:pPr>
      <w:r>
        <w:rPr>
          <w:rFonts w:ascii="Arial" w:cs="Arial" w:eastAsia="Arial" w:hAnsi="Arial"/>
          <w:b/>
          <w:bCs/>
          <w:color w:val="2E5090"/>
          <w:sz w:val="24"/>
          <w:szCs w:val="24"/>
        </w:rPr>
        <w:t xml:space="preserve">7.3 DCF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60"/>
        <w:gridCol w:w="1260"/>
        <w:gridCol w:w="1260"/>
        <w:gridCol w:w="1260"/>
        <w:gridCol w:w="1260"/>
        <w:gridCol w:w="1260"/>
      </w:tblGrid>
      <w:tr>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
            </w:r>
          </w:p>
        </w:tc>
        <w:tc>
          <w:tcPr>
            <w:tcW w:type="dxa" w:w="12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FY27E</w:t>
            </w:r>
          </w:p>
        </w:tc>
        <w:tc>
          <w:tcPr>
            <w:tcW w:type="dxa" w:w="12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FY28E</w:t>
            </w:r>
          </w:p>
        </w:tc>
        <w:tc>
          <w:tcPr>
            <w:tcW w:type="dxa" w:w="12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FY29E</w:t>
            </w:r>
          </w:p>
        </w:tc>
        <w:tc>
          <w:tcPr>
            <w:tcW w:type="dxa" w:w="12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FY30E</w:t>
            </w:r>
          </w:p>
        </w:tc>
        <w:tc>
          <w:tcPr>
            <w:tcW w:type="dxa" w:w="12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FY31E</w:t>
            </w:r>
          </w:p>
        </w:tc>
        <w:tc>
          <w:tcPr>
            <w:tcW w:type="dxa" w:w="12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Terminal</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Revenue ($B)</w:t>
            </w:r>
          </w:p>
        </w:tc>
        <w:tc>
          <w:tcPr>
            <w:tcW w:type="dxa" w:w="1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$5.6</w:t>
            </w:r>
          </w:p>
        </w:tc>
        <w:tc>
          <w:tcPr>
            <w:tcW w:type="dxa" w:w="1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$6.8</w:t>
            </w:r>
          </w:p>
        </w:tc>
        <w:tc>
          <w:tcPr>
            <w:tcW w:type="dxa" w:w="1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$8.2</w:t>
            </w:r>
          </w:p>
        </w:tc>
        <w:tc>
          <w:tcPr>
            <w:tcW w:type="dxa" w:w="1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$9.7</w:t>
            </w:r>
          </w:p>
        </w:tc>
        <w:tc>
          <w:tcPr>
            <w:tcW w:type="dxa" w:w="1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$11.5</w:t>
            </w:r>
          </w:p>
        </w:tc>
        <w:tc>
          <w:tcPr>
            <w:tcW w:type="dxa" w:w="1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EBITDA ($B)</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$1.40</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$1.95</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$2.75</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$3.60</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$4.50</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UFCF ($B)</w:t>
            </w:r>
          </w:p>
        </w:tc>
        <w:tc>
          <w:tcPr>
            <w:tcW w:type="dxa" w:w="1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$0.80</w:t>
            </w:r>
          </w:p>
        </w:tc>
        <w:tc>
          <w:tcPr>
            <w:tcW w:type="dxa" w:w="1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$1.15</w:t>
            </w:r>
          </w:p>
        </w:tc>
        <w:tc>
          <w:tcPr>
            <w:tcW w:type="dxa" w:w="1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$1.65</w:t>
            </w:r>
          </w:p>
        </w:tc>
        <w:tc>
          <w:tcPr>
            <w:tcW w:type="dxa" w:w="1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$2.15</w:t>
            </w:r>
          </w:p>
        </w:tc>
        <w:tc>
          <w:tcPr>
            <w:tcW w:type="dxa" w:w="1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$2.70</w:t>
            </w:r>
          </w:p>
        </w:tc>
        <w:tc>
          <w:tcPr>
            <w:tcW w:type="dxa" w:w="1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$67.5</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PV of UFCF ($B)</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$0.72</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$0.93</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$1.21</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$1.46</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$1.59</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$35.2</w:t>
            </w:r>
          </w:p>
        </w:tc>
      </w:tr>
    </w:tbl>
    <w:p>
      <w:pPr>
        <w:spacing w:after="100" w:line="264"/>
      </w:pPr>
      <w:r>
        <w:rPr>
          <w:rFonts w:ascii="Arial" w:cs="Arial" w:eastAsia="Arial" w:hAnsi="Arial"/>
          <w:color w:val="333333"/>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EV → Equity Bridge</w:t>
            </w:r>
          </w:p>
        </w:tc>
        <w:tc>
          <w:tcPr>
            <w:tcW w:type="dxa" w:w="43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
            </w:r>
          </w:p>
        </w:tc>
      </w:tr>
      <w:tr>
        <w:tc>
          <w:tcPr>
            <w:tcW w:type="dxa" w:w="5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Sum of PV (UFCF)</w:t>
            </w:r>
          </w:p>
        </w:tc>
        <w:tc>
          <w:tcPr>
            <w:tcW w:type="dxa" w:w="4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$5.91B</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PV of Terminal Value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$35.2B</w:t>
            </w:r>
          </w:p>
        </w:tc>
      </w:tr>
      <w:tr>
        <w:tc>
          <w:tcPr>
            <w:tcW w:type="dxa" w:w="5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Enterprise Value</w:t>
            </w:r>
          </w:p>
        </w:tc>
        <w:tc>
          <w:tcPr>
            <w:tcW w:type="dxa" w:w="4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$41.1B</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Less Net Debt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-$0.5B</w:t>
            </w:r>
          </w:p>
        </w:tc>
      </w:tr>
      <w:tr>
        <w:tc>
          <w:tcPr>
            <w:tcW w:type="dxa" w:w="5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Equity Value</w:t>
            </w:r>
          </w:p>
        </w:tc>
        <w:tc>
          <w:tcPr>
            <w:tcW w:type="dxa" w:w="4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$40.6B</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Diluted Shares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1.1B</w:t>
            </w:r>
          </w:p>
        </w:tc>
      </w:tr>
      <w:tr>
        <w:tc>
          <w:tcPr>
            <w:tcW w:type="dxa" w:w="5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Implied Price/Share</w:t>
            </w:r>
          </w:p>
        </w:tc>
        <w:tc>
          <w:tcPr>
            <w:tcW w:type="dxa" w:w="4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$36.9</w:t>
            </w:r>
          </w:p>
        </w:tc>
      </w:tr>
    </w:tbl>
    <w:p>
      <w:pPr>
        <w:spacing w:after="100" w:line="264"/>
      </w:pPr>
      <w:r>
        <w:rPr>
          <w:rFonts w:ascii="Arial" w:cs="Arial" w:eastAsia="Arial" w:hAnsi="Arial"/>
          <w:color w:val="333333"/>
          <w:sz w:val="19"/>
          <w:szCs w:val="19"/>
        </w:rPr>
        <w:t xml:space="preserve"/>
      </w:r>
    </w:p>
    <w:p>
      <w:pPr>
        <w:pStyle w:val="Heading2"/>
        <w:spacing w:after="120" w:before="200"/>
      </w:pPr>
      <w:r>
        <w:rPr>
          <w:rFonts w:ascii="Arial" w:cs="Arial" w:eastAsia="Arial" w:hAnsi="Arial"/>
          <w:b/>
          <w:bCs/>
          <w:color w:val="2E5090"/>
          <w:sz w:val="24"/>
          <w:szCs w:val="24"/>
        </w:rPr>
        <w:t xml:space="preserve">7.4 Sensitivity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WACC ↓ / Terminal Growth →</w:t>
            </w:r>
          </w:p>
        </w:tc>
        <w:tc>
          <w:tcPr>
            <w:tcW w:type="dxa" w:w="1755"/>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2.0%</w:t>
            </w:r>
          </w:p>
        </w:tc>
        <w:tc>
          <w:tcPr>
            <w:tcW w:type="dxa" w:w="1755"/>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2.5%</w:t>
            </w:r>
          </w:p>
        </w:tc>
        <w:tc>
          <w:tcPr>
            <w:tcW w:type="dxa" w:w="1755"/>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3.0%</w:t>
            </w:r>
          </w:p>
        </w:tc>
        <w:tc>
          <w:tcPr>
            <w:tcW w:type="dxa" w:w="1755"/>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3.5%</w:t>
            </w:r>
          </w:p>
        </w:tc>
      </w:tr>
      <w:tr>
        <w:tc>
          <w:tcPr>
            <w:tcW w:type="dxa" w:w="23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11.0%</w:t>
            </w:r>
          </w:p>
        </w:tc>
        <w:tc>
          <w:tcPr>
            <w:tcW w:type="dxa" w:w="1755"/>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$32</w:t>
            </w:r>
          </w:p>
        </w:tc>
        <w:tc>
          <w:tcPr>
            <w:tcW w:type="dxa" w:w="1755"/>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$36</w:t>
            </w:r>
          </w:p>
        </w:tc>
        <w:tc>
          <w:tcPr>
            <w:tcW w:type="dxa" w:w="1755"/>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$41</w:t>
            </w:r>
          </w:p>
        </w:tc>
        <w:tc>
          <w:tcPr>
            <w:tcW w:type="dxa" w:w="1755"/>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$47</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11.5%</w:t>
            </w:r>
          </w:p>
        </w:tc>
        <w:tc>
          <w:tcPr>
            <w:tcW w:type="dxa" w:w="175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$28</w:t>
            </w:r>
          </w:p>
        </w:tc>
        <w:tc>
          <w:tcPr>
            <w:tcW w:type="dxa" w:w="175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$32</w:t>
            </w:r>
          </w:p>
        </w:tc>
        <w:tc>
          <w:tcPr>
            <w:tcW w:type="dxa" w:w="175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$37</w:t>
            </w:r>
          </w:p>
        </w:tc>
        <w:tc>
          <w:tcPr>
            <w:tcW w:type="dxa" w:w="175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$42</w:t>
            </w:r>
          </w:p>
        </w:tc>
      </w:tr>
      <w:tr>
        <w:tc>
          <w:tcPr>
            <w:tcW w:type="dxa" w:w="23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12.0%</w:t>
            </w:r>
          </w:p>
        </w:tc>
        <w:tc>
          <w:tcPr>
            <w:tcW w:type="dxa" w:w="1755"/>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$25</w:t>
            </w:r>
          </w:p>
        </w:tc>
        <w:tc>
          <w:tcPr>
            <w:tcW w:type="dxa" w:w="1755"/>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$29</w:t>
            </w:r>
          </w:p>
        </w:tc>
        <w:tc>
          <w:tcPr>
            <w:tcW w:type="dxa" w:w="1755"/>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$33</w:t>
            </w:r>
          </w:p>
        </w:tc>
        <w:tc>
          <w:tcPr>
            <w:tcW w:type="dxa" w:w="1755"/>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$38</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12.5%</w:t>
            </w:r>
          </w:p>
        </w:tc>
        <w:tc>
          <w:tcPr>
            <w:tcW w:type="dxa" w:w="175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$22</w:t>
            </w:r>
          </w:p>
        </w:tc>
        <w:tc>
          <w:tcPr>
            <w:tcW w:type="dxa" w:w="175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$26</w:t>
            </w:r>
          </w:p>
        </w:tc>
        <w:tc>
          <w:tcPr>
            <w:tcW w:type="dxa" w:w="175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$30</w:t>
            </w:r>
          </w:p>
        </w:tc>
        <w:tc>
          <w:tcPr>
            <w:tcW w:type="dxa" w:w="175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$35</w:t>
            </w:r>
          </w:p>
        </w:tc>
      </w:tr>
    </w:tbl>
    <w:p>
      <w:pPr>
        <w:spacing w:after="100" w:line="264"/>
      </w:pPr>
      <w:r>
        <w:rPr>
          <w:rFonts w:ascii="Arial" w:cs="Arial" w:eastAsia="Arial" w:hAnsi="Arial"/>
          <w:color w:val="333333"/>
          <w:sz w:val="19"/>
          <w:szCs w:val="19"/>
        </w:rPr>
        <w:t xml:space="preserve"/>
      </w:r>
    </w:p>
    <w:p>
      <w:pPr>
        <w:pStyle w:val="Heading2"/>
        <w:spacing w:after="120" w:before="200"/>
      </w:pPr>
      <w:r>
        <w:rPr>
          <w:rFonts w:ascii="Arial" w:cs="Arial" w:eastAsia="Arial" w:hAnsi="Arial"/>
          <w:b/>
          <w:bCs/>
          <w:color w:val="2E5090"/>
          <w:sz w:val="24"/>
          <w:szCs w:val="24"/>
        </w:rPr>
        <w:t xml:space="preserve">7.5 Comparable Companies</w:t>
      </w:r>
    </w:p>
    <w:p>
      <w:pPr>
        <w:spacing w:after="100" w:line="264"/>
      </w:pPr>
      <w:r>
        <w:rPr>
          <w:rFonts w:ascii="Arial" w:cs="Arial" w:eastAsia="Arial" w:hAnsi="Arial"/>
          <w:color w:val="333333"/>
          <w:sz w:val="19"/>
          <w:szCs w:val="19"/>
        </w:rPr>
        <w:t xml:space="preserve">Peers selected by business model (digital banking + fintech platform), not sector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800"/>
        <w:gridCol w:w="900"/>
        <w:gridCol w:w="900"/>
        <w:gridCol w:w="1000"/>
        <w:gridCol w:w="900"/>
      </w:tblGrid>
      <w:tr>
        <w:tc>
          <w:tcPr>
            <w:tcW w:type="dxa" w:w="12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Company</w:t>
            </w:r>
          </w:p>
        </w:tc>
        <w:tc>
          <w:tcPr>
            <w:tcW w:type="dxa" w:w="1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Why Comparable</w:t>
            </w:r>
          </w:p>
        </w:tc>
        <w:tc>
          <w:tcPr>
            <w:tcW w:type="dxa" w:w="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Growth</w:t>
            </w:r>
          </w:p>
        </w:tc>
        <w:tc>
          <w:tcPr>
            <w:tcW w:type="dxa" w:w="9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Gross Margin</w:t>
            </w:r>
          </w:p>
        </w:tc>
        <w:tc>
          <w:tcPr>
            <w:tcW w:type="dxa" w:w="9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ROE</w:t>
            </w:r>
          </w:p>
        </w:tc>
        <w:tc>
          <w:tcPr>
            <w:tcW w:type="dxa" w:w="1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Fwd P/E</w:t>
            </w:r>
          </w:p>
        </w:tc>
        <w:tc>
          <w:tcPr>
            <w:tcW w:type="dxa" w:w="9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EV/EBITDA</w:t>
            </w:r>
          </w:p>
        </w:tc>
      </w:tr>
      <w:tr>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SOFI</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30%</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53%</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8.8%</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40.0x</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18.3x</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Nu (NU)</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Digital bank disruptor</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40%</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58%</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25.0%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25.0x</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14.2x</w:t>
            </w:r>
          </w:p>
        </w:tc>
      </w:tr>
      <w:tr>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PayPal (PYPL)</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Digital payments + banking</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45%</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18.5%</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14.2x</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10.5x</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Fiserv (FI)</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Fintech infrastructure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36%</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14.2%</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20.1x</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18.7x</w:t>
            </w:r>
          </w:p>
        </w:tc>
      </w:tr>
      <w:tr>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Block (SQ)</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Fintech ecosystem</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15%</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30%</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12.0%</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22.0x</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16.4x</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Robinhood (HOOD)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Investment + banking</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30%</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70%</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15.0%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18.2x</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14.8x</w:t>
            </w:r>
          </w:p>
        </w:tc>
      </w:tr>
      <w:tr>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Ally Financial</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Regional bank</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72%</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8.5%</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8.5x</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6.5x</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Peer Median (ex-Ally)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18%</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48%</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15.2%</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19.1x</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15.5x</w:t>
            </w:r>
          </w:p>
        </w:tc>
      </w:tr>
    </w:tbl>
    <w:p>
      <w:pPr>
        <w:spacing w:after="100" w:line="264"/>
      </w:pPr>
      <w:r>
        <w:rPr>
          <w:rFonts w:ascii="Arial" w:cs="Arial" w:eastAsia="Arial" w:hAnsi="Arial"/>
          <w:color w:val="333333"/>
          <w:sz w:val="19"/>
          <w:szCs w:val="19"/>
        </w:rPr>
        <w:t xml:space="preserve"/>
      </w:r>
    </w:p>
    <w:p>
      <w:pPr>
        <w:spacing w:after="100" w:line="264"/>
      </w:pPr>
      <w:r>
        <w:rPr>
          <w:rFonts w:ascii="Arial" w:cs="Arial" w:eastAsia="Arial" w:hAnsi="Arial"/>
          <w:color w:val="333333"/>
          <w:sz w:val="19"/>
          <w:szCs w:val="19"/>
        </w:rPr>
        <w:t xml:space="preserve">SOFI trades at 40.0x forward P/E (FY26E: $0.55 EPS)—a 109% premium to peer median of 19.1x—despite only 30% growth vs. peer median of 18%. On ROE, SOFI at 8.8% is well below peer median of 15.2%, reflecting the company's position in the capital efficiency inflection phase. However, this metric is key to the mispricing thesis: SOFI's ROE is improving sharply (from -8.5% in FY23) and is projected to reach 13.0% by FY26E and approach peer median (12.5% for fintech peers) by FY27. The market is pricing SoFi on trailing ROE while underestimating the inflection trajectory. By comparison, Ally Financial (a mature regional bank) trades at 8.5x P/E on 5% growth and 8.5% ROE—using lending-only multiples. SOFI, by FY27, will have higher growth (20%+), higher ROE (13%+), and a more diversified revenue mix, deserving a 25-35x multiple premium. [25]</w:t>
      </w:r>
    </w:p>
    <w:p>
      <w:pPr>
        <w:spacing w:after="100" w:line="264"/>
      </w:pPr>
      <w:r>
        <w:rPr>
          <w:rFonts w:ascii="Arial" w:cs="Arial" w:eastAsia="Arial" w:hAnsi="Arial"/>
          <w:color w:val="333333"/>
          <w:sz w:val="19"/>
          <w:szCs w:val="19"/>
        </w:rPr>
        <w:t xml:space="preserve">The NU comparison is instructive: NU trades at 25.0x forward P/E on 40% growth and 25% ROE. SOFI at $22 trades at 40.0x on 30% growth and 8.8% ROE—overvalued on a 1-year basis. However, on a 2-year forward basis (FY27 @ $0.90 EPS and 13% ROE projected), SOFI at $32 is 35.6x. This reflects the convergence of SOFI's ROE toward fintech peer levels, justifying a relative premium to Ally's lending multiple but a modest discount to NU's growth-inflection multiple. The key insight: the market's current pricing implicitly assumes SOFI's capital efficiency remains permanently impaired. Our thesis contests this: the trajectory shows clear inflection within 12 months.</w:t>
      </w:r>
    </w:p>
    <w:p>
      <w:pPr>
        <w:pStyle w:val="Heading2"/>
        <w:spacing w:after="120" w:before="200"/>
      </w:pPr>
      <w:r>
        <w:rPr>
          <w:rFonts w:ascii="Arial" w:cs="Arial" w:eastAsia="Arial" w:hAnsi="Arial"/>
          <w:b/>
          <w:bCs/>
          <w:color w:val="2E5090"/>
          <w:sz w:val="24"/>
          <w:szCs w:val="24"/>
        </w:rPr>
        <w:t xml:space="preserve">7.6 Sum-of-Parts 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200"/>
        <w:gridCol w:w="1200"/>
        <w:gridCol w:w="1000"/>
        <w:gridCol w:w="1000"/>
        <w:gridCol w:w="1360"/>
      </w:tblGrid>
      <w:tr>
        <w:tc>
          <w:tcPr>
            <w:tcW w:type="dxa" w:w="1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Segment</w:t>
            </w:r>
          </w:p>
        </w:tc>
        <w:tc>
          <w:tcPr>
            <w:tcW w:type="dxa" w:w="1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FY27E Revenue</w:t>
            </w:r>
          </w:p>
        </w:tc>
        <w:tc>
          <w:tcPr>
            <w:tcW w:type="dxa" w:w="12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Growth</w:t>
            </w:r>
          </w:p>
        </w:tc>
        <w:tc>
          <w:tcPr>
            <w:tcW w:type="dxa" w:w="12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Target Multiple</w:t>
            </w:r>
          </w:p>
        </w:tc>
        <w:tc>
          <w:tcPr>
            <w:tcW w:type="dxa" w:w="1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Implied Value</w:t>
            </w:r>
          </w:p>
        </w:tc>
        <w:tc>
          <w:tcPr>
            <w:tcW w:type="dxa" w:w="1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Weight</w:t>
            </w:r>
          </w:p>
        </w:tc>
        <w:tc>
          <w:tcPr>
            <w:tcW w:type="dxa" w:w="13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Contribution</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Lending</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$2.2B</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+23%</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12x EBITDA</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$5.5B</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25%</w:t>
            </w:r>
          </w:p>
        </w:tc>
        <w:tc>
          <w:tcPr>
            <w:tcW w:type="dxa" w:w="1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$1.4B</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Financial Services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$2.1B</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25x EBITDA</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$15.2B</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35%</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$5.3B</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Technology Platform</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$0.72B</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+20%</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40x EBITDA*</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$18.0B</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30%</w:t>
            </w:r>
          </w:p>
        </w:tc>
        <w:tc>
          <w:tcPr>
            <w:tcW w:type="dxa" w:w="1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$5.4B</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Corporate &amp; Other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$0.58B</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8x EBITDA</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$0.8B</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$0.08B</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Blended Valuation</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$39.5B</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100%</w:t>
            </w:r>
          </w:p>
        </w:tc>
        <w:tc>
          <w:tcPr>
            <w:tcW w:type="dxa" w:w="1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$12.1B</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Per Share (1.1B shares)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$32.0</w:t>
            </w:r>
          </w:p>
        </w:tc>
      </w:tr>
    </w:tbl>
    <w:p>
      <w:pPr>
        <w:spacing w:after="100" w:line="264"/>
      </w:pPr>
      <w:r>
        <w:rPr>
          <w:rFonts w:ascii="Arial" w:cs="Arial" w:eastAsia="Arial" w:hAnsi="Arial"/>
          <w:color w:val="333333"/>
          <w:sz w:val="19"/>
          <w:szCs w:val="19"/>
        </w:rPr>
        <w:t xml:space="preserve"/>
      </w:r>
    </w:p>
    <w:p>
      <w:pPr>
        <w:spacing w:after="100" w:line="264"/>
      </w:pPr>
      <w:r>
        <w:rPr>
          <w:rFonts w:ascii="Arial" w:cs="Arial" w:eastAsia="Arial" w:hAnsi="Arial"/>
          <w:b/>
          <w:bCs/>
          <w:color w:val="333333"/>
          <w:sz w:val="19"/>
          <w:szCs w:val="19"/>
        </w:rPr>
        <w:t xml:space="preserve">*Galileo EBITDA multiple rationale: </w:t>
      </w:r>
      <w:r>
        <w:rPr>
          <w:rFonts w:ascii="Arial" w:cs="Arial" w:eastAsia="Arial" w:hAnsi="Arial"/>
          <w:color w:val="333333"/>
          <w:sz w:val="19"/>
          <w:szCs w:val="19"/>
        </w:rPr>
        <w:t xml:space="preserve">SaaS platforms (Shopify, Twilio) trade at 30-60x EBITDA. Galileo is pure SaaS (subscription + transaction fees from 300+ financial institutions). At 40x multiple, we assume Galileo reaches $450M+ EBITDA by FY29 (from $35-40M today), reflecting infrastructure scaling. This is conservative relative to pure SaaS comps but reflects the embedded risk in the fintech stack.</w:t>
      </w:r>
    </w:p>
    <w:p>
      <w:pPr>
        <w:pStyle w:val="Heading2"/>
        <w:spacing w:after="120" w:before="200"/>
      </w:pPr>
      <w:r>
        <w:rPr>
          <w:rFonts w:ascii="Arial" w:cs="Arial" w:eastAsia="Arial" w:hAnsi="Arial"/>
          <w:b/>
          <w:bCs/>
          <w:color w:val="2E5090"/>
          <w:sz w:val="24"/>
          <w:szCs w:val="24"/>
        </w:rPr>
        <w:t xml:space="preserve">7.7 Confidence-Weighted 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000"/>
        <w:gridCol w:w="800"/>
        <w:gridCol w:w="2560"/>
      </w:tblGrid>
      <w:tr>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Method</w:t>
            </w:r>
          </w:p>
        </w:tc>
        <w:tc>
          <w:tcPr>
            <w:tcW w:type="dxa" w:w="12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Implied Value</w:t>
            </w:r>
          </w:p>
        </w:tc>
        <w:tc>
          <w:tcPr>
            <w:tcW w:type="dxa" w:w="3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Confidence</w:t>
            </w:r>
          </w:p>
        </w:tc>
        <w:tc>
          <w:tcPr>
            <w:tcW w:type="dxa" w:w="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Weight</w:t>
            </w:r>
          </w:p>
        </w:tc>
        <w:tc>
          <w:tcPr>
            <w:tcW w:type="dxa" w:w="25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Contribution</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DCF (Base Case)</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$36.9</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Medium—growth trajectory executable but macro risk</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35%</w:t>
            </w:r>
          </w:p>
        </w:tc>
        <w:tc>
          <w:tcPr>
            <w:tcW w:type="dxa" w:w="2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$12.9</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Sum-of-Parts Valuation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$32.0</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Medium-High—requires segment mix verification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$12.8</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EV/EBITDA Comps</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$28.5</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Lower—peer multiples vary widely; growth discount embedded</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25%</w:t>
            </w:r>
          </w:p>
        </w:tc>
        <w:tc>
          <w:tcPr>
            <w:tcW w:type="dxa" w:w="2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$7.1</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Blended Price Target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$32.8</w:t>
            </w:r>
          </w:p>
        </w:tc>
      </w:tr>
    </w:tbl>
    <w:p>
      <w:pPr>
        <w:spacing w:after="100" w:line="264"/>
      </w:pPr>
      <w:r>
        <w:rPr>
          <w:rFonts w:ascii="Arial" w:cs="Arial" w:eastAsia="Arial" w:hAnsi="Arial"/>
          <w:color w:val="333333"/>
          <w:sz w:val="19"/>
          <w:szCs w:val="19"/>
        </w:rPr>
        <w:t xml:space="preserve"/>
      </w:r>
    </w:p>
    <w:p>
      <w:pPr>
        <w:spacing w:after="100" w:line="264"/>
      </w:pPr>
      <w:r>
        <w:rPr>
          <w:rFonts w:ascii="Arial" w:cs="Arial" w:eastAsia="Arial" w:hAnsi="Arial"/>
          <w:color w:val="333333"/>
          <w:sz w:val="19"/>
          <w:szCs w:val="19"/>
        </w:rPr>
        <w:t xml:space="preserve">We set our price target at $32.00, a 2.4% haircut to the blended value of $32.8, rounding to a psychological level that reflects balance-sheet momentum and segment re-rating potential. At $32, SOFI trades at 53.3x FY26E EPS ($0.60) but 35.6x FY27E EPS ($0.90), which is our key valuation anchor given the segment mix inflection. [20]</w:t>
      </w:r>
    </w:p>
    <w:p>
      <w:pPr>
        <w:spacing w:after="100" w:line="264"/>
      </w:pPr>
      <w:r>
        <w:rPr>
          <w:rFonts w:ascii="Arial" w:cs="Arial" w:eastAsia="Arial" w:hAnsi="Arial"/>
          <w:color w:val="333333"/>
          <w:sz w:val="19"/>
          <w:szCs w:val="19"/>
        </w:rPr>
        <w:t xml:space="preserve">Rationale for confidence weights: DCF receives 35% weight (lower than NVDA's 45%) because SOFI is a higher-risk, smaller company with less visibility into long-term FCF. Macro risk (credit cycle, rates) introduces terminal value uncertainty. Sum-of-parts (40%) receives the highest weight because it directly reflects the segment mix transformation that is the core of our thesis—it is the most internally consistent approach. EV/EBITDA comps (25%) receives the lowest weight because the peer set is highly heterogeneous (mature PayPal vs. high-growth NU), making comparisons less reliable.</w:t>
      </w:r>
    </w:p>
    <w:p>
      <w:pPr>
        <w:pStyle w:val="Heading2"/>
        <w:spacing w:after="120" w:before="200"/>
      </w:pPr>
      <w:r>
        <w:rPr>
          <w:rFonts w:ascii="Arial" w:cs="Arial" w:eastAsia="Arial" w:hAnsi="Arial"/>
          <w:b/>
          <w:bCs/>
          <w:color w:val="2E5090"/>
          <w:sz w:val="24"/>
          <w:szCs w:val="24"/>
        </w:rPr>
        <w:t xml:space="preserve">7.8 Scenario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3960"/>
      </w:tblGrid>
      <w:tr>
        <w:tc>
          <w:tcPr>
            <w:tcW w:type="dxa" w:w="1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
            </w:r>
          </w:p>
        </w:tc>
        <w:tc>
          <w:tcPr>
            <w:tcW w:type="dxa" w:w="1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Bull (25%)</w:t>
            </w:r>
          </w:p>
        </w:tc>
        <w:tc>
          <w:tcPr>
            <w:tcW w:type="dxa" w:w="1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Base (50%)</w:t>
            </w:r>
          </w:p>
        </w:tc>
        <w:tc>
          <w:tcPr>
            <w:tcW w:type="dxa" w:w="39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Bear (25%)</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FY27 Revenue</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$6.2B</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$5.6B</w:t>
            </w:r>
          </w:p>
        </w:tc>
        <w:tc>
          <w:tcPr>
            <w:tcW w:type="dxa" w:w="3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$4.8B</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FY27 Gross Margin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56%</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51%</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FY27 EPS</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$1.20</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$0.90</w:t>
            </w:r>
          </w:p>
        </w:tc>
        <w:tc>
          <w:tcPr>
            <w:tcW w:type="dxa" w:w="3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$0.45</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Target Multiple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35x</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35.6x</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25x</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Price Target</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$42</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$32</w:t>
            </w:r>
          </w:p>
        </w:tc>
        <w:tc>
          <w:tcPr>
            <w:tcW w:type="dxa" w:w="3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$11</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Return from $22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+45%</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-50%</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Catalyst</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Financial Services +50%, cross-sell to 3.0 products/member, deposit funding moat accelerates</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Segment mix on track, FY26 guidance hit, gradual re-rating</w:t>
            </w:r>
          </w:p>
        </w:tc>
        <w:tc>
          <w:tcPr>
            <w:tcW w:type="dxa" w:w="3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Credit losses spike 300 bps, member growth slows to 10%, Financial Services adoption disappoints</w:t>
            </w:r>
          </w:p>
        </w:tc>
      </w:tr>
    </w:tbl>
    <w:p>
      <w:pPr>
        <w:spacing w:after="100" w:line="264"/>
      </w:pPr>
      <w:r>
        <w:rPr>
          <w:rFonts w:ascii="Arial" w:cs="Arial" w:eastAsia="Arial" w:hAnsi="Arial"/>
          <w:color w:val="333333"/>
          <w:sz w:val="19"/>
          <w:szCs w:val="19"/>
        </w:rPr>
        <w:t xml:space="preserve"/>
      </w:r>
    </w:p>
    <w:p>
      <w:pPr>
        <w:spacing w:after="100" w:line="264"/>
      </w:pPr>
      <w:r>
        <w:rPr>
          <w:rFonts w:ascii="Arial" w:cs="Arial" w:eastAsia="Arial" w:hAnsi="Arial"/>
          <w:b/>
          <w:bCs/>
          <w:color w:val="333333"/>
          <w:sz w:val="19"/>
          <w:szCs w:val="19"/>
        </w:rPr>
        <w:t xml:space="preserve">Probability-weighted expected value: </w:t>
      </w:r>
      <w:r>
        <w:rPr>
          <w:rFonts w:ascii="Arial" w:cs="Arial" w:eastAsia="Arial" w:hAnsi="Arial"/>
          <w:color w:val="333333"/>
          <w:sz w:val="19"/>
          <w:szCs w:val="19"/>
        </w:rPr>
        <w:t xml:space="preserve">(25% × $42) + (50% × $32) + (25% × $11) = $28.75. Current price $22 → expected return +30%.</w:t>
      </w:r>
    </w:p>
    <w:p>
      <w:pPr>
        <w:spacing w:after="100" w:line="264"/>
      </w:pPr>
      <w:r>
        <w:rPr>
          <w:rFonts w:ascii="Arial" w:cs="Arial" w:eastAsia="Arial" w:hAnsi="Arial"/>
          <w:b/>
          <w:bCs/>
          <w:color w:val="333333"/>
          <w:sz w:val="19"/>
          <w:szCs w:val="19"/>
        </w:rPr>
        <w:t xml:space="preserve">Reward-to-risk ratio: </w:t>
      </w:r>
      <w:r>
        <w:rPr>
          <w:rFonts w:ascii="Arial" w:cs="Arial" w:eastAsia="Arial" w:hAnsi="Arial"/>
          <w:color w:val="333333"/>
          <w:sz w:val="19"/>
          <w:szCs w:val="19"/>
        </w:rPr>
        <w:t xml:space="preserve">Weighted upside $10 (45%) / weighted downside $8 (36%) = 1.25 : 1. Adjusted for probability (75% upside scenarios vs. 25% downside): 1.8:1, exceeding our 1.5:1 threshold for a BUY.</w:t>
      </w:r>
    </w:p>
    <w:p>
      <w:pPr>
        <w:spacing w:after="100" w:line="264"/>
      </w:pPr>
      <w:r>
        <w:rPr>
          <w:rFonts w:ascii="Arial" w:cs="Arial" w:eastAsia="Arial" w:hAnsi="Arial"/>
          <w:color w:val="333333"/>
          <w:sz w:val="19"/>
          <w:szCs w:val="19"/>
        </w:rPr>
        <w:t xml:space="preserve">The scenario analysis reveals a key thesis dependency: the base case assumes Financial Services segment accelerates and cross-sell deepens, driving margin expansion and member LTV growth. The bull case assumes an inflection in deposit funding and ecosystem stickiness. The bear case assumes credit underwriting deteriorates significantly and segment mix assumptions fail to materialize. We believe the base case probability (50%) is appropriately calibrated: the company has demonstrated the ability to scale Financial Services (78% Q4 growth) and margin improvement is underway. The bull and bear cases represent meaningful deviations from this base trend. At current price of $22, the option value of the bull case is being priced in correctly—upside is material but not excessive.</w:t>
      </w:r>
    </w:p>
    <w:p>
      <w:r>
        <w:br w:type="page"/>
      </w:r>
    </w:p>
    <w:p>
      <w:pPr>
        <w:pStyle w:val="Heading1"/>
        <w:spacing w:after="200" w:before="360"/>
      </w:pPr>
      <w:r>
        <w:rPr>
          <w:rFonts w:ascii="Arial" w:cs="Arial" w:eastAsia="Arial" w:hAnsi="Arial"/>
          <w:b/>
          <w:bCs/>
          <w:color w:val="1B365D"/>
          <w:sz w:val="30"/>
          <w:szCs w:val="30"/>
        </w:rPr>
        <w:t xml:space="preserve">8. Technical Analysis &amp; Trading Signals</w:t>
      </w:r>
    </w:p>
    <w:p>
      <w:pPr>
        <w:spacing w:after="100" w:line="264"/>
      </w:pPr>
      <w:r>
        <w:rPr>
          <w:rFonts w:ascii="Arial" w:cs="Arial" w:eastAsia="Arial" w:hAnsi="Arial"/>
          <w:color w:val="333333"/>
          <w:sz w:val="19"/>
          <w:szCs w:val="19"/>
        </w:rPr>
        <w:t xml:space="preserve">Framed for a 6-12 month position manager. SOFI is volatile and illiquid relative to mega-cap tech.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600"/>
        <w:gridCol w:w="4160"/>
      </w:tblGrid>
      <w:tr>
        <w:tc>
          <w:tcPr>
            <w:tcW w:type="dxa" w:w="1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Signal</w:t>
            </w:r>
          </w:p>
        </w:tc>
        <w:tc>
          <w:tcPr>
            <w:tcW w:type="dxa" w:w="2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Level / Condition</w:t>
            </w:r>
          </w:p>
        </w:tc>
        <w:tc>
          <w:tcPr>
            <w:tcW w:type="dxa" w:w="1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Action</w:t>
            </w:r>
          </w:p>
        </w:tc>
        <w:tc>
          <w:tcPr>
            <w:tcW w:type="dxa" w:w="41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Rationale</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Entry zone</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$20–$24</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Initiate core position</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Below 200-day MA ($23), support zone from Feb 2025</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Add zone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$18–$20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Add 25% if sentiment turns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Key support; aligns with 25x FY27E P/E floor</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Stop-loss</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$14</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Exit position</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Below 200-day MA ($23) × 60%—technical + fundamental stop</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Take-profit (trim)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$28–$32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Sell 50%</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Approaching price target + technical resistance zone</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Take-profit (full)</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$38+</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Exit remaining</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Bull case hit; extreme extension above sum-of-parts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Hedge trigger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Death cross (50d &lt; 200d) or sentiment deterioration on earnings miss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Buy 6-month 20% OTM puts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Protect against downside if thesis breaks</w:t>
            </w:r>
          </w:p>
        </w:tc>
      </w:tr>
    </w:tbl>
    <w:p>
      <w:pPr>
        <w:spacing w:after="100" w:line="264"/>
      </w:pPr>
      <w:r>
        <w:rPr>
          <w:rFonts w:ascii="Arial" w:cs="Arial" w:eastAsia="Arial" w:hAnsi="Arial"/>
          <w:color w:val="333333"/>
          <w:sz w:val="19"/>
          <w:szCs w:val="19"/>
        </w:rPr>
        <w:t xml:space="preserve"/>
      </w:r>
    </w:p>
    <w:p>
      <w:pPr>
        <w:spacing w:after="100" w:line="264"/>
      </w:pPr>
      <w:r>
        <w:rPr>
          <w:rFonts w:ascii="Arial" w:cs="Arial" w:eastAsia="Arial" w:hAnsi="Arial"/>
          <w:color w:val="333333"/>
          <w:sz w:val="19"/>
          <w:szCs w:val="19"/>
        </w:rPr>
        <w:t xml:space="preserve">Current setup: SOFI at $22 is slightly above the declining 200-day MA ($23 zone), having sold off from 52-week highs of $31.50 (Dec 2024). RSI(14) ~45—neutral. MACD is flat, suggesting momentum has faded. Volume has been above average during recent weakness, indicating institutional distribution. Oscillator setup is not constructive for short-term momentum, but support at $20-22 is strong from early February lows. [21]</w:t>
      </w:r>
    </w:p>
    <w:p>
      <w:pPr>
        <w:spacing w:after="100" w:line="264"/>
      </w:pPr>
      <w:r>
        <w:rPr>
          <w:rFonts w:ascii="Arial" w:cs="Arial" w:eastAsia="Arial" w:hAnsi="Arial"/>
          <w:color w:val="333333"/>
          <w:sz w:val="19"/>
          <w:szCs w:val="19"/>
        </w:rPr>
        <w:t xml:space="preserve">Support and resistance levels: R1 (near-term resistance) at $26 aligns with the declining 50-day MA and a prior consolidation zone (Jan-Feb 2025). R2 (major resistance) at $32 corresponds to our price target and coincides with Dec 2024 swing highs. S1 (near-term support) at $20 is a February 2025 panic low and retests sentiment capitulation. S2 (major support) at $14 aligns with the 200-day MA × 60% (a technical floor for fintech cyclicals) and is very near our bear-case valuation ($11). A hold above $14 is psychologically important.</w:t>
      </w:r>
    </w:p>
    <w:p>
      <w:pPr>
        <w:spacing w:after="100" w:line="264"/>
      </w:pPr>
      <w:r>
        <w:rPr>
          <w:rFonts w:ascii="Arial" w:cs="Arial" w:eastAsia="Arial" w:hAnsi="Arial"/>
          <w:color w:val="333333"/>
          <w:sz w:val="19"/>
          <w:szCs w:val="19"/>
        </w:rPr>
        <w:t xml:space="preserve">Technical vs. fundamental synthesis: The 30% pullback from December highs has brought SOFI to a level where sum-of-parts valuation ($32) and DCF ($36.9) provide meaningful upside, while technical support at $20-22 aligns with buy-the-dip discipline. The setup is favorable for accumulation into weakness, with stops well-defined at $14. Given the high volatility and illiquidity, position sizing should be conservative (2-3% portfolio weight vs. 5%+ for mega-cap liquidity), and entry should be scaled over several weeks rather than lump-sum. The risk/reward per the signal table is 1:1 on a raw basis (45% upside vs. 36% downside), but probability-weighted (75% positive scenarios vs. 25% negative) improves to 1.8:1.</w:t>
      </w:r>
    </w:p>
    <w:p>
      <w:r>
        <w:br w:type="page"/>
      </w:r>
    </w:p>
    <w:p>
      <w:pPr>
        <w:pStyle w:val="Heading1"/>
        <w:spacing w:after="200" w:before="360"/>
      </w:pPr>
      <w:r>
        <w:rPr>
          <w:rFonts w:ascii="Arial" w:cs="Arial" w:eastAsia="Arial" w:hAnsi="Arial"/>
          <w:b/>
          <w:bCs/>
          <w:color w:val="1B365D"/>
          <w:sz w:val="30"/>
          <w:szCs w:val="30"/>
        </w:rPr>
        <w:t xml:space="preserve">9. Investment Risks &amp; Mitigants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800"/>
        <w:gridCol w:w="800"/>
        <w:gridCol w:w="4560"/>
      </w:tblGrid>
      <w:tr>
        <w:tc>
          <w:tcPr>
            <w:tcW w:type="dxa" w:w="2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Risk</w:t>
            </w:r>
          </w:p>
        </w:tc>
        <w:tc>
          <w:tcPr>
            <w:tcW w:type="dxa" w:w="12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Category</w:t>
            </w:r>
          </w:p>
        </w:tc>
        <w:tc>
          <w:tcPr>
            <w:tcW w:type="dxa" w:w="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Severity</w:t>
            </w:r>
          </w:p>
        </w:tc>
        <w:tc>
          <w:tcPr>
            <w:tcW w:type="dxa" w:w="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Prob.</w:t>
            </w:r>
          </w:p>
        </w:tc>
        <w:tc>
          <w:tcPr>
            <w:tcW w:type="dxa" w:w="45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Mitigant</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Credit cycle deterioration (loan losses +200 bps)</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Macro / Lending</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High</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30%</w:t>
            </w:r>
          </w:p>
        </w:tc>
        <w:tc>
          <w:tcPr>
            <w:tcW w:type="dxa" w:w="4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Tightened underwriting (FICO 746 avg); cross-sell to deposits mitigates funding cost; origination volume flexibility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Deposit funding competition (rates rise to 5.5%)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Macro / Liquidity</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Medium</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35%</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Cross-sell flywheel (3+ product members have high switching costs); institutional partnerships; growing member stickiness</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Regulatory constraint on bank charter</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Regulatory</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Medium</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25%</w:t>
            </w:r>
          </w:p>
        </w:tc>
        <w:tc>
          <w:tcPr>
            <w:tcW w:type="dxa" w:w="4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Small bank status (below systemic threshold); OCC has limited enforcement incentive; roadmap exists for compliance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Financial Services adoption falls short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Execution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High</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20%</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Product launch track record (deposits 2021, investing 2020, credit card 2025); member engagement metrics improving; cross-sell pipeline visible</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Competitive pressure from big banks</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Competitive</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Medium</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30%</w:t>
            </w:r>
          </w:p>
        </w:tc>
        <w:tc>
          <w:tcPr>
            <w:tcW w:type="dxa" w:w="4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Rising-tide TAM expansion (digital banking grows 15%+ annually); SOFI member growth (35%) outpaces industry; UX + brand advantages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Share dilution from future financing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Capital Allocation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Medium</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15%</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Strong balance sheet ($2B+ cash); improving cash generation; refinancing need not needed until 2028+</w:t>
            </w:r>
          </w:p>
        </w:tc>
      </w:tr>
    </w:tbl>
    <w:p>
      <w:pPr>
        <w:spacing w:after="100" w:line="264"/>
      </w:pPr>
      <w:r>
        <w:rPr>
          <w:rFonts w:ascii="Arial" w:cs="Arial" w:eastAsia="Arial" w:hAnsi="Arial"/>
          <w:color w:val="333333"/>
          <w:sz w:val="19"/>
          <w:szCs w:val="19"/>
        </w:rPr>
        <w:t xml:space="preserve"/>
      </w:r>
    </w:p>
    <w:p>
      <w:pPr>
        <w:spacing w:after="100" w:line="264"/>
      </w:pPr>
      <w:r>
        <w:rPr>
          <w:rFonts w:ascii="Arial" w:cs="Arial" w:eastAsia="Arial" w:hAnsi="Arial"/>
          <w:b/>
          <w:bCs/>
          <w:color w:val="333333"/>
          <w:sz w:val="19"/>
          <w:szCs w:val="19"/>
        </w:rPr>
        <w:t xml:space="preserve">Thesis-breaking scenario: </w:t>
      </w:r>
      <w:r>
        <w:rPr>
          <w:rFonts w:ascii="Arial" w:cs="Arial" w:eastAsia="Arial" w:hAnsi="Arial"/>
          <w:color w:val="333333"/>
          <w:sz w:val="19"/>
          <w:szCs w:val="19"/>
        </w:rPr>
        <w:t xml:space="preserve">Two consecutive quarters of (a) loan originations declining YoY, OR (b) loan loss rates exceeding 3.0%, OR (c) member growth slowing below 15% YoY. Any of these signals that the core business drivers are deteriorating. Early warning: watch quarterly press releases for member count and origination volume trends. If either metric turns negative, begin position reduction immediately.</w:t>
      </w:r>
    </w:p>
    <w:p>
      <w:pPr>
        <w:spacing w:after="100" w:line="264"/>
      </w:pPr>
      <w:r>
        <w:rPr>
          <w:rFonts w:ascii="Arial" w:cs="Arial" w:eastAsia="Arial" w:hAnsi="Arial"/>
          <w:color w:val="333333"/>
          <w:sz w:val="19"/>
          <w:szCs w:val="19"/>
        </w:rPr>
        <w:t xml:space="preserve">Risk asymmetry assessment: The risk table reveals that the highest-severity risks (credit deterioration, Financial Services execution) carry 30-40% probabilities but are partially offset by mitigation strategies (cross-sell, underwriting, product roadmap). The regulatory and competitive risks are structural but have low-to-medium severity because SOFI possesses differentiation (bank charter, member lock-in) that peers lack. Conversely, the thesis upside (segment mix shift, Galileo re-rating, deposit funding moat) is not priced into consensus valuation at all. This creates asymmetric risk/reward: the downside is well-telegraphed, the upside is under-appreciated.</w:t>
      </w:r>
    </w:p>
    <w:p>
      <w:pPr>
        <w:pStyle w:val="Heading1"/>
        <w:spacing w:after="200" w:before="360"/>
      </w:pPr>
      <w:r>
        <w:rPr>
          <w:rFonts w:ascii="Arial" w:cs="Arial" w:eastAsia="Arial" w:hAnsi="Arial"/>
          <w:b/>
          <w:bCs/>
          <w:color w:val="1B365D"/>
          <w:sz w:val="30"/>
          <w:szCs w:val="30"/>
        </w:rPr>
        <w:t xml:space="preserve">10. Exit Strategy &amp; Hedging</w:t>
      </w:r>
    </w:p>
    <w:p>
      <w:pPr>
        <w:spacing w:after="100" w:line="264"/>
      </w:pPr>
      <w:r>
        <w:rPr>
          <w:rFonts w:ascii="Arial" w:cs="Arial" w:eastAsia="Arial" w:hAnsi="Arial"/>
          <w:b/>
          <w:bCs/>
          <w:color w:val="333333"/>
          <w:sz w:val="19"/>
          <w:szCs w:val="19"/>
        </w:rPr>
        <w:t xml:space="preserve">Horizon: </w:t>
      </w:r>
      <w:r>
        <w:rPr>
          <w:rFonts w:ascii="Arial" w:cs="Arial" w:eastAsia="Arial" w:hAnsi="Arial"/>
          <w:color w:val="333333"/>
          <w:sz w:val="19"/>
          <w:szCs w:val="19"/>
        </w:rPr>
        <w:t xml:space="preserve">12 months (through Q4 FY26 earnings, ~Feb 2027). Reassess at that point based on Financial Services growth and member metrics.</w:t>
      </w:r>
    </w:p>
    <w:p>
      <w:pPr>
        <w:spacing w:after="100" w:line="264"/>
      </w:pPr>
      <w:r>
        <w:rPr>
          <w:rFonts w:ascii="Arial" w:cs="Arial" w:eastAsia="Arial" w:hAnsi="Arial"/>
          <w:b/>
          <w:bCs/>
          <w:color w:val="333333"/>
          <w:sz w:val="19"/>
          <w:szCs w:val="19"/>
        </w:rPr>
        <w:t xml:space="preserve">Upside exits: </w:t>
      </w:r>
      <w:r>
        <w:rPr>
          <w:rFonts w:ascii="Arial" w:cs="Arial" w:eastAsia="Arial" w:hAnsi="Arial"/>
          <w:color w:val="333333"/>
          <w:sz w:val="19"/>
          <w:szCs w:val="19"/>
        </w:rPr>
        <w:t xml:space="preserve">(1) $32 target hit → trim 50%. (2) $38-42 bull case → exit 75%, hold remainder for Galileo infrastructure inflection. (3) Forward P/E expands above 50x → systematic reduction (signal of speculative bubble).</w:t>
      </w:r>
    </w:p>
    <w:p>
      <w:pPr>
        <w:spacing w:after="100" w:line="264"/>
      </w:pPr>
      <w:r>
        <w:rPr>
          <w:rFonts w:ascii="Arial" w:cs="Arial" w:eastAsia="Arial" w:hAnsi="Arial"/>
          <w:b/>
          <w:bCs/>
          <w:color w:val="333333"/>
          <w:sz w:val="19"/>
          <w:szCs w:val="19"/>
        </w:rPr>
        <w:t xml:space="preserve">Downside exits: </w:t>
      </w:r>
      <w:r>
        <w:rPr>
          <w:rFonts w:ascii="Arial" w:cs="Arial" w:eastAsia="Arial" w:hAnsi="Arial"/>
          <w:color w:val="333333"/>
          <w:sz w:val="19"/>
          <w:szCs w:val="19"/>
        </w:rPr>
        <w:t xml:space="preserve">(1) Two consecutive quarters of YoY origination decline → exit 100%. (2) Member growth &lt;15% YoY → exit 75%. (3) Loan loss rates &gt;3.0% for two quarters → exit 100%. (4) Stock below $14 on heavy volume → exit 100%.</w:t>
      </w:r>
    </w:p>
    <w:p>
      <w:pPr>
        <w:spacing w:after="100" w:line="264"/>
      </w:pPr>
      <w:r>
        <w:rPr>
          <w:rFonts w:ascii="Arial" w:cs="Arial" w:eastAsia="Arial" w:hAnsi="Arial"/>
          <w:b/>
          <w:bCs/>
          <w:color w:val="333333"/>
          <w:sz w:val="19"/>
          <w:szCs w:val="19"/>
        </w:rPr>
        <w:t xml:space="preserve">Hedging: </w:t>
      </w:r>
      <w:r>
        <w:rPr>
          <w:rFonts w:ascii="Arial" w:cs="Arial" w:eastAsia="Arial" w:hAnsi="Arial"/>
          <w:color w:val="333333"/>
          <w:sz w:val="19"/>
          <w:szCs w:val="19"/>
        </w:rPr>
        <w:t xml:space="preserve">Current technical setup (neutral RSI, support at $20-22) suggests no hedging needed at entry. If momentum reverses (death cross forms or RSI drops below 30 on above-average volume), buy 6-month 20% OTM puts to cap downside. Estimated cost: ~3.5% of position value at current volatility (50% IV for SOFI vs. 20% for mega-cap), reducing expected return from 45% to 41%. [22]</w:t>
      </w:r>
    </w:p>
    <w:p>
      <w:pPr>
        <w:spacing w:after="100" w:line="264"/>
      </w:pPr>
      <w:r>
        <w:rPr>
          <w:rFonts w:ascii="Arial" w:cs="Arial" w:eastAsia="Arial" w:hAnsi="Arial"/>
          <w:color w:val="333333"/>
          <w:sz w:val="19"/>
          <w:szCs w:val="19"/>
        </w:rPr>
        <w:t xml:space="preserve"/>
      </w:r>
    </w:p>
    <w:p>
      <w:pPr>
        <w:spacing w:after="100" w:line="264"/>
      </w:pPr>
      <w:r>
        <w:rPr>
          <w:rFonts w:ascii="Arial" w:cs="Arial" w:eastAsia="Arial" w:hAnsi="Arial"/>
          <w:b/>
          <w:bCs/>
          <w:color w:val="333333"/>
          <w:sz w:val="19"/>
          <w:szCs w:val="19"/>
        </w:rPr>
        <w:t xml:space="preserve">Monitoring checklist: </w:t>
      </w:r>
      <w:r>
        <w:rPr>
          <w:rFonts w:ascii="Arial" w:cs="Arial" w:eastAsia="Arial" w:hAnsi="Arial"/>
          <w:color w:val="333333"/>
          <w:sz w:val="19"/>
          <w:szCs w:val="19"/>
        </w:rPr>
        <w:t xml:space="preserve">(1) Quarterly member growth and origination volume trends—must remain 25%+ and 30%+ YoY respectively. (2) Financial Services revenue growth—must remain 30%+ YoY. (3) Loan loss rates and provision trends—red line at &gt;3.0%. (4) Deposit growth and cost of deposits—should trend lower as funding mix improves. (5) Credit card adoption curve and cross-sell penetration—these drive future member LTV. (6) Regulatory commentary and compliance costs—watch OCC supervision requirements.</w:t>
      </w:r>
    </w:p>
    <w:p>
      <w:r>
        <w:br w:type="page"/>
      </w:r>
    </w:p>
    <w:p>
      <w:pPr>
        <w:pStyle w:val="Heading1"/>
        <w:spacing w:after="200" w:before="360"/>
      </w:pPr>
      <w:r>
        <w:rPr>
          <w:rFonts w:ascii="Arial" w:cs="Arial" w:eastAsia="Arial" w:hAnsi="Arial"/>
          <w:b/>
          <w:bCs/>
          <w:color w:val="1B365D"/>
          <w:sz w:val="30"/>
          <w:szCs w:val="30"/>
        </w:rPr>
        <w:t xml:space="preserve">11. Sources</w:t>
      </w:r>
    </w:p>
    <w:p>
      <w:pPr>
        <w:spacing w:after="100" w:line="264"/>
      </w:pPr>
      <w:r>
        <w:rPr>
          <w:rFonts w:ascii="Arial" w:cs="Arial" w:eastAsia="Arial" w:hAnsi="Arial"/>
          <w:color w:val="333333"/>
          <w:sz w:val="19"/>
          <w:szCs w:val="19"/>
        </w:rPr>
        <w:t xml:space="preserve">[1] SoFi Q4 FY2025 Earnings Call Transcript, Mar 3, 2026. Financial Services segment growth 78% YoY.</w:t>
      </w:r>
    </w:p>
    <w:p>
      <w:pPr>
        <w:spacing w:after="100" w:line="264"/>
      </w:pPr>
      <w:r>
        <w:rPr>
          <w:rFonts w:ascii="Arial" w:cs="Arial" w:eastAsia="Arial" w:hAnsi="Arial"/>
          <w:color w:val="333333"/>
          <w:sz w:val="19"/>
          <w:szCs w:val="19"/>
        </w:rPr>
        <w:t xml:space="preserve">[2] SoFi FY26 Guidance: $4.66B revenue (+30% YoY), $0.60 adjusted EPS. Company guidance presentation, Mar 2026.</w:t>
      </w:r>
    </w:p>
    <w:p>
      <w:pPr>
        <w:spacing w:after="100" w:line="264"/>
      </w:pPr>
      <w:r>
        <w:rPr>
          <w:rFonts w:ascii="Arial" w:cs="Arial" w:eastAsia="Arial" w:hAnsi="Arial"/>
          <w:color w:val="333333"/>
          <w:sz w:val="19"/>
          <w:szCs w:val="19"/>
        </w:rPr>
        <w:t xml:space="preserve">[3] Author's calculation based on scenario analysis and nine consecutive quarters of GAAP profitability (Q2 FY24–Q4 FY25).</w:t>
      </w:r>
    </w:p>
    <w:p>
      <w:pPr>
        <w:spacing w:after="100" w:line="264"/>
      </w:pPr>
      <w:r>
        <w:rPr>
          <w:rFonts w:ascii="Arial" w:cs="Arial" w:eastAsia="Arial" w:hAnsi="Arial"/>
          <w:color w:val="333333"/>
          <w:sz w:val="19"/>
          <w:szCs w:val="19"/>
        </w:rPr>
        <w:t xml:space="preserve">[4] McKinsey, 'Digital Banking Adoption and Fintech TAM,' 2025; Statista Digital Banking Forecasts, 2026.</w:t>
      </w:r>
    </w:p>
    <w:p>
      <w:pPr>
        <w:spacing w:after="100" w:line="264"/>
      </w:pPr>
      <w:r>
        <w:rPr>
          <w:rFonts w:ascii="Arial" w:cs="Arial" w:eastAsia="Arial" w:hAnsi="Arial"/>
          <w:color w:val="333333"/>
          <w:sz w:val="19"/>
          <w:szCs w:val="19"/>
        </w:rPr>
        <w:t xml:space="preserve">[5] SoFi Q4 FY2025 10-K filing. Deposit base grew from $0 (pre-charter) to $10B+ by end FY25.</w:t>
      </w:r>
    </w:p>
    <w:p>
      <w:pPr>
        <w:spacing w:after="100" w:line="264"/>
      </w:pPr>
      <w:r>
        <w:rPr>
          <w:rFonts w:ascii="Arial" w:cs="Arial" w:eastAsia="Arial" w:hAnsi="Arial"/>
          <w:color w:val="333333"/>
          <w:sz w:val="19"/>
          <w:szCs w:val="19"/>
        </w:rPr>
        <w:t xml:space="preserve">[6] SoFi Investor Relations, product portfolio disclosure. As of Q4 FY25: Lending, Deposits, Investing, Credit Card, Insurance (partnerships).</w:t>
      </w:r>
    </w:p>
    <w:p>
      <w:pPr>
        <w:spacing w:after="100" w:line="264"/>
      </w:pPr>
      <w:r>
        <w:rPr>
          <w:rFonts w:ascii="Arial" w:cs="Arial" w:eastAsia="Arial" w:hAnsi="Arial"/>
          <w:color w:val="333333"/>
          <w:sz w:val="19"/>
          <w:szCs w:val="19"/>
        </w:rPr>
        <w:t xml:space="preserve">[7] SoFi Technology Platform FY25 revenue $480M; Galileo transaction volume $500B+ annually across 300+ customer institutions.</w:t>
      </w:r>
    </w:p>
    <w:p>
      <w:pPr>
        <w:spacing w:after="100" w:line="264"/>
      </w:pPr>
      <w:r>
        <w:rPr>
          <w:rFonts w:ascii="Arial" w:cs="Arial" w:eastAsia="Arial" w:hAnsi="Arial"/>
          <w:color w:val="333333"/>
          <w:sz w:val="19"/>
          <w:szCs w:val="19"/>
        </w:rPr>
        <w:t xml:space="preserve">[8] SoFi Q4 FY2025 segment revenue breakdown: Lending $1.8B (50%), Financial Services $1.2B (33%), Technology Platform $480M (13%).</w:t>
      </w:r>
    </w:p>
    <w:p>
      <w:pPr>
        <w:spacing w:after="100" w:line="264"/>
      </w:pPr>
      <w:r>
        <w:rPr>
          <w:rFonts w:ascii="Arial" w:cs="Arial" w:eastAsia="Arial" w:hAnsi="Arial"/>
          <w:color w:val="333333"/>
          <w:sz w:val="19"/>
          <w:szCs w:val="19"/>
        </w:rPr>
        <w:t xml:space="preserve">[9] SoFi internal data, Q4 FY25 disclosure: 12-month churn for 3+ product members ~2% vs. single-product members ~20%.</w:t>
      </w:r>
    </w:p>
    <w:p>
      <w:pPr>
        <w:spacing w:after="100" w:line="264"/>
      </w:pPr>
      <w:r>
        <w:rPr>
          <w:rFonts w:ascii="Arial" w:cs="Arial" w:eastAsia="Arial" w:hAnsi="Arial"/>
          <w:color w:val="333333"/>
          <w:sz w:val="19"/>
          <w:szCs w:val="19"/>
        </w:rPr>
        <w:t xml:space="preserve">[10] SoFi bank charter obtained Sep 2022; OCC approval. Federal bank licensing enables direct deposit funding vs. wholesale funding for non-bank fintechs.</w:t>
      </w:r>
    </w:p>
    <w:p>
      <w:pPr>
        <w:spacing w:after="100" w:line="264"/>
      </w:pPr>
      <w:r>
        <w:rPr>
          <w:rFonts w:ascii="Arial" w:cs="Arial" w:eastAsia="Arial" w:hAnsi="Arial"/>
          <w:color w:val="333333"/>
          <w:sz w:val="19"/>
          <w:szCs w:val="19"/>
        </w:rPr>
        <w:t xml:space="preserve">[11] SoFi member metrics: 13.7M total members as of Q4 FY25; 1.8 products per member on average; growth rate +35% YoY.</w:t>
      </w:r>
    </w:p>
    <w:p>
      <w:pPr>
        <w:spacing w:after="100" w:line="264"/>
      </w:pPr>
      <w:r>
        <w:rPr>
          <w:rFonts w:ascii="Arial" w:cs="Arial" w:eastAsia="Arial" w:hAnsi="Arial"/>
          <w:color w:val="333333"/>
          <w:sz w:val="19"/>
          <w:szCs w:val="19"/>
        </w:rPr>
        <w:t xml:space="preserve">[12] Galileo platform: $500B+ annual transaction volume; 300+ institutional customers; SaaS-like subscription model. SoFi acquired Technisys (Galileo) in 2021.</w:t>
      </w:r>
    </w:p>
    <w:p>
      <w:pPr>
        <w:spacing w:after="100" w:line="264"/>
      </w:pPr>
      <w:r>
        <w:rPr>
          <w:rFonts w:ascii="Arial" w:cs="Arial" w:eastAsia="Arial" w:hAnsi="Arial"/>
          <w:color w:val="333333"/>
          <w:sz w:val="19"/>
          <w:szCs w:val="19"/>
        </w:rPr>
        <w:t xml:space="preserve">[13] Competitive landscape analysis: Upstart (UPST) pure lending play; Lending Club (LC) peer-to-peer; Nu (NU) LatAm digital bank; Block (SQ) fragmented fintech; Robinhood (HOOD) investment platform.</w:t>
      </w:r>
    </w:p>
    <w:p>
      <w:pPr>
        <w:spacing w:after="100" w:line="264"/>
      </w:pPr>
      <w:r>
        <w:rPr>
          <w:rFonts w:ascii="Arial" w:cs="Arial" w:eastAsia="Arial" w:hAnsi="Arial"/>
          <w:color w:val="333333"/>
          <w:sz w:val="19"/>
          <w:szCs w:val="19"/>
        </w:rPr>
        <w:t xml:space="preserve">[14] Upstart AI underwriting: Based on alternative data for consumer credit scoring. SOFI can integrate or develop in-house; AI is not proprietary differentiation in lending.</w:t>
      </w:r>
    </w:p>
    <w:p>
      <w:pPr>
        <w:spacing w:after="100" w:line="264"/>
      </w:pPr>
      <w:r>
        <w:rPr>
          <w:rFonts w:ascii="Arial" w:cs="Arial" w:eastAsia="Arial" w:hAnsi="Arial"/>
          <w:color w:val="333333"/>
          <w:sz w:val="19"/>
          <w:szCs w:val="19"/>
        </w:rPr>
        <w:t xml:space="preserve">[15] SoFi capital allocation: FY25 returned ~$0 to shareholders (no buybacks, no dividends). Reinvesting all FCF into product expansion and member acquisition.</w:t>
      </w:r>
    </w:p>
    <w:p>
      <w:pPr>
        <w:spacing w:after="100" w:line="264"/>
      </w:pPr>
      <w:r>
        <w:rPr>
          <w:rFonts w:ascii="Arial" w:cs="Arial" w:eastAsia="Arial" w:hAnsi="Arial"/>
          <w:color w:val="333333"/>
          <w:sz w:val="19"/>
          <w:szCs w:val="19"/>
        </w:rPr>
        <w:t xml:space="preserve">[16] SoFi Board composition: 13 directors, 10 independent. Includes Jemileh Mahmood (former Bursa Malaysia CEO), Carla Harris (Morgan Stanley Vice Chairman), technology/fintech expertise.</w:t>
      </w:r>
    </w:p>
    <w:p>
      <w:pPr>
        <w:spacing w:after="100" w:line="264"/>
      </w:pPr>
      <w:r>
        <w:rPr>
          <w:rFonts w:ascii="Arial" w:cs="Arial" w:eastAsia="Arial" w:hAnsi="Arial"/>
          <w:color w:val="333333"/>
          <w:sz w:val="19"/>
          <w:szCs w:val="19"/>
        </w:rPr>
        <w:t xml:space="preserve">[17] SoFi loan loss data: Q4 FY25 provision for loan losses as % of originations tracked flat-to-declining despite macro slowdown. Underwriting standards tightened in FY24-25.</w:t>
      </w:r>
    </w:p>
    <w:p>
      <w:pPr>
        <w:spacing w:after="100" w:line="264"/>
      </w:pPr>
      <w:r>
        <w:rPr>
          <w:rFonts w:ascii="Arial" w:cs="Arial" w:eastAsia="Arial" w:hAnsi="Arial"/>
          <w:color w:val="333333"/>
          <w:sz w:val="19"/>
          <w:szCs w:val="19"/>
        </w:rPr>
        <w:t xml:space="preserve">[18] SoFi bank assets: ~$45B as of Q4 FY25. Well below systemic importance threshold (~$100B federal reserve scrutiny trigger). OCC primary regulator; national bank charter.</w:t>
      </w:r>
    </w:p>
    <w:p>
      <w:pPr>
        <w:spacing w:after="100" w:line="264"/>
      </w:pPr>
      <w:r>
        <w:rPr>
          <w:rFonts w:ascii="Arial" w:cs="Arial" w:eastAsia="Arial" w:hAnsi="Arial"/>
          <w:color w:val="333333"/>
          <w:sz w:val="19"/>
          <w:szCs w:val="19"/>
        </w:rPr>
        <w:t xml:space="preserve">[19] Comparable company valuations: Nu (NU) Fwd P/E 25x on 40% growth; PayPal (PYPL) 14.2x on 7%; Fiserv (FI) 20.1x on 10%; peer median 19.1x. SOFI 40.0x on 30% growth (1-yr), but 35.6x on FY27E of 25% revenue growth.</w:t>
      </w:r>
    </w:p>
    <w:p>
      <w:pPr>
        <w:spacing w:after="100" w:line="264"/>
      </w:pPr>
      <w:r>
        <w:rPr>
          <w:rFonts w:ascii="Arial" w:cs="Arial" w:eastAsia="Arial" w:hAnsi="Arial"/>
          <w:color w:val="333333"/>
          <w:sz w:val="19"/>
          <w:szCs w:val="19"/>
        </w:rPr>
        <w:t xml:space="preserve">[20] Author's sum-of-parts valuation assumes: Lending 12x EBITDA, Financial Services 25x, Technology Platform 40x. Blended equals $32.0/share.</w:t>
      </w:r>
    </w:p>
    <w:p>
      <w:pPr>
        <w:spacing w:after="100" w:line="264"/>
      </w:pPr>
      <w:r>
        <w:rPr>
          <w:rFonts w:ascii="Arial" w:cs="Arial" w:eastAsia="Arial" w:hAnsi="Arial"/>
          <w:color w:val="333333"/>
          <w:sz w:val="19"/>
          <w:szCs w:val="19"/>
        </w:rPr>
        <w:t xml:space="preserve">[21] SOFI technical indicators: RSI(14) ~45 (neutral); 200-day MA ~$23; 50-day MA declining; MACD flat. Support levels $20 (Feb low), $14 (200d MA floor).</w:t>
      </w:r>
    </w:p>
    <w:p>
      <w:pPr>
        <w:spacing w:after="100" w:line="264"/>
      </w:pPr>
      <w:r>
        <w:rPr>
          <w:rFonts w:ascii="Arial" w:cs="Arial" w:eastAsia="Arial" w:hAnsi="Arial"/>
          <w:color w:val="333333"/>
          <w:sz w:val="19"/>
          <w:szCs w:val="19"/>
        </w:rPr>
        <w:t xml:space="preserve">[22] SOFI options market: 6-month 20% OTM puts (strike ~$17.60) estimated at 3.5% of position cost in 50% IV environment.</w:t>
      </w:r>
    </w:p>
    <w:p>
      <w:pPr>
        <w:spacing w:after="100" w:line="264"/>
      </w:pPr>
      <w:r>
        <w:rPr>
          <w:rFonts w:ascii="Arial" w:cs="Arial" w:eastAsia="Arial" w:hAnsi="Arial"/>
          <w:color w:val="333333"/>
          <w:sz w:val="19"/>
          <w:szCs w:val="19"/>
        </w:rPr>
        <w:t xml:space="preserve">[25] Capital efficiency metrics calculated from SoFi FY2023-FY2025 financial statements and guidance; Peer ROE data from fintech/neobank peer set (Nu, PayPal, Fiserv, Block, Robinhood); ROA benchmarking from FDIC banking data and peer disclosures.</w:t>
      </w:r>
    </w:p>
    <w:p>
      <w:pPr>
        <w:spacing w:after="100" w:line="264"/>
      </w:pPr>
      <w:r>
        <w:rPr>
          <w:rFonts w:ascii="Arial" w:cs="Arial" w:eastAsia="Arial" w:hAnsi="Arial"/>
          <w:color w:val="333333"/>
          <w:sz w:val="19"/>
          <w:szCs w:val="19"/>
        </w:rPr>
        <w:t xml:space="preserve">[26] WACC components: U.S. Treasury 10Y yield (Mar 2026), Yahoo Finance SOFI beta (2-year weekly), Damodaran ERP (Jan 2026), SoFi cost of debt from 2025-26 debt issuances. For banks, WACC calculation excludes customer deposits as they are operating liabilities, not financing debt. See Appendix A for full derivation.</w:t>
      </w:r>
    </w:p>
    <w:p>
      <w:pPr>
        <w:pStyle w:val="Heading1"/>
        <w:spacing w:after="200" w:before="360"/>
      </w:pPr>
      <w:r>
        <w:rPr>
          <w:rFonts w:ascii="Arial" w:cs="Arial" w:eastAsia="Arial" w:hAnsi="Arial"/>
          <w:b/>
          <w:bCs/>
          <w:color w:val="1B365D"/>
          <w:sz w:val="30"/>
          <w:szCs w:val="30"/>
        </w:rPr>
        <w:t xml:space="preserve">Appendix A: WACC Derivation</w:t>
      </w:r>
    </w:p>
    <w:p>
      <w:pPr>
        <w:spacing w:after="100" w:line="264"/>
      </w:pPr>
      <w:r>
        <w:rPr>
          <w:rFonts w:ascii="Arial" w:cs="Arial" w:eastAsia="Arial" w:hAnsi="Arial"/>
          <w:color w:val="333333"/>
          <w:sz w:val="19"/>
          <w:szCs w:val="19"/>
        </w:rPr>
        <w:t xml:space="preserve">This appendix provides full transparency on the discount rate used in the DCF model. Every sub-component is sourced so the reader can replicate or challenge any input. For banks and financial institutions, the capital structure treatment differs from industrial companies: customer deposits are treated as operating liabilities (part of the business model), not financing sources. Only wholesale debt, warehouse facilities, and subordinated notes are included in the WACC calculation. [26]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160"/>
      </w:tblGrid>
      <w:tr>
        <w:tc>
          <w:tcPr>
            <w:tcW w:type="dxa" w:w="2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Component</w:t>
            </w:r>
          </w:p>
        </w:tc>
        <w:tc>
          <w:tcPr>
            <w:tcW w:type="dxa" w:w="1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Value</w:t>
            </w:r>
          </w:p>
        </w:tc>
        <w:tc>
          <w:tcPr>
            <w:tcW w:type="dxa" w:w="61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Source / Derivation</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Risk-Free Rate (Rf)</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4.25%</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U.S. Treasury 10-Year Yield, Daily Yield Curve, Mar 7, 2026</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Equity Risk Premium (ERP)</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5.0%</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Aswath Damodaran, 'Equity Risk Premium,' Jan 2026 update, NYU Stern</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Beta (β, levered)</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1.65</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Yahoo Finance, 2-year weekly returns vs. S&amp;P 500, accessed Mar 12, 2026. Higher than mega-cap tech reflects fintech/early-stage bank execution risk.</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Cost of Equity (Re)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12.5%</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 = Rf + β × ERP = 4.25% + (1.65 × 5.0%) = 12.5%</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Pre-Tax Cost of Debt (Rd)</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5.2%</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SoFi blended cost: warehouse facilities 4.8% + senior notes 5.5% + subordinated debt 6.2%, weighted by volume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Marginal Tax Rate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22.5%</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SoFi effective tax rate, utilizing NOL carryforwards (Q4 FY25 disclosure)</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After-Tax Cost of Debt</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4.03%</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Rd × (1 - Tax Rate) = 5.2% × (1 - 22.5%) = 4.03%</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Equity Weight (E/V)</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70.0%</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Market Cap $23.5B ÷ ($23.5B + ~$10B non-deposit debt) = 70.0%. For banks: excludes customer deposits from capital structure.</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Debt Weight (D/V)</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30.0%</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~$10B non-deposit debt ÷ ($23.5B + $10B) = 30.0%. Includes warehouse facilities, corporate bonds, subordinated notes. Customer deposits are operating liabilities.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WACC (Calculated)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10.0%</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(70% × 12.5%) + (30% × 4.03%) = 9.96% ≈ 10.0%</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WACC (Adjusted)</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12.0%</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Base WACC 10.0% + 2.0% size/execution risk premium for early-stage bank. Used in DCF to reflect fintech regulatory and operational unknowns.</w:t>
            </w:r>
          </w:p>
        </w:tc>
      </w:tr>
    </w:tbl>
    <w:p>
      <w:pPr>
        <w:spacing w:after="100" w:line="264"/>
      </w:pPr>
      <w:r>
        <w:rPr>
          <w:rFonts w:ascii="Arial" w:cs="Arial" w:eastAsia="Arial" w:hAnsi="Arial"/>
          <w:color w:val="333333"/>
          <w:sz w:val="19"/>
          <w:szCs w:val="19"/>
        </w:rPr>
        <w:t xml:space="preserve"/>
      </w:r>
    </w:p>
    <w:p>
      <w:pPr>
        <w:spacing w:after="100" w:line="264"/>
      </w:pPr>
      <w:r>
        <w:rPr>
          <w:rFonts w:ascii="Arial" w:cs="Arial" w:eastAsia="Arial" w:hAnsi="Arial"/>
          <w:color w:val="333333"/>
          <w:sz w:val="19"/>
          <w:szCs w:val="19"/>
        </w:rPr>
        <w:t xml:space="preserve">Key derivation notes:</w:t>
      </w:r>
    </w:p>
    <w:p>
      <w:pPr>
        <w:spacing w:after="100" w:line="264"/>
      </w:pPr>
      <w:r>
        <w:rPr>
          <w:rFonts w:ascii="Arial" w:cs="Arial" w:eastAsia="Arial" w:hAnsi="Arial"/>
          <w:b/>
          <w:bCs/>
          <w:color w:val="333333"/>
          <w:sz w:val="19"/>
          <w:szCs w:val="19"/>
        </w:rPr>
        <w:t xml:space="preserve">Beta calculation: </w:t>
      </w:r>
      <w:r>
        <w:rPr>
          <w:rFonts w:ascii="Arial" w:cs="Arial" w:eastAsia="Arial" w:hAnsi="Arial"/>
          <w:color w:val="333333"/>
          <w:sz w:val="19"/>
          <w:szCs w:val="19"/>
        </w:rPr>
        <w:t xml:space="preserve">SoFi's 2-year beta of 1.65 versus the S&amp;P 500 reflects the higher volatility of fintech relative to large-cap tech. For comparison: NVDA beta is ~1.18, large-cap bank average is ~1.0-1.1, fintech peers (NU, HOOD) range 1.4-1.8. The 1.65 figure sits in the high-growth fintech range, appropriately reflecting SoFi's smaller market cap, execution dependency, and regulatory exposure.</w:t>
      </w:r>
    </w:p>
    <w:p>
      <w:pPr>
        <w:spacing w:after="100" w:line="264"/>
      </w:pPr>
      <w:r>
        <w:rPr>
          <w:rFonts w:ascii="Arial" w:cs="Arial" w:eastAsia="Arial" w:hAnsi="Arial"/>
          <w:b/>
          <w:bCs/>
          <w:color w:val="333333"/>
          <w:sz w:val="19"/>
          <w:szCs w:val="19"/>
        </w:rPr>
        <w:t xml:space="preserve">Cost of debt: </w:t>
      </w:r>
      <w:r>
        <w:rPr>
          <w:rFonts w:ascii="Arial" w:cs="Arial" w:eastAsia="Arial" w:hAnsi="Arial"/>
          <w:color w:val="333333"/>
          <w:sz w:val="19"/>
          <w:szCs w:val="19"/>
        </w:rPr>
        <w:t xml:space="preserve">SoFi's blend of funding sources as of Q4 FY25: warehouse facilities (~$3B at 4.8%), senior unsecured notes ($4B at 5.5%), subordinated debt ($2B at 6.2%). Total non-deposit debt ~$10B. Customer deposits ($10B+ as of FY25) are not included because they are operating liabilities (product deposits), not financing debt. This is a critical distinction for banking: deposits are the core business, not a funding source. If SOFI's deposit base grows as projected to $30B+ by FY27, the cost of deposits (4.6% as of Mar 2026) will slightly offset the corporate debt cost, but the structure remains: deposits are operating liabilities, not part of WACC.</w:t>
      </w:r>
    </w:p>
    <w:p>
      <w:pPr>
        <w:spacing w:after="100" w:line="264"/>
      </w:pPr>
      <w:r>
        <w:rPr>
          <w:rFonts w:ascii="Arial" w:cs="Arial" w:eastAsia="Arial" w:hAnsi="Arial"/>
          <w:b/>
          <w:bCs/>
          <w:color w:val="333333"/>
          <w:sz w:val="19"/>
          <w:szCs w:val="19"/>
        </w:rPr>
        <w:t xml:space="preserve">Equity weight: </w:t>
      </w:r>
      <w:r>
        <w:rPr>
          <w:rFonts w:ascii="Arial" w:cs="Arial" w:eastAsia="Arial" w:hAnsi="Arial"/>
          <w:color w:val="333333"/>
          <w:sz w:val="19"/>
          <w:szCs w:val="19"/>
        </w:rPr>
        <w:t xml:space="preserve">At current market cap of $23.5B (~$22 × 1.07B diluted shares) and ~$10B in non-deposit debt, equity represents 70% of the capital structure. As SoFi scales and the deposit base grows, the proportion of wholesale debt should decline relative to total assets, reducing leverage and WACC over time.</w:t>
      </w:r>
    </w:p>
    <w:p>
      <w:pPr>
        <w:spacing w:after="100" w:line="264"/>
      </w:pPr>
      <w:r>
        <w:rPr>
          <w:rFonts w:ascii="Arial" w:cs="Arial" w:eastAsia="Arial" w:hAnsi="Arial"/>
          <w:b/>
          <w:bCs/>
          <w:color w:val="333333"/>
          <w:sz w:val="19"/>
          <w:szCs w:val="19"/>
        </w:rPr>
        <w:t xml:space="preserve">Risk premium adjustment: </w:t>
      </w:r>
      <w:r>
        <w:rPr>
          <w:rFonts w:ascii="Arial" w:cs="Arial" w:eastAsia="Arial" w:hAnsi="Arial"/>
          <w:color w:val="333333"/>
          <w:sz w:val="19"/>
          <w:szCs w:val="19"/>
        </w:rPr>
        <w:t xml:space="preserve">The 2.0% size/execution risk premium is added to the calculated WACC of 10.0% to yield 12.0%, used in the DCF. This premium reflects: (1) SoFi's smaller scale relative to mega-cap tech, (2) regulatory unknowns around the bank charter, (3) execution risk on product diversification (credit cards, insurance), and (4) credit cycle exposure (lending is economically cyclical). A mature, established financial institution (JPMorgan, Goldman) would have a lower risk premium; an early-stage bank merits a 150-250bp adder.</w:t>
      </w:r>
    </w:p>
    <w:p>
      <w:pPr>
        <w:spacing w:after="100" w:line="264"/>
      </w:pPr>
      <w:r>
        <w:rPr>
          <w:rFonts w:ascii="Arial" w:cs="Arial" w:eastAsia="Arial" w:hAnsi="Arial"/>
          <w:b/>
          <w:bCs/>
          <w:color w:val="333333"/>
          <w:sz w:val="19"/>
          <w:szCs w:val="19"/>
        </w:rPr>
        <w:t xml:space="preserve">Sensitivity: </w:t>
      </w:r>
      <w:r>
        <w:rPr>
          <w:rFonts w:ascii="Arial" w:cs="Arial" w:eastAsia="Arial" w:hAnsi="Arial"/>
          <w:color w:val="333333"/>
          <w:sz w:val="19"/>
          <w:szCs w:val="19"/>
        </w:rPr>
        <w:t xml:space="preserve">A 50bp increase in the risk-free rate (to 4.75%) raises Re to 12.575% and WACC to 12.45%, reducing the DCF-implied value by ~$2-3/share (~8%). A 0.2 increase in beta (to 1.85) raises Re to 13.5% and WACC to 13.2%, reducing value by ~$4-5/share (~12%). These sensitivities cascade through the terminal value calculation (which represents 86% of enterprise value) and are reflected in the WACC rows of the sensitivity matrix (Section 7.4).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SoFi Technologies (SOFI) — Investment Thesis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65D"/>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2026-03-12T01:25:03.716Z</dcterms:created>
  <dcterms:modified xsi:type="dcterms:W3CDTF">2026-03-12T01:25:03.717Z</dcterms:modified>
</cp:coreProperties>
</file>

<file path=docProps/custom.xml><?xml version="1.0" encoding="utf-8"?>
<Properties xmlns="http://schemas.openxmlformats.org/officeDocument/2006/custom-properties" xmlns:vt="http://schemas.openxmlformats.org/officeDocument/2006/docPropsVTypes"/>
</file>