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Scarcity in Central Asian Cities</w:t>
      </w:r>
    </w:p>
    <w:p>
      <w:pPr>
        <w:pStyle w:val="Heading1"/>
      </w:pPr>
      <w:r>
        <w:t>1. Introduction</w:t>
      </w:r>
    </w:p>
    <w:p>
      <w:pPr/>
      <w:r>
        <w:t>Urban water demand across Central Asia has risen sharply over the past two decades, driven by population growth, expanding irrigation, and ageing distribution networks. Municipal utilities in the region now face a structural gap between supply commitments and available flow.</w:t>
      </w:r>
    </w:p>
    <w:p>
      <w:pPr/>
      <w:r>
        <w:t>This paper examines how three cities have responded to that gap, and asks whether tariff reform has produced measurable reductions in household consumption.</w:t>
      </w:r>
    </w:p>
    <w:p>
      <w:pPr>
        <w:pStyle w:val="Heading1"/>
      </w:pPr>
      <w:r>
        <w:t>2. Background</w:t>
      </w:r>
    </w:p>
    <w:p>
      <w:pPr/>
      <w:r>
        <w:t>Water allocation in the region remains governed by agreements inherited from the Soviet period, under which upstream and downstream states negotiated seasonal releases. Those arrangements assumed a level of agricultural coordination that no longer exists.</w:t>
      </w:r>
    </w:p>
    <w:p>
      <w:pPr>
        <w:pStyle w:val="Heading2"/>
      </w:pPr>
      <w:r>
        <w:t>2.1 The Aral Sea Basin</w:t>
      </w:r>
    </w:p>
    <w:p>
      <w:pPr/>
      <w:r>
        <w:t>The contraction of the Aral Sea is the most visible consequence of sustained over-abstraction. Estimates of the remaining volume vary considerably depending on the measurement method used.</w:t>
      </w:r>
    </w:p>
    <w:p>
      <w:pPr>
        <w:pStyle w:val="Heading1"/>
      </w:pPr>
      <w:r>
        <w:t>3. Methodology</w:t>
      </w:r>
    </w:p>
    <w:p>
      <w:pPr/>
      <w:r>
        <w:t>The study combines household survey data with utility billing records collected between 2023 and 2025. Three districts were selected to represent different network ages and tariff structures.</w:t>
      </w:r>
    </w:p>
    <w:p>
      <w:pPr/>
      <w:r>
        <w:t>The study faced several constraints:</w:t>
      </w:r>
    </w:p>
    <w:p>
      <w:pPr/>
      <w:r>
        <w:t>1. Time constraints: the fieldwork window was limited to eight weeks during the summer season.</w:t>
      </w:r>
    </w:p>
    <w:p>
      <w:pPr/>
      <w:r>
        <w:t>2. Data access: municipal water records were not publicly available and had to be requested individually.</w:t>
      </w:r>
    </w:p>
    <w:p>
      <w:pPr/>
      <w:r>
        <w:t>3. Language barriers: several policy documents existed only in Uzbek and required translation.</w:t>
      </w:r>
    </w:p>
    <w:p>
      <w:pPr>
        <w:pStyle w:val="Heading1"/>
      </w:pPr>
      <w:r>
        <w:t>4. Findings</w:t>
      </w:r>
    </w:p>
    <w:p>
      <w:pPr>
        <w:pStyle w:val="Heading3"/>
      </w:pPr>
      <w:r>
        <w:t>Consumption fell in all three districts following tariff revision, but the magnitude varied widely. The district with the oldest network showed the smallest reduction, suggesting that physical losses dominate behavioural change where infrastructure is degraded.</w:t>
      </w:r>
    </w:p>
    <w:p>
      <w:pPr/>
      <w:r>
        <w:t>Table 1. Household water use by district, 2023-2025</w:t>
      </w:r>
    </w:p>
    <w:p>
      <w:pPr/>
      <w:r>
        <w:t>The pattern is consistent with earlier work on tariff elasticity in transition economies.</w:t>
      </w:r>
    </w:p>
    <w:p>
      <w:pPr>
        <w:pStyle w:val="Heading1"/>
      </w:pPr>
      <w:r>
        <w:t>5. Discussion</w:t>
      </w:r>
    </w:p>
    <w:p>
      <w:pPr/>
      <w:r>
        <w:t>These results suggest that tariff policy is a necessary but insufficient instrument. Where distribution losses exceed roughly a quarter of supply, investment in the network yields larger returns than price adjustment.</w:t>
      </w:r>
    </w:p>
    <w:p>
      <w:pPr/>
      <w:r>
        <w:t>6. Conclusion</w:t>
      </w:r>
    </w:p>
    <w:p>
      <w:pPr/>
      <w:r>
        <w:t>Tariff reform alone will not close the supply gap in the cities studied. A sequenced approach, prioritising leak reduction before price adjustment, appears better matched to conditions in the region.</w:t>
      </w:r>
    </w:p>
    <w:p>
      <w:pPr>
        <w:pStyle w:val="Heading1"/>
      </w:pPr>
      <w:r>
        <w:t>7 References</w:t>
      </w:r>
    </w:p>
    <w:p>
      <w:pPr/>
      <w:r>
        <w:t>Karimov, A. (2021). Urban water management in Uzbekistan. Central Asian Studies, 14(2), 88-104.</w:t>
      </w:r>
    </w:p>
    <w:p>
      <w:pPr/>
      <w:r>
        <w:t>Nazarova, D. and Ibrahim, S. (2019). Water governance in transition. Tashkent: Fan Press.</w:t>
      </w:r>
    </w:p>
    <w:p>
      <w:pPr/>
      <w:r>
        <w:t>World Bank (2022). Central Asia water security assessment. Washington DC: World Bank.</w:t>
      </w:r>
    </w:p>
    <w:p>
      <w:pPr>
        <w:pStyle w:val="Heading1"/>
      </w:pPr>
      <w:r>
        <w:t>8 Appendix A</w:t>
      </w:r>
    </w:p>
    <w:p>
      <w:pPr/>
      <w:r>
        <w:t>Survey instruments, coding sheets and anonymised response data are available from the author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