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p>
    <w:p>
      <w:pPr>
        <w:pStyle w:val="2"/>
        <w:widowControl/>
        <w:spacing w:before="340" w:after="330" w:line="578" w:lineRule="atLeast"/>
        <w:jc w:val="center"/>
        <w:rPr>
          <w:sz w:val="44"/>
        </w:rPr>
      </w:pPr>
      <w:r>
        <w:rPr>
          <w:rFonts w:hint="eastAsia"/>
          <w:sz w:val="44"/>
        </w:rPr>
        <w:t>云南省企业就业失业数据采集系统</w:t>
      </w:r>
    </w:p>
    <w:p>
      <w:pPr>
        <w:pStyle w:val="2"/>
        <w:widowControl/>
        <w:spacing w:before="340" w:after="330" w:line="578" w:lineRule="atLeast"/>
        <w:jc w:val="center"/>
        <w:rPr>
          <w:sz w:val="44"/>
        </w:rPr>
      </w:pPr>
      <w:r>
        <w:rPr>
          <w:rFonts w:hint="eastAsia"/>
          <w:sz w:val="44"/>
        </w:rPr>
        <w:t>项目风险管理计划</w:t>
      </w:r>
    </w:p>
    <w:p/>
    <w:p/>
    <w:p>
      <w:pPr>
        <w:pStyle w:val="10"/>
        <w:shd w:val="clear" w:color="auto" w:fill="FFFFFF"/>
        <w:spacing w:before="0" w:beforeAutospacing="0" w:after="0" w:afterAutospacing="0" w:line="240" w:lineRule="auto"/>
        <w:jc w:val="center"/>
        <w:rPr>
          <w:rStyle w:val="13"/>
          <w:rFonts w:cs="Arial" w:asciiTheme="majorHAnsi" w:hAnsiTheme="majorHAnsi" w:eastAsiaTheme="majorHAnsi"/>
          <w:color w:val="4D4D4D"/>
          <w:sz w:val="32"/>
          <w:szCs w:val="32"/>
        </w:rPr>
      </w:pPr>
      <w:bookmarkStart w:id="0" w:name="_Hlk163468773"/>
      <w:r>
        <w:rPr>
          <w:rStyle w:val="13"/>
          <w:rFonts w:cs="Arial" w:asciiTheme="majorHAnsi" w:hAnsiTheme="majorHAnsi" w:eastAsiaTheme="majorHAnsi"/>
          <w:color w:val="4D4D4D"/>
          <w:sz w:val="32"/>
          <w:szCs w:val="32"/>
        </w:rPr>
        <w:t>XX软件开发公司</w:t>
      </w:r>
    </w:p>
    <w:p>
      <w:pPr>
        <w:pStyle w:val="10"/>
        <w:shd w:val="clear" w:color="auto" w:fill="FFFFFF"/>
        <w:spacing w:before="0" w:beforeAutospacing="0" w:after="0" w:afterAutospacing="0" w:line="240" w:lineRule="auto"/>
        <w:jc w:val="center"/>
        <w:rPr>
          <w:rStyle w:val="13"/>
          <w:rFonts w:cs="Arial" w:asciiTheme="majorHAnsi" w:hAnsiTheme="majorHAnsi" w:eastAsiaTheme="majorHAnsi"/>
          <w:color w:val="4D4D4D"/>
          <w:sz w:val="32"/>
          <w:szCs w:val="32"/>
        </w:rPr>
      </w:pPr>
      <w:r>
        <w:rPr>
          <w:rStyle w:val="13"/>
          <w:rFonts w:cs="Arial" w:asciiTheme="majorHAnsi" w:hAnsiTheme="majorHAnsi" w:eastAsiaTheme="majorHAnsi"/>
          <w:color w:val="4D4D4D"/>
          <w:sz w:val="32"/>
          <w:szCs w:val="32"/>
        </w:rPr>
        <w:t>2024年4月</w:t>
      </w:r>
    </w:p>
    <w:p>
      <w:pPr>
        <w:pStyle w:val="10"/>
        <w:shd w:val="clear" w:color="auto" w:fill="FFFFFF"/>
        <w:spacing w:before="0" w:beforeAutospacing="0" w:after="0" w:afterAutospacing="0" w:line="240" w:lineRule="auto"/>
        <w:jc w:val="center"/>
        <w:rPr>
          <w:rStyle w:val="13"/>
          <w:rFonts w:cs="Arial"/>
          <w:color w:val="4D4D4D"/>
          <w:sz w:val="32"/>
          <w:szCs w:val="32"/>
        </w:rPr>
      </w:pPr>
    </w:p>
    <w:p>
      <w:pPr>
        <w:pStyle w:val="10"/>
        <w:shd w:val="clear" w:color="auto" w:fill="FFFFFF"/>
        <w:spacing w:before="0" w:beforeAutospacing="0" w:after="0" w:afterAutospacing="0" w:line="240" w:lineRule="auto"/>
        <w:jc w:val="center"/>
        <w:rPr>
          <w:rStyle w:val="13"/>
          <w:rFonts w:cs="Arial"/>
          <w:color w:val="4D4D4D"/>
          <w:sz w:val="32"/>
          <w:szCs w:val="32"/>
        </w:rPr>
      </w:pPr>
      <w:r>
        <w:rPr>
          <w:rStyle w:val="13"/>
          <w:rFonts w:hint="eastAsia" w:cs="Arial" w:asciiTheme="majorHAnsi" w:hAnsiTheme="majorHAnsi" w:eastAsiaTheme="majorHAnsi"/>
          <w:color w:val="4D4D4D"/>
          <w:sz w:val="32"/>
          <w:szCs w:val="32"/>
        </w:rPr>
        <w:t>编写人：</w:t>
      </w:r>
      <w:r>
        <w:rPr>
          <w:rStyle w:val="13"/>
          <w:rFonts w:hint="eastAsia" w:cs="Arial" w:eastAsiaTheme="majorHAnsi"/>
          <w:color w:val="4D4D4D"/>
          <w:sz w:val="32"/>
          <w:szCs w:val="32"/>
          <w:lang w:eastAsia="zh-CN"/>
        </w:rPr>
        <w:t>邱琨原</w:t>
      </w:r>
      <w:r>
        <w:rPr>
          <w:rStyle w:val="13"/>
          <w:rFonts w:cs="Arial"/>
          <w:color w:val="4D4D4D"/>
          <w:sz w:val="32"/>
          <w:szCs w:val="32"/>
        </w:rPr>
        <w:t xml:space="preserve"> </w:t>
      </w:r>
    </w:p>
    <w:p>
      <w:pPr>
        <w:pStyle w:val="10"/>
        <w:shd w:val="clear" w:color="auto" w:fill="FFFFFF"/>
        <w:spacing w:before="0" w:beforeAutospacing="0" w:after="0" w:afterAutospacing="0" w:line="240" w:lineRule="auto"/>
        <w:jc w:val="center"/>
        <w:rPr>
          <w:rStyle w:val="13"/>
          <w:rFonts w:hint="eastAsia" w:cs="Arial" w:eastAsiaTheme="majorHAnsi"/>
          <w:color w:val="4D4D4D"/>
          <w:sz w:val="32"/>
          <w:szCs w:val="32"/>
          <w:lang w:eastAsia="zh-CN"/>
        </w:rPr>
      </w:pPr>
      <w:r>
        <w:rPr>
          <w:rStyle w:val="13"/>
          <w:rFonts w:hint="eastAsia" w:cs="Arial" w:asciiTheme="majorHAnsi" w:hAnsiTheme="majorHAnsi" w:eastAsiaTheme="majorHAnsi"/>
          <w:color w:val="4D4D4D"/>
          <w:sz w:val="32"/>
          <w:szCs w:val="32"/>
        </w:rPr>
        <w:t>审核人：</w:t>
      </w:r>
      <w:r>
        <w:rPr>
          <w:rStyle w:val="13"/>
          <w:rFonts w:hint="eastAsia" w:cs="Arial" w:eastAsiaTheme="majorHAnsi"/>
          <w:color w:val="4D4D4D"/>
          <w:sz w:val="32"/>
          <w:szCs w:val="32"/>
          <w:lang w:eastAsia="zh-CN"/>
        </w:rPr>
        <w:t>邱琨原</w:t>
      </w:r>
    </w:p>
    <w:bookmarkEnd w:id="0"/>
    <w:p>
      <w:pPr>
        <w:pStyle w:val="10"/>
        <w:shd w:val="clear" w:color="auto" w:fill="FFFFFF"/>
        <w:spacing w:before="0" w:beforeAutospacing="0" w:after="0" w:afterAutospacing="0" w:line="240" w:lineRule="auto"/>
        <w:jc w:val="center"/>
        <w:rPr>
          <w:rStyle w:val="13"/>
          <w:rFonts w:cs="Arial"/>
          <w:color w:val="4D4D4D"/>
          <w:sz w:val="36"/>
          <w:szCs w:val="36"/>
        </w:rPr>
      </w:pP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引言</w:t>
      </w:r>
    </w:p>
    <w:p>
      <w:pPr>
        <w:ind w:left="360" w:firstLine="420"/>
        <w:rPr>
          <w:rFonts w:hint="eastAsia" w:ascii="Segoe UI" w:hAnsi="Segoe UI" w:cs="Segoe UI"/>
          <w:color w:val="1F2328"/>
          <w:kern w:val="0"/>
          <w:sz w:val="23"/>
          <w:szCs w:val="23"/>
        </w:rPr>
      </w:pPr>
      <w:r>
        <w:rPr>
          <w:rFonts w:hint="eastAsia" w:ascii="Segoe UI" w:hAnsi="Segoe UI" w:cs="Segoe UI"/>
          <w:color w:val="1F2328"/>
          <w:kern w:val="0"/>
          <w:sz w:val="23"/>
          <w:szCs w:val="23"/>
        </w:rPr>
        <w:t>云南省企业就业失业数据采集系统是一个重要的信息系统，旨在收集和管理云南省企业就业和失业的关键数据。该系统的安全性和可靠性对于确保就业市场的稳定和政府决策的准确性至关重要。</w:t>
      </w:r>
    </w:p>
    <w:p>
      <w:pPr>
        <w:ind w:left="360" w:firstLine="420"/>
        <w:rPr>
          <w:rFonts w:hint="eastAsia" w:ascii="Segoe UI" w:hAnsi="Segoe UI" w:cs="Segoe UI"/>
          <w:color w:val="1F2328"/>
          <w:kern w:val="0"/>
          <w:sz w:val="23"/>
          <w:szCs w:val="23"/>
        </w:rPr>
      </w:pPr>
      <w:r>
        <w:rPr>
          <w:rFonts w:hint="eastAsia" w:ascii="Segoe UI" w:hAnsi="Segoe UI" w:cs="Segoe UI"/>
          <w:color w:val="1F2328"/>
          <w:kern w:val="0"/>
          <w:sz w:val="23"/>
          <w:szCs w:val="23"/>
        </w:rPr>
        <w:t>本风险评估报告旨在评估云南省企业就业失业数据采集系统在安全和风险管理方面的表现，并识别可能存在的潜在风险和威胁。通过对系统的综合分析和评估，我们将能够为系统的所有相关利益相关者提供有关系统安全性的全面了解，并提出建议和措施来减轻潜在风险。</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风险识别</w:t>
      </w:r>
    </w:p>
    <w:p>
      <w:pPr>
        <w:ind w:left="360" w:firstLine="420"/>
        <w:rPr>
          <w:rFonts w:ascii="Segoe UI" w:hAnsi="Segoe UI" w:cs="Segoe UI"/>
          <w:color w:val="1F2328"/>
          <w:kern w:val="0"/>
          <w:sz w:val="23"/>
          <w:szCs w:val="23"/>
        </w:rPr>
      </w:pPr>
      <w:r>
        <w:rPr>
          <w:rFonts w:hint="eastAsia" w:ascii="Segoe UI" w:hAnsi="Segoe UI" w:cs="Segoe UI"/>
          <w:color w:val="1F2328"/>
          <w:kern w:val="0"/>
          <w:sz w:val="23"/>
          <w:szCs w:val="23"/>
        </w:rPr>
        <w:t>根据项目的特点，我们识别出以下风险：</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工程规模进度风险：包括规模估算不精确、用户要求紧迫、预料外的工作等。</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技术风险：包括使用新技术、新设备或新应用组合、涉及新行业或业务、性能要求严格等。</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用户需求风险：包括需求不明确、需求频繁更改等。</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风险评估</w:t>
      </w:r>
    </w:p>
    <w:p>
      <w:pPr>
        <w:ind w:left="360" w:firstLine="420"/>
        <w:rPr>
          <w:rFonts w:ascii="Segoe UI" w:hAnsi="Segoe UI" w:cs="Segoe UI"/>
          <w:color w:val="1F2328"/>
          <w:kern w:val="0"/>
          <w:sz w:val="23"/>
          <w:szCs w:val="23"/>
        </w:rPr>
      </w:pPr>
      <w:r>
        <w:rPr>
          <w:rFonts w:hint="eastAsia" w:ascii="Segoe UI" w:hAnsi="Segoe UI" w:cs="Segoe UI"/>
          <w:color w:val="1F2328"/>
          <w:kern w:val="0"/>
          <w:sz w:val="23"/>
          <w:szCs w:val="23"/>
        </w:rPr>
        <w:t>对识别的风险进行评估，包括分析风险的可能性和影响。评估结果如下：</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工程规模进度风险：发生概率</w:t>
      </w:r>
      <w:r>
        <w:rPr>
          <w:rFonts w:ascii="Segoe UI" w:hAnsi="Segoe UI" w:cs="Segoe UI"/>
          <w:color w:val="1F2328"/>
          <w:kern w:val="0"/>
          <w:sz w:val="23"/>
          <w:szCs w:val="23"/>
        </w:rPr>
        <w:t>15%，可能导致项目延期或超出预算。</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技术风险：发生概率</w:t>
      </w:r>
      <w:r>
        <w:rPr>
          <w:rFonts w:ascii="Segoe UI" w:hAnsi="Segoe UI" w:cs="Segoe UI"/>
          <w:color w:val="1F2328"/>
          <w:kern w:val="0"/>
          <w:sz w:val="23"/>
          <w:szCs w:val="23"/>
        </w:rPr>
        <w:t>10%，可能导致项目延期或质量下降。</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用户需求风险：需求不明确发生概率</w:t>
      </w:r>
      <w:r>
        <w:rPr>
          <w:rFonts w:ascii="Segoe UI" w:hAnsi="Segoe UI" w:cs="Segoe UI"/>
          <w:color w:val="1F2328"/>
          <w:kern w:val="0"/>
          <w:sz w:val="23"/>
          <w:szCs w:val="23"/>
        </w:rPr>
        <w:t>20%，需求更改发生概率50%，可能导致项目延期或质量下降。</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预料外的工作：发生概率</w:t>
      </w:r>
      <w:r>
        <w:rPr>
          <w:rFonts w:ascii="Segoe UI" w:hAnsi="Segoe UI" w:cs="Segoe UI"/>
          <w:color w:val="1F2328"/>
          <w:kern w:val="0"/>
          <w:sz w:val="23"/>
          <w:szCs w:val="23"/>
        </w:rPr>
        <w:t>8%，可能导致项目延期或质量下降。</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风险应对策略</w:t>
      </w:r>
    </w:p>
    <w:p>
      <w:pPr>
        <w:ind w:left="360" w:firstLine="420"/>
        <w:rPr>
          <w:rFonts w:ascii="Segoe UI" w:hAnsi="Segoe UI" w:cs="Segoe UI"/>
          <w:color w:val="1F2328"/>
          <w:kern w:val="0"/>
          <w:sz w:val="23"/>
          <w:szCs w:val="23"/>
        </w:rPr>
      </w:pPr>
      <w:r>
        <w:rPr>
          <w:rFonts w:hint="eastAsia" w:ascii="Segoe UI" w:hAnsi="Segoe UI" w:cs="Segoe UI"/>
          <w:color w:val="1F2328"/>
          <w:kern w:val="0"/>
          <w:sz w:val="23"/>
          <w:szCs w:val="23"/>
        </w:rPr>
        <w:t>根据风险评估结果，制定相应的风险应对策略：</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工程规模进度风险：延长工期、增加投入、加班、协商增加费用或修改需求、加急修改完善等。</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技术风险：聘请专业人士讲授知识、增加测试等。</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用户需求风险：召开会议商谈、修改需求，更改开发模式等。</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风险监控与应对</w:t>
      </w:r>
    </w:p>
    <w:p>
      <w:pPr>
        <w:ind w:left="360" w:firstLine="420"/>
        <w:rPr>
          <w:rFonts w:ascii="Segoe UI" w:hAnsi="Segoe UI" w:cs="Segoe UI"/>
          <w:color w:val="1F2328"/>
          <w:kern w:val="0"/>
          <w:sz w:val="23"/>
          <w:szCs w:val="23"/>
        </w:rPr>
      </w:pPr>
      <w:r>
        <w:rPr>
          <w:rFonts w:hint="eastAsia" w:ascii="Segoe UI" w:hAnsi="Segoe UI" w:cs="Segoe UI"/>
          <w:color w:val="1F2328"/>
          <w:kern w:val="0"/>
          <w:sz w:val="23"/>
          <w:szCs w:val="23"/>
        </w:rPr>
        <w:t>在项目执行过程中，将定期对风险进行监控和评估，确保风险应对策略的有效性。具体措施包括：</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建立风险监控机制，定期收集和分析项目风险信息。</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对已识别的风险进行持续跟踪，关注其变化趋势，及时调整应对策略。</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对新出现的风险进行及时识别和评估，制定相应的应对策略。</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风险沟通</w:t>
      </w:r>
    </w:p>
    <w:p>
      <w:pPr>
        <w:ind w:left="360" w:firstLine="420"/>
        <w:rPr>
          <w:rFonts w:hint="eastAsia" w:ascii="Segoe UI" w:hAnsi="Segoe UI" w:cs="Segoe UI"/>
          <w:color w:val="1F2328"/>
          <w:kern w:val="0"/>
          <w:sz w:val="23"/>
          <w:szCs w:val="23"/>
        </w:rPr>
      </w:pPr>
      <w:r>
        <w:rPr>
          <w:rFonts w:hint="eastAsia" w:ascii="Segoe UI" w:hAnsi="Segoe UI" w:cs="Segoe UI"/>
          <w:color w:val="1F2328"/>
          <w:kern w:val="0"/>
          <w:sz w:val="23"/>
          <w:szCs w:val="23"/>
        </w:rPr>
        <w:t>为了加强项目团队内部及与项目相关方的风险沟通，确保各方对风险状况有充分了解，并共同应对风险，可以采取以下拓展措施：</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定期会议：组织定期的风险评估会议，让项目团队成员和相关方一起讨论项目的风险情况。在会议中，可以分享最新的风险信息、评估结果和措施更新，并让每个人有机会提出问题、表达关注和提供解决方案。</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风险报告：编写详尽的风险报告，包括风险识别、评估和应对计划。报告应该以清晰简明的方式呈现风险的概述、可能的影响和已采取的措施。这些报告可以定期分发给项目团队成员和相关方，以确保大家对项目风险有充分的了解。</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风险登记册：建立一个风险登记册，记录所有已识别的风险、其级别、影响和处理状态。确保所有项目团队成员都可以访问和更新这个登记册，以便及时了解风险的演变和处理进展。</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沟通渠道：建立畅通的沟通渠道，使项目团队成员和相关方能够随时提出和分享风险信息。这可以包括使用团队协作工具、电子邮件、即时消息等，以便及时交流和讨论风险问题。</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风险培训：组织风险培训活动，提高团队成员和相关方对风险管理的认识和理解。培训可以包括风险识别技巧、评估方法和应对策略，以增强整个团队对风险的敏感性和应对能力。</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利益相关者参与：邀请项目的利益相关者参与风险评估和决策过程。他们的参与可以带来不同的观点和经验，有助于更全面地认识风险，并制定更有效的风险应对策略。</w:t>
      </w:r>
    </w:p>
    <w:p>
      <w:pPr>
        <w:ind w:left="360" w:firstLine="420"/>
        <w:rPr>
          <w:rFonts w:hint="eastAsia" w:ascii="Segoe UI" w:hAnsi="Segoe UI" w:cs="Segoe UI"/>
          <w:color w:val="1F2328"/>
          <w:kern w:val="0"/>
          <w:sz w:val="23"/>
          <w:szCs w:val="23"/>
        </w:rPr>
      </w:pPr>
      <w:r>
        <w:rPr>
          <w:rFonts w:hint="eastAsia" w:ascii="Segoe UI" w:hAnsi="Segoe UI" w:cs="Segoe UI"/>
          <w:color w:val="1F2328"/>
          <w:kern w:val="0"/>
          <w:sz w:val="23"/>
          <w:szCs w:val="23"/>
        </w:rPr>
        <w:t>通过以上措施，项目团队可以建立一个开放、透明和合作的风险沟通环境，确保各方对项目风险有充分的了解，并能够共同参与风险管理和应对措施的制定与执行。这将提高项目的整体成功率，并降低潜在风险对项目的影响。</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总结</w:t>
      </w:r>
    </w:p>
    <w:p>
      <w:pPr>
        <w:ind w:left="360" w:firstLine="420"/>
        <w:rPr>
          <w:rFonts w:hint="eastAsia" w:ascii="Segoe UI" w:hAnsi="Segoe UI" w:cs="Segoe UI"/>
          <w:color w:val="1F2328"/>
          <w:kern w:val="0"/>
          <w:sz w:val="23"/>
          <w:szCs w:val="23"/>
        </w:rPr>
      </w:pPr>
      <w:r>
        <w:rPr>
          <w:rFonts w:hint="eastAsia" w:ascii="Segoe UI" w:hAnsi="Segoe UI" w:cs="Segoe UI"/>
          <w:color w:val="1F2328"/>
          <w:kern w:val="0"/>
          <w:sz w:val="23"/>
          <w:szCs w:val="23"/>
        </w:rPr>
        <w:t>本风险管理计划为项目的风险管理提供了全面、系统的指导。通过实施该计划，我们有信心降低项目风险，确保项目顺利推进并达到预期目标。</w:t>
      </w:r>
    </w:p>
    <w:p>
      <w:pPr>
        <w:ind w:left="360" w:firstLine="420"/>
        <w:rPr>
          <w:rFonts w:hint="eastAsia" w:ascii="Segoe UI" w:hAnsi="Segoe UI" w:cs="Segoe UI"/>
          <w:color w:val="1F2328"/>
          <w:kern w:val="0"/>
          <w:sz w:val="23"/>
          <w:szCs w:val="23"/>
        </w:rPr>
      </w:pPr>
      <w:bookmarkStart w:id="1" w:name="_GoBack"/>
      <w:bookmarkEnd w:id="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2881747"/>
      <w:docPartObj>
        <w:docPartGallery w:val="autotext"/>
      </w:docPartObj>
    </w:sdtPr>
    <w:sdtContent>
      <w:p>
        <w:pPr>
          <w:pStyle w:val="5"/>
        </w:pPr>
        <w:r>
          <w:fldChar w:fldCharType="begin"/>
        </w:r>
        <w:r>
          <w:instrText xml:space="preserve">PAGE   \* MERGEFORMAT</w:instrText>
        </w:r>
        <w:r>
          <w:fldChar w:fldCharType="separate"/>
        </w:r>
        <w:r>
          <w:rPr>
            <w:lang w:val="zh-CN"/>
          </w:rP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“云南省企业就业失业数据采集系统”项目风险管理计划规范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E12676"/>
    <w:multiLevelType w:val="multilevel"/>
    <w:tmpl w:val="5EE126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B6D648D"/>
    <w:multiLevelType w:val="multilevel"/>
    <w:tmpl w:val="7B6D6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2NDljNDQ5MjZjMTg5NjhkZWY0NTc0ODNhZGExNGMifQ=="/>
  </w:docVars>
  <w:rsids>
    <w:rsidRoot w:val="002D7B25"/>
    <w:rsid w:val="00005B72"/>
    <w:rsid w:val="00047D26"/>
    <w:rsid w:val="000A6C96"/>
    <w:rsid w:val="000C7ED9"/>
    <w:rsid w:val="000F15E3"/>
    <w:rsid w:val="00145C8F"/>
    <w:rsid w:val="001A4C6B"/>
    <w:rsid w:val="001A5F50"/>
    <w:rsid w:val="001B2B84"/>
    <w:rsid w:val="001B41E0"/>
    <w:rsid w:val="001F3B2A"/>
    <w:rsid w:val="002D7B25"/>
    <w:rsid w:val="00343223"/>
    <w:rsid w:val="003A43CF"/>
    <w:rsid w:val="00467E76"/>
    <w:rsid w:val="004C4281"/>
    <w:rsid w:val="004C4CE3"/>
    <w:rsid w:val="00654B48"/>
    <w:rsid w:val="006B6187"/>
    <w:rsid w:val="007223D8"/>
    <w:rsid w:val="007C49E9"/>
    <w:rsid w:val="00897934"/>
    <w:rsid w:val="008F5289"/>
    <w:rsid w:val="009615B7"/>
    <w:rsid w:val="00995DF5"/>
    <w:rsid w:val="00A01AEC"/>
    <w:rsid w:val="00A23B7B"/>
    <w:rsid w:val="00A416FA"/>
    <w:rsid w:val="00A57746"/>
    <w:rsid w:val="00A57A3B"/>
    <w:rsid w:val="00A600BE"/>
    <w:rsid w:val="00B505DD"/>
    <w:rsid w:val="00BD6EA5"/>
    <w:rsid w:val="00BE65CA"/>
    <w:rsid w:val="00C23CC0"/>
    <w:rsid w:val="00C429FA"/>
    <w:rsid w:val="00D71CD7"/>
    <w:rsid w:val="00DD2248"/>
    <w:rsid w:val="00DD65C6"/>
    <w:rsid w:val="00DE212D"/>
    <w:rsid w:val="00E33558"/>
    <w:rsid w:val="00E36BCA"/>
    <w:rsid w:val="00E76825"/>
    <w:rsid w:val="00F07395"/>
    <w:rsid w:val="00F46017"/>
    <w:rsid w:val="00FC4831"/>
    <w:rsid w:val="00FD265F"/>
    <w:rsid w:val="1E637D6D"/>
    <w:rsid w:val="2BCE0657"/>
    <w:rsid w:val="4DBD57FD"/>
    <w:rsid w:val="7C29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8"/>
    <w:autoRedefine/>
    <w:qFormat/>
    <w:uiPriority w:val="9"/>
    <w:pPr>
      <w:keepNext/>
      <w:keepLines/>
      <w:spacing w:before="100" w:after="90" w:line="578" w:lineRule="auto"/>
      <w:outlineLvl w:val="0"/>
    </w:pPr>
    <w:rPr>
      <w:b/>
      <w:bCs/>
      <w:kern w:val="44"/>
      <w:sz w:val="32"/>
      <w:szCs w:val="44"/>
    </w:rPr>
  </w:style>
  <w:style w:type="paragraph" w:styleId="3">
    <w:name w:val="heading 2"/>
    <w:basedOn w:val="1"/>
    <w:next w:val="1"/>
    <w:link w:val="19"/>
    <w:autoRedefine/>
    <w:unhideWhenUsed/>
    <w:qFormat/>
    <w:uiPriority w:val="9"/>
    <w:pPr>
      <w:keepNext/>
      <w:keepLines/>
      <w:spacing w:line="416" w:lineRule="auto"/>
      <w:outlineLvl w:val="1"/>
    </w:pPr>
    <w:rPr>
      <w:rFonts w:asciiTheme="majorHAnsi" w:hAnsiTheme="majorHAnsi" w:cstheme="majorBidi"/>
      <w:b/>
      <w:bCs/>
      <w:sz w:val="30"/>
      <w:szCs w:val="32"/>
    </w:rPr>
  </w:style>
  <w:style w:type="character" w:default="1" w:styleId="12">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unhideWhenUsed/>
    <w:uiPriority w:val="39"/>
    <w:pPr>
      <w:ind w:left="840" w:leftChars="400"/>
    </w:pPr>
  </w:style>
  <w:style w:type="paragraph" w:styleId="5">
    <w:name w:val="footer"/>
    <w:basedOn w:val="1"/>
    <w:link w:val="16"/>
    <w:autoRedefine/>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autoRedefine/>
    <w:unhideWhenUsed/>
    <w:qFormat/>
    <w:uiPriority w:val="39"/>
  </w:style>
  <w:style w:type="paragraph" w:styleId="8">
    <w:name w:val="toc 2"/>
    <w:basedOn w:val="1"/>
    <w:next w:val="1"/>
    <w:autoRedefine/>
    <w:unhideWhenUsed/>
    <w:uiPriority w:val="39"/>
    <w:pPr>
      <w:ind w:left="420" w:leftChars="200"/>
    </w:pPr>
  </w:style>
  <w:style w:type="paragraph" w:styleId="9">
    <w:name w:val="HTML Preformatted"/>
    <w:basedOn w:val="1"/>
    <w:link w:val="2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10">
    <w:name w:val="Normal (Web)"/>
    <w:basedOn w:val="1"/>
    <w:autoRedefine/>
    <w:unhideWhenUsed/>
    <w:qFormat/>
    <w:uiPriority w:val="99"/>
    <w:pPr>
      <w:widowControl/>
      <w:spacing w:before="100" w:beforeAutospacing="1" w:after="100" w:afterAutospacing="1" w:line="240" w:lineRule="atLeast"/>
      <w:jc w:val="left"/>
    </w:pPr>
    <w:rPr>
      <w:rFonts w:ascii="宋体" w:hAnsi="宋体" w:cs="宋体"/>
      <w:kern w:val="0"/>
      <w:szCs w:val="24"/>
    </w:rPr>
  </w:style>
  <w:style w:type="character" w:styleId="13">
    <w:name w:val="Strong"/>
    <w:basedOn w:val="12"/>
    <w:autoRedefine/>
    <w:qFormat/>
    <w:uiPriority w:val="22"/>
    <w:rPr>
      <w:b/>
      <w:bCs/>
    </w:rPr>
  </w:style>
  <w:style w:type="character" w:styleId="14">
    <w:name w:val="Hyperlink"/>
    <w:basedOn w:val="12"/>
    <w:autoRedefine/>
    <w:unhideWhenUsed/>
    <w:qFormat/>
    <w:uiPriority w:val="99"/>
    <w:rPr>
      <w:color w:val="0563C1" w:themeColor="hyperlink"/>
      <w:u w:val="single"/>
      <w14:textFill>
        <w14:solidFill>
          <w14:schemeClr w14:val="hlink"/>
        </w14:solidFill>
      </w14:textFill>
    </w:rPr>
  </w:style>
  <w:style w:type="character" w:customStyle="1" w:styleId="15">
    <w:name w:val="页眉 字符"/>
    <w:basedOn w:val="12"/>
    <w:link w:val="6"/>
    <w:autoRedefine/>
    <w:qFormat/>
    <w:uiPriority w:val="99"/>
    <w:rPr>
      <w:sz w:val="18"/>
      <w:szCs w:val="18"/>
    </w:rPr>
  </w:style>
  <w:style w:type="character" w:customStyle="1" w:styleId="16">
    <w:name w:val="页脚 字符"/>
    <w:basedOn w:val="12"/>
    <w:link w:val="5"/>
    <w:autoRedefine/>
    <w:qFormat/>
    <w:uiPriority w:val="99"/>
    <w:rPr>
      <w:sz w:val="18"/>
      <w:szCs w:val="18"/>
    </w:rPr>
  </w:style>
  <w:style w:type="character" w:customStyle="1" w:styleId="17">
    <w:name w:val="grame"/>
    <w:basedOn w:val="12"/>
    <w:autoRedefine/>
    <w:qFormat/>
    <w:uiPriority w:val="0"/>
  </w:style>
  <w:style w:type="character" w:customStyle="1" w:styleId="18">
    <w:name w:val="标题 1 字符"/>
    <w:basedOn w:val="12"/>
    <w:link w:val="2"/>
    <w:autoRedefine/>
    <w:qFormat/>
    <w:uiPriority w:val="9"/>
    <w:rPr>
      <w:rFonts w:eastAsia="宋体"/>
      <w:b/>
      <w:bCs/>
      <w:kern w:val="44"/>
      <w:sz w:val="32"/>
      <w:szCs w:val="44"/>
    </w:rPr>
  </w:style>
  <w:style w:type="character" w:customStyle="1" w:styleId="19">
    <w:name w:val="标题 2 字符"/>
    <w:basedOn w:val="12"/>
    <w:link w:val="3"/>
    <w:qFormat/>
    <w:uiPriority w:val="9"/>
    <w:rPr>
      <w:rFonts w:eastAsia="宋体" w:asciiTheme="majorHAnsi" w:hAnsiTheme="majorHAnsi" w:cstheme="majorBidi"/>
      <w:b/>
      <w:bCs/>
      <w:sz w:val="30"/>
      <w:szCs w:val="32"/>
    </w:rPr>
  </w:style>
  <w:style w:type="paragraph" w:customStyle="1" w:styleId="2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21">
    <w:name w:val="HTML 预设格式 字符"/>
    <w:basedOn w:val="12"/>
    <w:link w:val="9"/>
    <w:autoRedefine/>
    <w:semiHidden/>
    <w:qFormat/>
    <w:uiPriority w:val="99"/>
    <w:rPr>
      <w:rFonts w:ascii="宋体" w:hAnsi="宋体" w:eastAsia="宋体" w:cs="宋体"/>
      <w:kern w:val="0"/>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134</Words>
  <Characters>766</Characters>
  <Lines>6</Lines>
  <Paragraphs>1</Paragraphs>
  <TotalTime>137</TotalTime>
  <ScaleCrop>false</ScaleCrop>
  <LinksUpToDate>false</LinksUpToDate>
  <CharactersWithSpaces>899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2024-03-31T12:23:00Z</dcterms:created>
  <dc:creator>杨昆龙</dc:creator>
  <cp:lastModifiedBy>Lorsch.</cp:lastModifiedBy>
  <dcterms:modified xsi:type="dcterms:W3CDTF">2024-04-21T05:10:46Z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7214BD7D605C497785F5459EA5F2EE28_12</vt:lpwstr>
  </property>
</Properties>
</file>