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p>
    <w:p>
      <w:pPr>
        <w:pStyle w:val="2"/>
        <w:widowControl/>
        <w:spacing w:before="340" w:after="330" w:line="578" w:lineRule="atLeast"/>
        <w:jc w:val="center"/>
        <w:rPr>
          <w:sz w:val="44"/>
        </w:rPr>
      </w:pPr>
      <w:r>
        <w:rPr>
          <w:rFonts w:hint="eastAsia"/>
          <w:sz w:val="44"/>
        </w:rPr>
        <w:t>云南省企业就业失业数据采集系统</w:t>
      </w:r>
    </w:p>
    <w:p>
      <w:pPr>
        <w:pStyle w:val="2"/>
        <w:widowControl/>
        <w:spacing w:before="340" w:after="330" w:line="578" w:lineRule="atLeast"/>
        <w:jc w:val="center"/>
        <w:rPr>
          <w:sz w:val="44"/>
        </w:rPr>
      </w:pPr>
      <w:r>
        <w:rPr>
          <w:rFonts w:hint="eastAsia"/>
          <w:sz w:val="44"/>
        </w:rPr>
        <w:t>项目风险管理计划</w:t>
      </w:r>
    </w:p>
    <w:p/>
    <w:p/>
    <w:p>
      <w:pPr>
        <w:pStyle w:val="10"/>
        <w:shd w:val="clear" w:color="auto" w:fill="FFFFFF"/>
        <w:spacing w:before="0" w:beforeAutospacing="0" w:after="0" w:afterAutospacing="0" w:line="240" w:lineRule="auto"/>
        <w:jc w:val="center"/>
        <w:rPr>
          <w:rStyle w:val="13"/>
          <w:rFonts w:cs="Arial" w:asciiTheme="majorHAnsi" w:hAnsiTheme="majorHAnsi" w:eastAsiaTheme="majorHAnsi"/>
          <w:color w:val="4D4D4D"/>
          <w:sz w:val="32"/>
          <w:szCs w:val="32"/>
        </w:rPr>
      </w:pPr>
      <w:bookmarkStart w:id="0" w:name="_Hlk163468773"/>
      <w:r>
        <w:rPr>
          <w:rStyle w:val="13"/>
          <w:rFonts w:cs="Arial" w:asciiTheme="majorHAnsi" w:hAnsiTheme="majorHAnsi" w:eastAsiaTheme="majorHAnsi"/>
          <w:color w:val="4D4D4D"/>
          <w:sz w:val="32"/>
          <w:szCs w:val="32"/>
        </w:rPr>
        <w:t>XX软件开发公司</w:t>
      </w:r>
    </w:p>
    <w:p>
      <w:pPr>
        <w:pStyle w:val="10"/>
        <w:shd w:val="clear" w:color="auto" w:fill="FFFFFF"/>
        <w:spacing w:before="0" w:beforeAutospacing="0" w:after="0" w:afterAutospacing="0" w:line="240" w:lineRule="auto"/>
        <w:jc w:val="center"/>
        <w:rPr>
          <w:rStyle w:val="13"/>
          <w:rFonts w:cs="Arial" w:asciiTheme="majorHAnsi" w:hAnsiTheme="majorHAnsi" w:eastAsiaTheme="majorHAnsi"/>
          <w:color w:val="4D4D4D"/>
          <w:sz w:val="32"/>
          <w:szCs w:val="32"/>
        </w:rPr>
      </w:pPr>
      <w:r>
        <w:rPr>
          <w:rStyle w:val="13"/>
          <w:rFonts w:cs="Arial" w:asciiTheme="majorHAnsi" w:hAnsiTheme="majorHAnsi" w:eastAsiaTheme="majorHAnsi"/>
          <w:color w:val="4D4D4D"/>
          <w:sz w:val="32"/>
          <w:szCs w:val="32"/>
        </w:rPr>
        <w:t>2024年4月</w:t>
      </w:r>
    </w:p>
    <w:p>
      <w:pPr>
        <w:pStyle w:val="10"/>
        <w:shd w:val="clear" w:color="auto" w:fill="FFFFFF"/>
        <w:spacing w:before="0" w:beforeAutospacing="0" w:after="0" w:afterAutospacing="0" w:line="240" w:lineRule="auto"/>
        <w:jc w:val="center"/>
        <w:rPr>
          <w:rStyle w:val="13"/>
          <w:rFonts w:cs="Arial"/>
          <w:color w:val="4D4D4D"/>
          <w:sz w:val="32"/>
          <w:szCs w:val="32"/>
        </w:rPr>
      </w:pPr>
    </w:p>
    <w:p>
      <w:pPr>
        <w:pStyle w:val="10"/>
        <w:shd w:val="clear" w:color="auto" w:fill="FFFFFF"/>
        <w:spacing w:before="0" w:beforeAutospacing="0" w:after="0" w:afterAutospacing="0" w:line="240" w:lineRule="auto"/>
        <w:jc w:val="center"/>
        <w:rPr>
          <w:rStyle w:val="13"/>
          <w:rFonts w:cs="Arial"/>
          <w:color w:val="4D4D4D"/>
          <w:sz w:val="32"/>
          <w:szCs w:val="32"/>
        </w:rPr>
      </w:pPr>
      <w:r>
        <w:rPr>
          <w:rStyle w:val="13"/>
          <w:rFonts w:hint="eastAsia" w:cs="Arial" w:asciiTheme="majorHAnsi" w:hAnsiTheme="majorHAnsi" w:eastAsiaTheme="majorHAnsi"/>
          <w:color w:val="4D4D4D"/>
          <w:sz w:val="32"/>
          <w:szCs w:val="32"/>
        </w:rPr>
        <w:t>编写人：</w:t>
      </w:r>
      <w:r>
        <w:rPr>
          <w:rStyle w:val="13"/>
          <w:rFonts w:hint="eastAsia" w:cs="Arial" w:eastAsiaTheme="majorHAnsi"/>
          <w:color w:val="4D4D4D"/>
          <w:sz w:val="32"/>
          <w:szCs w:val="32"/>
          <w:lang w:eastAsia="zh-CN"/>
        </w:rPr>
        <w:t>邱琨原</w:t>
      </w:r>
      <w:r>
        <w:rPr>
          <w:rStyle w:val="13"/>
          <w:rFonts w:cs="Arial"/>
          <w:color w:val="4D4D4D"/>
          <w:sz w:val="32"/>
          <w:szCs w:val="32"/>
        </w:rPr>
        <w:t xml:space="preserve"> </w:t>
      </w:r>
    </w:p>
    <w:p>
      <w:pPr>
        <w:pStyle w:val="10"/>
        <w:shd w:val="clear" w:color="auto" w:fill="FFFFFF"/>
        <w:spacing w:before="0" w:beforeAutospacing="0" w:after="0" w:afterAutospacing="0" w:line="240" w:lineRule="auto"/>
        <w:jc w:val="center"/>
        <w:rPr>
          <w:rStyle w:val="13"/>
          <w:rFonts w:hint="eastAsia" w:cs="Arial" w:eastAsiaTheme="majorHAnsi"/>
          <w:color w:val="4D4D4D"/>
          <w:sz w:val="32"/>
          <w:szCs w:val="32"/>
          <w:lang w:eastAsia="zh-CN"/>
        </w:rPr>
      </w:pPr>
      <w:r>
        <w:rPr>
          <w:rStyle w:val="13"/>
          <w:rFonts w:hint="eastAsia" w:cs="Arial" w:asciiTheme="majorHAnsi" w:hAnsiTheme="majorHAnsi" w:eastAsiaTheme="majorHAnsi"/>
          <w:color w:val="4D4D4D"/>
          <w:sz w:val="32"/>
          <w:szCs w:val="32"/>
        </w:rPr>
        <w:t>审核人：</w:t>
      </w:r>
      <w:r>
        <w:rPr>
          <w:rStyle w:val="13"/>
          <w:rFonts w:hint="eastAsia" w:cs="Arial" w:eastAsiaTheme="majorHAnsi"/>
          <w:color w:val="4D4D4D"/>
          <w:sz w:val="32"/>
          <w:szCs w:val="32"/>
          <w:lang w:eastAsia="zh-CN"/>
        </w:rPr>
        <w:t>邱琨原</w:t>
      </w:r>
    </w:p>
    <w:bookmarkEnd w:id="0"/>
    <w:p>
      <w:pPr>
        <w:pStyle w:val="10"/>
        <w:shd w:val="clear" w:color="auto" w:fill="FFFFFF"/>
        <w:spacing w:before="0" w:beforeAutospacing="0" w:after="0" w:afterAutospacing="0" w:line="240" w:lineRule="auto"/>
        <w:jc w:val="center"/>
        <w:rPr>
          <w:rStyle w:val="13"/>
          <w:rFonts w:cs="Arial"/>
          <w:color w:val="4D4D4D"/>
          <w:sz w:val="36"/>
          <w:szCs w:val="36"/>
        </w:rPr>
      </w:pP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引言</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云南省企业就业失业数据采集系统是一个重要的信息系统，旨在收集和管理云南省企业就业和失业的关键数据。该系统的安全性和可靠性对于确保就业市场的稳定和政府决策的准确性至关重要。</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本风险评估报告旨在评估云南省企业就业失业数据采集系统在安全和风险管理方面的表现，并识别可能存在的潜在风险和威胁。通过对系统的综合分析和评估，我们将能够为系统的所有相关利益相关者提供有关系统安全性的全面了解，并提出建议和措施来减轻潜在风险。</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风险识别</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根据项目的特点，我们识别出以下风险：</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工程规模进度风险：包括规模估算不精确、用户要求紧迫、预料外的工作等。</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技术风险：包括使用新技术、新设备或新应用组合、涉及新行业或业务、性能要求严格等。</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用户需求风险：包括需求不明确、需求频繁更改等。</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风险评估</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对识别的风险进行评估，包括分析风险的可能性和影响。评估结果如下：</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工程规模进度风险：发生概率</w:t>
      </w:r>
      <w:r>
        <w:rPr>
          <w:rFonts w:ascii="Segoe UI" w:hAnsi="Segoe UI" w:cs="Segoe UI"/>
          <w:color w:val="1F2328"/>
          <w:kern w:val="0"/>
          <w:sz w:val="23"/>
          <w:szCs w:val="23"/>
        </w:rPr>
        <w:t>15%，可能导致项目延期或超出预算。</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技术风险：发生概率</w:t>
      </w:r>
      <w:r>
        <w:rPr>
          <w:rFonts w:ascii="Segoe UI" w:hAnsi="Segoe UI" w:cs="Segoe UI"/>
          <w:color w:val="1F2328"/>
          <w:kern w:val="0"/>
          <w:sz w:val="23"/>
          <w:szCs w:val="23"/>
        </w:rPr>
        <w:t>10%，可能导致项目延期或质量下降。</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用户需求风险：需求不明确发生概率</w:t>
      </w:r>
      <w:r>
        <w:rPr>
          <w:rFonts w:ascii="Segoe UI" w:hAnsi="Segoe UI" w:cs="Segoe UI"/>
          <w:color w:val="1F2328"/>
          <w:kern w:val="0"/>
          <w:sz w:val="23"/>
          <w:szCs w:val="23"/>
        </w:rPr>
        <w:t>20%，需求更改发生概率50%，可能导致项目延期或质量下降。</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预料外的工作：发生概率</w:t>
      </w:r>
      <w:r>
        <w:rPr>
          <w:rFonts w:ascii="Segoe UI" w:hAnsi="Segoe UI" w:cs="Segoe UI"/>
          <w:color w:val="1F2328"/>
          <w:kern w:val="0"/>
          <w:sz w:val="23"/>
          <w:szCs w:val="23"/>
        </w:rPr>
        <w:t>8%，可能导致项目延期或质量下降。</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风险应对策略</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根据风险评估结果，制定相应的风险应对策略：</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工程规模进度风险：延长工期、增加投入、加班、协商增加费用或修改需求、加急修改完善等。</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技术风险：聘请专业人士讲授知识、增加测试等。</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用户需求风险：召开会议商谈、修改需求，更改开发模式等。</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风险监控与应对</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在项目执行过程中，将定期对风险进行监控和评估，确保风险应对策略的有效性。具体措施包括：</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建立风险监控机制，定期收集和分析项目风险信息。</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对已识别的风险进行持续跟踪，关注其变化趋势，及时调整应对策略。</w:t>
      </w:r>
    </w:p>
    <w:p>
      <w:pPr>
        <w:pStyle w:val="22"/>
        <w:numPr>
          <w:ilvl w:val="0"/>
          <w:numId w:val="2"/>
        </w:numPr>
        <w:ind w:firstLineChars="0"/>
        <w:rPr>
          <w:rFonts w:ascii="Segoe UI" w:hAnsi="Segoe UI" w:cs="Segoe UI"/>
          <w:color w:val="1F2328"/>
          <w:kern w:val="0"/>
          <w:sz w:val="23"/>
          <w:szCs w:val="23"/>
        </w:rPr>
      </w:pPr>
      <w:r>
        <w:rPr>
          <w:rFonts w:hint="eastAsia" w:ascii="Segoe UI" w:hAnsi="Segoe UI" w:cs="Segoe UI"/>
          <w:color w:val="1F2328"/>
          <w:kern w:val="0"/>
          <w:sz w:val="23"/>
          <w:szCs w:val="23"/>
        </w:rPr>
        <w:t>对新出现的风险进行及时识别和评估，制定相应的应对策略。</w:t>
      </w:r>
    </w:p>
    <w:p>
      <w:pPr>
        <w:pStyle w:val="3"/>
        <w:widowControl/>
        <w:numPr>
          <w:ilvl w:val="0"/>
          <w:numId w:val="1"/>
        </w:numPr>
        <w:spacing w:before="260" w:after="260" w:line="416" w:lineRule="atLeast"/>
        <w:ind w:left="425" w:hanging="425"/>
        <w:jc w:val="left"/>
        <w:rPr>
          <w:rFonts w:eastAsiaTheme="majorEastAsia"/>
          <w:sz w:val="32"/>
        </w:rPr>
      </w:pPr>
      <w:r>
        <w:rPr>
          <w:rFonts w:eastAsiaTheme="majorEastAsia"/>
          <w:sz w:val="32"/>
        </w:rPr>
        <w:t>风险沟通</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为了加强项目团队内部及与项目相关方的风险沟通，确保各方对风险状况有充分了解，并共同应对风险，可以采取以下拓展措施：</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定期会议：组织定期的风险评估会议，让项目团队成员和相关方一起讨论项目的风险情况。在会议中，可以分享最新的风险信息、评估结果和措施更新，并让每个人有机会提出问题、表达关注和提供解决方案。</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风险报告：编写详尽的风险报告，包括风险识别、评估和应对计划。报告应该以清晰简明的方式呈现风险的概述、可能的影响和已采取的措施。这些报告可以定期分发给项目团队成员和相关方，以确保大家对项目风险有充分的了解。</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风险登记册：建立一个风险登记册，记录所有已识别的风险、其级别、影响和处理状态。确保所有项目团队成员都可以访问和更新这个登记册，以便及时了解风险的演变和处理进展。</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沟通渠道：建立畅通的沟通渠道，使项目团队成员和相关方能够随时提出和分享风险信息。这可以包括使用团队协作工具、电子邮件、即时消息等，以便及时交流和讨论风险问题。</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风险培训：组织风险培训活动，提高团队成员和相关方对风险管理的认识和理解。培训可以包括风险识别技巧、评估方法和应对策略，以增强整个团队对风险的敏感性和应对能力。</w:t>
      </w:r>
    </w:p>
    <w:p>
      <w:pPr>
        <w:pStyle w:val="22"/>
        <w:numPr>
          <w:ilvl w:val="0"/>
          <w:numId w:val="2"/>
        </w:numPr>
        <w:ind w:firstLineChars="0"/>
        <w:rPr>
          <w:rFonts w:hint="eastAsia" w:ascii="Segoe UI" w:hAnsi="Segoe UI" w:cs="Segoe UI"/>
          <w:color w:val="1F2328"/>
          <w:kern w:val="0"/>
          <w:sz w:val="23"/>
          <w:szCs w:val="23"/>
        </w:rPr>
      </w:pPr>
      <w:r>
        <w:rPr>
          <w:rFonts w:hint="eastAsia" w:ascii="Segoe UI" w:hAnsi="Segoe UI" w:cs="Segoe UI"/>
          <w:color w:val="1F2328"/>
          <w:kern w:val="0"/>
          <w:sz w:val="23"/>
          <w:szCs w:val="23"/>
        </w:rPr>
        <w:t>利益相关者参与：邀请项目的利益相关者参与风险评估和决策过程。他们的参与可以带来不同的观点和经验，有助于更全面地认识风险，并制定更有效的风险应对策略。</w:t>
      </w:r>
    </w:p>
    <w:p>
      <w:pPr>
        <w:ind w:left="360" w:firstLine="420"/>
        <w:rPr>
          <w:rFonts w:hint="eastAsia" w:ascii="Segoe UI" w:hAnsi="Segoe UI" w:cs="Segoe UI"/>
          <w:color w:val="1F2328"/>
          <w:kern w:val="0"/>
          <w:sz w:val="23"/>
          <w:szCs w:val="23"/>
        </w:rPr>
      </w:pPr>
      <w:r>
        <w:rPr>
          <w:rFonts w:hint="eastAsia" w:ascii="Segoe UI" w:hAnsi="Segoe UI" w:cs="Segoe UI"/>
          <w:color w:val="1F2328"/>
          <w:kern w:val="0"/>
          <w:sz w:val="23"/>
          <w:szCs w:val="23"/>
        </w:rPr>
        <w:t>通过以上措施，项目团队可以建立一个开放、透明和合作的风险沟通环境，确保各方对项目风险有充分的了解，并能够共同参与风险管理和应对措施的制定与执行。这将提高项目的整体成功率，并降低潜在风险对项目的影响。</w:t>
      </w:r>
    </w:p>
    <w:p>
      <w:pPr>
        <w:pStyle w:val="3"/>
        <w:widowControl/>
        <w:numPr>
          <w:ilvl w:val="0"/>
          <w:numId w:val="1"/>
        </w:numPr>
        <w:spacing w:before="260" w:after="260" w:line="416" w:lineRule="atLeast"/>
        <w:ind w:left="425" w:hanging="425"/>
        <w:jc w:val="left"/>
        <w:rPr>
          <w:rFonts w:eastAsiaTheme="majorEastAsia"/>
          <w:sz w:val="32"/>
        </w:rPr>
      </w:pPr>
      <w:bookmarkStart w:id="1" w:name="_GoBack"/>
      <w:bookmarkEnd w:id="1"/>
      <w:r>
        <w:rPr>
          <w:rFonts w:eastAsiaTheme="majorEastAsia"/>
          <w:sz w:val="32"/>
        </w:rPr>
        <w:t>总结</w:t>
      </w:r>
    </w:p>
    <w:p>
      <w:pPr>
        <w:ind w:left="360" w:firstLine="420"/>
        <w:rPr>
          <w:rFonts w:ascii="Segoe UI" w:hAnsi="Segoe UI" w:cs="Segoe UI"/>
          <w:color w:val="1F2328"/>
          <w:kern w:val="0"/>
          <w:sz w:val="23"/>
          <w:szCs w:val="23"/>
        </w:rPr>
      </w:pPr>
      <w:r>
        <w:rPr>
          <w:rFonts w:hint="eastAsia" w:ascii="Segoe UI" w:hAnsi="Segoe UI" w:cs="Segoe UI"/>
          <w:color w:val="1F2328"/>
          <w:kern w:val="0"/>
          <w:sz w:val="23"/>
          <w:szCs w:val="23"/>
        </w:rPr>
        <w:t>本风险管理计划为项目的风险管理提供了全面、系统的指导。通过实施该计划，我们有信心降低项目风险，确保项目顺利推进并达到预期目标。</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2881747"/>
      <w:docPartObj>
        <w:docPartGallery w:val="autotext"/>
      </w:docPartObj>
    </w:sdtPr>
    <w:sdtContent>
      <w:p>
        <w:pPr>
          <w:pStyle w:val="5"/>
        </w:pPr>
        <w:r>
          <w:fldChar w:fldCharType="begin"/>
        </w:r>
        <w:r>
          <w:instrText xml:space="preserve">PAGE   \* MERGEFORMAT</w:instrText>
        </w:r>
        <w:r>
          <w:fldChar w:fldCharType="separate"/>
        </w:r>
        <w:r>
          <w:rPr>
            <w:lang w:val="zh-CN"/>
          </w:rPr>
          <w:t>2</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“云南省企业就业失业数据采集系统”项目风险管理计划规范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E12676"/>
    <w:multiLevelType w:val="multilevel"/>
    <w:tmpl w:val="5EE126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B6D648D"/>
    <w:multiLevelType w:val="multilevel"/>
    <w:tmpl w:val="7B6D6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2NDljNDQ5MjZjMTg5NjhkZWY0NTc0ODNhZGExNGMifQ=="/>
  </w:docVars>
  <w:rsids>
    <w:rsidRoot w:val="002D7B25"/>
    <w:rsid w:val="00005B72"/>
    <w:rsid w:val="00047D26"/>
    <w:rsid w:val="000A6C96"/>
    <w:rsid w:val="000C7ED9"/>
    <w:rsid w:val="000F15E3"/>
    <w:rsid w:val="00145C8F"/>
    <w:rsid w:val="001A4C6B"/>
    <w:rsid w:val="001A5F50"/>
    <w:rsid w:val="001B2B84"/>
    <w:rsid w:val="001B41E0"/>
    <w:rsid w:val="001F3B2A"/>
    <w:rsid w:val="002D7B25"/>
    <w:rsid w:val="00343223"/>
    <w:rsid w:val="003A43CF"/>
    <w:rsid w:val="00467E76"/>
    <w:rsid w:val="004C4281"/>
    <w:rsid w:val="004C4CE3"/>
    <w:rsid w:val="00654B48"/>
    <w:rsid w:val="006B6187"/>
    <w:rsid w:val="007223D8"/>
    <w:rsid w:val="007C49E9"/>
    <w:rsid w:val="00897934"/>
    <w:rsid w:val="008F5289"/>
    <w:rsid w:val="009615B7"/>
    <w:rsid w:val="00995DF5"/>
    <w:rsid w:val="00A01AEC"/>
    <w:rsid w:val="00A23B7B"/>
    <w:rsid w:val="00A416FA"/>
    <w:rsid w:val="00A57746"/>
    <w:rsid w:val="00A57A3B"/>
    <w:rsid w:val="00A600BE"/>
    <w:rsid w:val="00B505DD"/>
    <w:rsid w:val="00BD6EA5"/>
    <w:rsid w:val="00BE65CA"/>
    <w:rsid w:val="00C23CC0"/>
    <w:rsid w:val="00C429FA"/>
    <w:rsid w:val="00D71CD7"/>
    <w:rsid w:val="00DD2248"/>
    <w:rsid w:val="00DD65C6"/>
    <w:rsid w:val="00DE212D"/>
    <w:rsid w:val="00E33558"/>
    <w:rsid w:val="00E36BCA"/>
    <w:rsid w:val="00E76825"/>
    <w:rsid w:val="00F07395"/>
    <w:rsid w:val="00F46017"/>
    <w:rsid w:val="00FC4831"/>
    <w:rsid w:val="00FD265F"/>
    <w:rsid w:val="2BCE0657"/>
    <w:rsid w:val="4DBD5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8"/>
    <w:autoRedefine/>
    <w:qFormat/>
    <w:uiPriority w:val="9"/>
    <w:pPr>
      <w:keepNext/>
      <w:keepLines/>
      <w:spacing w:before="100" w:after="90" w:line="578" w:lineRule="auto"/>
      <w:outlineLvl w:val="0"/>
    </w:pPr>
    <w:rPr>
      <w:b/>
      <w:bCs/>
      <w:kern w:val="44"/>
      <w:sz w:val="32"/>
      <w:szCs w:val="44"/>
    </w:rPr>
  </w:style>
  <w:style w:type="paragraph" w:styleId="3">
    <w:name w:val="heading 2"/>
    <w:basedOn w:val="1"/>
    <w:next w:val="1"/>
    <w:link w:val="19"/>
    <w:autoRedefine/>
    <w:unhideWhenUsed/>
    <w:qFormat/>
    <w:uiPriority w:val="9"/>
    <w:pPr>
      <w:keepNext/>
      <w:keepLines/>
      <w:spacing w:line="416" w:lineRule="auto"/>
      <w:outlineLvl w:val="1"/>
    </w:pPr>
    <w:rPr>
      <w:rFonts w:asciiTheme="majorHAnsi" w:hAnsiTheme="majorHAnsi" w:cstheme="majorBidi"/>
      <w:b/>
      <w:bCs/>
      <w:sz w:val="30"/>
      <w:szCs w:val="32"/>
    </w:rPr>
  </w:style>
  <w:style w:type="character" w:default="1" w:styleId="12">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unhideWhenUsed/>
    <w:uiPriority w:val="39"/>
    <w:pPr>
      <w:ind w:left="840" w:leftChars="400"/>
    </w:pPr>
  </w:style>
  <w:style w:type="paragraph" w:styleId="5">
    <w:name w:val="footer"/>
    <w:basedOn w:val="1"/>
    <w:link w:val="16"/>
    <w:autoRedefine/>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autoRedefine/>
    <w:unhideWhenUsed/>
    <w:qFormat/>
    <w:uiPriority w:val="39"/>
  </w:style>
  <w:style w:type="paragraph" w:styleId="8">
    <w:name w:val="toc 2"/>
    <w:basedOn w:val="1"/>
    <w:next w:val="1"/>
    <w:autoRedefine/>
    <w:unhideWhenUsed/>
    <w:uiPriority w:val="39"/>
    <w:pPr>
      <w:ind w:left="420" w:leftChars="200"/>
    </w:pPr>
  </w:style>
  <w:style w:type="paragraph" w:styleId="9">
    <w:name w:val="HTML Preformatted"/>
    <w:basedOn w:val="1"/>
    <w:link w:val="2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10">
    <w:name w:val="Normal (Web)"/>
    <w:basedOn w:val="1"/>
    <w:autoRedefine/>
    <w:unhideWhenUsed/>
    <w:qFormat/>
    <w:uiPriority w:val="99"/>
    <w:pPr>
      <w:widowControl/>
      <w:spacing w:before="100" w:beforeAutospacing="1" w:after="100" w:afterAutospacing="1" w:line="240" w:lineRule="atLeast"/>
      <w:jc w:val="left"/>
    </w:pPr>
    <w:rPr>
      <w:rFonts w:ascii="宋体" w:hAnsi="宋体" w:cs="宋体"/>
      <w:kern w:val="0"/>
      <w:szCs w:val="24"/>
    </w:rPr>
  </w:style>
  <w:style w:type="character" w:styleId="13">
    <w:name w:val="Strong"/>
    <w:basedOn w:val="12"/>
    <w:autoRedefine/>
    <w:qFormat/>
    <w:uiPriority w:val="22"/>
    <w:rPr>
      <w:b/>
      <w:bCs/>
    </w:rPr>
  </w:style>
  <w:style w:type="character" w:styleId="14">
    <w:name w:val="Hyperlink"/>
    <w:basedOn w:val="12"/>
    <w:autoRedefine/>
    <w:unhideWhenUsed/>
    <w:qFormat/>
    <w:uiPriority w:val="99"/>
    <w:rPr>
      <w:color w:val="0563C1" w:themeColor="hyperlink"/>
      <w:u w:val="single"/>
      <w14:textFill>
        <w14:solidFill>
          <w14:schemeClr w14:val="hlink"/>
        </w14:solidFill>
      </w14:textFill>
    </w:rPr>
  </w:style>
  <w:style w:type="character" w:customStyle="1" w:styleId="15">
    <w:name w:val="页眉 字符"/>
    <w:basedOn w:val="12"/>
    <w:link w:val="6"/>
    <w:autoRedefine/>
    <w:qFormat/>
    <w:uiPriority w:val="99"/>
    <w:rPr>
      <w:sz w:val="18"/>
      <w:szCs w:val="18"/>
    </w:rPr>
  </w:style>
  <w:style w:type="character" w:customStyle="1" w:styleId="16">
    <w:name w:val="页脚 字符"/>
    <w:basedOn w:val="12"/>
    <w:link w:val="5"/>
    <w:autoRedefine/>
    <w:qFormat/>
    <w:uiPriority w:val="99"/>
    <w:rPr>
      <w:sz w:val="18"/>
      <w:szCs w:val="18"/>
    </w:rPr>
  </w:style>
  <w:style w:type="character" w:customStyle="1" w:styleId="17">
    <w:name w:val="grame"/>
    <w:basedOn w:val="12"/>
    <w:autoRedefine/>
    <w:qFormat/>
    <w:uiPriority w:val="0"/>
  </w:style>
  <w:style w:type="character" w:customStyle="1" w:styleId="18">
    <w:name w:val="标题 1 字符"/>
    <w:basedOn w:val="12"/>
    <w:link w:val="2"/>
    <w:autoRedefine/>
    <w:qFormat/>
    <w:uiPriority w:val="9"/>
    <w:rPr>
      <w:rFonts w:eastAsia="宋体"/>
      <w:b/>
      <w:bCs/>
      <w:kern w:val="44"/>
      <w:sz w:val="32"/>
      <w:szCs w:val="44"/>
    </w:rPr>
  </w:style>
  <w:style w:type="character" w:customStyle="1" w:styleId="19">
    <w:name w:val="标题 2 字符"/>
    <w:basedOn w:val="12"/>
    <w:link w:val="3"/>
    <w:qFormat/>
    <w:uiPriority w:val="9"/>
    <w:rPr>
      <w:rFonts w:eastAsia="宋体" w:asciiTheme="majorHAnsi" w:hAnsiTheme="majorHAnsi" w:cstheme="majorBidi"/>
      <w:b/>
      <w:bCs/>
      <w:sz w:val="30"/>
      <w:szCs w:val="32"/>
    </w:rPr>
  </w:style>
  <w:style w:type="paragraph" w:customStyle="1" w:styleId="2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21">
    <w:name w:val="HTML 预设格式 字符"/>
    <w:basedOn w:val="12"/>
    <w:link w:val="9"/>
    <w:autoRedefine/>
    <w:semiHidden/>
    <w:qFormat/>
    <w:uiPriority w:val="99"/>
    <w:rPr>
      <w:rFonts w:ascii="宋体" w:hAnsi="宋体" w:eastAsia="宋体" w:cs="宋体"/>
      <w:kern w:val="0"/>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134</Words>
  <Characters>766</Characters>
  <Lines>6</Lines>
  <Paragraphs>1</Paragraphs>
  <TotalTime>54</TotalTime>
  <ScaleCrop>false</ScaleCrop>
  <LinksUpToDate>false</LinksUpToDate>
  <CharactersWithSpaces>899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2024-03-31T12:23:00Z</dcterms:created>
  <dc:creator>杨昆龙</dc:creator>
  <cp:lastModifiedBy>Lorsch.</cp:lastModifiedBy>
  <dcterms:modified xsi:type="dcterms:W3CDTF">2024-04-21T03:46:28Z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7214BD7D605C497785F5459EA5F2EE28_12</vt:lpwstr>
  </property>
</Properties>
</file>