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DC2502">
        <w:rPr>
          <w:b/>
        </w:rPr>
        <w:t>Khách hàng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DC2502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C2502">
        <w:rPr>
          <w:b/>
        </w:rPr>
        <w:t>KhachHang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</w:t>
      </w:r>
      <w:r w:rsidR="00557796">
        <w:t>UCCN – 5.</w:t>
      </w:r>
      <w:r w:rsidR="00557796">
        <w:t>2</w:t>
      </w:r>
      <w:r w:rsidR="00233616">
        <w:t xml:space="preserve">; [FD-01] </w:t>
      </w:r>
      <w:bookmarkStart w:id="0" w:name="_GoBack"/>
      <w:bookmarkEnd w:id="0"/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234315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C2502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A423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4E7DD1-CDFA-420A-8F00-977C2DE7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MaiLy</cp:lastModifiedBy>
  <cp:revision>6</cp:revision>
  <dcterms:created xsi:type="dcterms:W3CDTF">2017-11-03T12:52:00Z</dcterms:created>
  <dcterms:modified xsi:type="dcterms:W3CDTF">2017-11-04T10:18:00Z</dcterms:modified>
  <cp:contentStatus/>
</cp:coreProperties>
</file>