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sz w:val="32"/>
          <w:szCs w:val="32"/>
        </w:rPr>
        <w:t xml:space="preserve">Supplementary material</w:t>
      </w:r>
    </w:p>
    <w:p>
      <w:pPr>
        <w:spacing w:after="240" w:before="0"/>
      </w:pPr>
      <w:r>
        <w:rPr>
          <w:rFonts w:ascii="Times New Roman" w:cs="Times New Roman" w:eastAsia="Times New Roman" w:hAnsi="Times New Roman"/>
          <w:i/>
          <w:iCs/>
          <w:sz w:val="24"/>
          <w:szCs w:val="24"/>
        </w:rPr>
        <w:t xml:space="preserve">Explainable machine learning for predicting elevated high-sensitivity C-reactive protein in Indonesian adults: Evidence from the Indonesia Family Life Survey</w:t>
      </w:r>
    </w:p>
    <w:p>
      <w:pPr>
        <w:spacing w:after="240" w:before="0"/>
      </w:pPr>
      <w:r>
        <w:rPr>
          <w:rFonts w:ascii="Times New Roman" w:cs="Times New Roman" w:eastAsia="Times New Roman" w:hAnsi="Times New Roman"/>
          <w:sz w:val="20"/>
          <w:szCs w:val="20"/>
        </w:rPr>
        <w:t xml:space="preserve">Contents: Table S1. Repeated cross-validation. Table S2. Logistic regression with cluster-robust standard errors and smoking by sex. Table S3. Recalibration. Table S4. Sensitivity analyses and excluded respondents. Table S5. Comparison with previous ML studies. Fig. S1. Calibration before and after recalibration. Fig. S2. SHAP dependence plots.</w:t>
      </w:r>
    </w:p>
    <w:p>
      <w:pPr>
        <w:spacing w:after="120" w:before="0"/>
      </w:pPr>
      <w:r>
        <w:rPr>
          <w:rFonts w:ascii="Times New Roman" w:cs="Times New Roman" w:eastAsia="Times New Roman" w:hAnsi="Times New Roman"/>
          <w:sz w:val="20"/>
          <w:szCs w:val="20"/>
        </w:rPr>
        <w:t xml:space="preserve">All results were produced by the notebooks model_crp_ifls5.ipynb, analisis_tambahan.ipynb and analisis_model_sederhana.ipynb in the code repository. Abbreviations: AUC, area under the ROC curve; AUC-PR, area under the precision–recall curve; RF, random forest; MLP, multilayer perceptron; LR, logistic regression; DNN, deep neural network; five items, BMI, sex, age, poor self-rated health and urban residence; CI, confidence interval; OR, odds ratio; SE, standard error.</w:t>
      </w:r>
    </w:p>
    <w:p>
      <w:r>
        <w:br w:type="page"/>
      </w:r>
    </w:p>
    <w:p>
      <w:pPr>
        <w:keepNext/>
        <w:spacing w:after="120" w:before="120"/>
      </w:pPr>
      <w:r>
        <w:rPr>
          <w:rFonts w:ascii="Times New Roman" w:cs="Times New Roman" w:eastAsia="Times New Roman" w:hAnsi="Times New Roman"/>
          <w:b/>
          <w:bCs/>
          <w:sz w:val="22"/>
          <w:szCs w:val="22"/>
        </w:rPr>
        <w:t xml:space="preserve">Table S1.</w:t>
      </w:r>
      <w:r>
        <w:rPr>
          <w:rFonts w:ascii="Times New Roman" w:cs="Times New Roman" w:eastAsia="Times New Roman" w:hAnsi="Times New Roman"/>
          <w:sz w:val="22"/>
          <w:szCs w:val="22"/>
        </w:rPr>
        <w:t xml:space="preserve"> Repeated 5-fold cross-validation (five repeats; 25 folds per scheme) on the full sample (n = 5,980; 904 cases). Hyperparameters were fixed at the values tuned on the training set.</w:t>
      </w:r>
    </w:p>
    <w:p>
      <w:pPr>
        <w:spacing w:after="80" w:before="120"/>
      </w:pPr>
      <w:r>
        <w:rPr>
          <w:rFonts w:ascii="Times New Roman" w:cs="Times New Roman" w:eastAsia="Times New Roman" w:hAnsi="Times New Roman"/>
          <w:b/>
          <w:bCs/>
          <w:sz w:val="20"/>
          <w:szCs w:val="20"/>
        </w:rPr>
        <w:t xml:space="preserve">A. Folds grouped by household (members of one household never appear in both training and test folds)</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000"/>
        <w:gridCol w:w="1000"/>
        <w:gridCol w:w="1700"/>
        <w:gridCol w:w="1700"/>
        <w:gridCol w:w="2900"/>
        <w:gridCol w:w="1000"/>
      </w:tblGrid>
      <w:tr>
        <w:trPr>
          <w:tblHeader/>
        </w:trPr>
        <w:tc>
          <w:tcPr>
            <w:tcW w:type="dxa" w:w="2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Model</w:t>
            </w:r>
          </w:p>
        </w:tc>
        <w:tc>
          <w:tcPr>
            <w:tcW w:type="dxa" w:w="15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 mean (SD)</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AUC-PR</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Brier</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Sensitivity at specificity 0.70</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Sensitivity at specificity 0.80</w:t>
            </w:r>
          </w:p>
        </w:tc>
        <w:tc>
          <w:tcPr>
            <w:tcW w:type="dxa" w:w="2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 difference vs ensemble (95% CI)</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0.686 (0.025)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+0.005 (−0.005 to 0.015)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0.305</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LightGBM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0.681 (0.026)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+0.000 (−0.008 to 0.008)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0.945</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Ensemble (RF + MLP + LR)</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0.681 (0.025)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Reference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0.680 (0.025)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−0.001 (−0.005 to 0.004)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0.755</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LR, five items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0.678 (0.026)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 (−0.010 to 0.004)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0.407</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MLP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0.677 (0.024)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−0.004 (−0.008 to 0.000)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0.048</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DNN (PyTorch)</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0.675 (0.024)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−0.006 (−0.017 to 0.005)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0.261</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0.675 (0.026)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−0.006 (−0.010 to −0.003)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r>
        <w:trPr>
          <w:cantSplit/>
        </w:trPr>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LR, BMI only</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0.658 (0.022)</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0.297</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0.227</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0.554</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0.446</w:t>
            </w:r>
          </w:p>
        </w:tc>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−0.023 (−0.037 to −0.008)</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0.004</w:t>
            </w:r>
          </w:p>
        </w:tc>
      </w:tr>
    </w:tbl>
    <w:p>
      <w:pPr>
        <w:spacing w:after="80" w:before="120"/>
      </w:pPr>
      <w:r>
        <w:rPr>
          <w:rFonts w:ascii="Times New Roman" w:cs="Times New Roman" w:eastAsia="Times New Roman" w:hAnsi="Times New Roman"/>
          <w:b/>
          <w:bCs/>
          <w:sz w:val="20"/>
          <w:szCs w:val="20"/>
        </w:rPr>
        <w:t xml:space="preserve">B. Folds stratified by outcome at the individual level</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000"/>
        <w:gridCol w:w="1000"/>
        <w:gridCol w:w="1700"/>
        <w:gridCol w:w="1700"/>
        <w:gridCol w:w="2900"/>
        <w:gridCol w:w="1000"/>
      </w:tblGrid>
      <w:tr>
        <w:trPr>
          <w:tblHeader/>
        </w:trPr>
        <w:tc>
          <w:tcPr>
            <w:tcW w:type="dxa" w:w="2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Model</w:t>
            </w:r>
          </w:p>
        </w:tc>
        <w:tc>
          <w:tcPr>
            <w:tcW w:type="dxa" w:w="15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 mean (SD)</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AUC-PR</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Brier</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Sensitivity at specificity 0.70</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Sensitivity at specificity 0.80</w:t>
            </w:r>
          </w:p>
        </w:tc>
        <w:tc>
          <w:tcPr>
            <w:tcW w:type="dxa" w:w="2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 difference vs ensemble (95% CI)</w:t>
            </w:r>
          </w:p>
        </w:tc>
        <w:tc>
          <w:tcPr>
            <w:tcW w:type="dxa" w:w="1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0.684 (0.015)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 (−0.007 to 0.014)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0.501</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Ensemble (RF + MLP + LR)</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0.681 (0.016)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Reference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LR, five items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0.679 (0.016)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−0.002 (−0.007 to 0.004)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0.515</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MLP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0.678 (0.016)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 (−0.007 to 0.001)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0.188</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0.678 (0.015)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 (−0.010 to 0.004)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0.430</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LightGBM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0.677 (0.015)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 (−0.014 to 0.008)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0.544</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0.674 (0.016)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−0.006 (−0.010 to −0.002)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DNN (PyTorch)</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0.673 (0.014)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0.543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−0.007 (−0.019 to 0.004)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0.190</w:t>
            </w:r>
          </w:p>
        </w:tc>
      </w:tr>
      <w:tr>
        <w:trPr>
          <w:cantSplit/>
        </w:trPr>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LR, BMI only</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0.659 (0.020)</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0.296</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0.227</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0.554</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0.444</w:t>
            </w:r>
          </w:p>
        </w:tc>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−0.022 (−0.033 to −0.011)</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bl>
    <w:p>
      <w:pPr>
        <w:spacing w:after="240" w:before="0"/>
      </w:pPr>
      <w:r>
        <w:rPr>
          <w:rFonts w:ascii="Times New Roman" w:cs="Times New Roman" w:eastAsia="Times New Roman" w:hAnsi="Times New Roman"/>
          <w:sz w:val="18"/>
          <w:szCs w:val="18"/>
        </w:rPr>
        <w:t xml:space="preserve">Brier scores refer to class-weighted, uncalibrated predictions. AUC differences from the ensemble were tested with the corrected resampled t-test (Nadeau and Bengio, 2003), without correction for multiple comparisons. Sensitivity at fixed specificity is the mean across folds.</w:t>
      </w:r>
    </w:p>
    <w:p>
      <w:r>
        <w:br w:type="page"/>
      </w:r>
    </w:p>
    <w:p>
      <w:pPr>
        <w:keepNext/>
        <w:spacing w:after="120" w:before="120"/>
      </w:pPr>
      <w:r>
        <w:rPr>
          <w:rFonts w:ascii="Times New Roman" w:cs="Times New Roman" w:eastAsia="Times New Roman" w:hAnsi="Times New Roman"/>
          <w:b/>
          <w:bCs/>
          <w:sz w:val="22"/>
          <w:szCs w:val="22"/>
        </w:rPr>
        <w:t xml:space="preserve">Table S2.</w:t>
      </w:r>
      <w:r>
        <w:rPr>
          <w:rFonts w:ascii="Times New Roman" w:cs="Times New Roman" w:eastAsia="Times New Roman" w:hAnsi="Times New Roman"/>
          <w:sz w:val="22"/>
          <w:szCs w:val="22"/>
        </w:rPr>
        <w:t xml:space="preserve"> Multivariable logistic regression for elevated hs-CRP with model-based and cluster-robust standard errors (n = 5,980; 904 cases; 3,655 households).</w:t>
      </w:r>
    </w:p>
    <w:p>
      <w:pPr>
        <w:spacing w:after="80" w:before="120"/>
      </w:pPr>
      <w:r>
        <w:rPr>
          <w:rFonts w:ascii="Times New Roman" w:cs="Times New Roman" w:eastAsia="Times New Roman" w:hAnsi="Times New Roman"/>
          <w:b/>
          <w:bCs/>
          <w:sz w:val="20"/>
          <w:szCs w:val="20"/>
        </w:rPr>
        <w:t xml:space="preserve">A. Full sample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2400"/>
        <w:gridCol w:w="2400"/>
        <w:gridCol w:w="2000"/>
        <w:gridCol w:w="2100"/>
      </w:tblGrid>
      <w:tr>
        <w:trPr>
          <w:tblHeader/>
        </w:trPr>
        <w:tc>
          <w:tcPr>
            <w:tcW w:type="dxa" w:w="42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Predictor</w:t>
            </w:r>
          </w:p>
        </w:tc>
        <w:tc>
          <w:tcPr>
            <w:tcW w:type="dxa" w:w="13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OR</w:t>
            </w:r>
          </w:p>
        </w:tc>
        <w:tc>
          <w:tcPr>
            <w:tcW w:type="dxa" w:w="2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95% CI (model-based SE)</w:t>
            </w:r>
          </w:p>
        </w:tc>
        <w:tc>
          <w:tcPr>
            <w:tcW w:type="dxa" w:w="2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95% CI (cluster-robust SE)</w:t>
            </w:r>
          </w:p>
        </w:tc>
        <w:tc>
          <w:tcPr>
            <w:tcW w:type="dxa" w:w="2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 (cluster-robust)</w:t>
            </w:r>
          </w:p>
        </w:tc>
        <w:tc>
          <w:tcPr>
            <w:tcW w:type="dxa" w:w="21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 ratio (cluster/model)</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BMI (per 5 kg/m²)</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1.69–2.02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1.69–2.02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Age (per 10 years)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0.98–1.11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0.98–1.11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Female sex</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1.08–1.71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1.08–1.72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Urban residence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1.12–1.53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1.11–1.54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 per capita expenditure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0.81–1.01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0.80–1.02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Former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0.79–1.64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0.79–1.65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Current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0.78–1.28</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0.78–1.28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Senior secondary or higher education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0.93–1.31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0.93–1.31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Married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0.93–1.31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0.93–1.32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0.262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1.03</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Systolic BP (per 10 mmHg)</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0.95–1.03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0.95–1.03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0.641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1.04</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Days walking per week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0.97–1.01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0.97–1.01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Number of chronic conditions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0.96–1.14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0.96–1.14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w:t>
            </w:r>
          </w:p>
        </w:tc>
      </w:tr>
      <w:tr>
        <w:trPr>
          <w:cantSplit/>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Poor self-rated health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1.29–1.83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1.28–1.83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1.03</w:t>
            </w:r>
          </w:p>
        </w:tc>
      </w:tr>
      <w:tr>
        <w:trPr>
          <w:cantSplit/>
        </w:trPr>
        <w:tc>
          <w:tcPr>
            <w:tcW w:type="dxa" w:w="4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CES-D score</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0.99–1.02</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0.99–1.02</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0.724</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bl>
    <w:p>
      <w:pPr>
        <w:spacing w:after="80" w:before="120"/>
      </w:pPr>
      <w:r>
        <w:rPr>
          <w:rFonts w:ascii="Times New Roman" w:cs="Times New Roman" w:eastAsia="Times New Roman" w:hAnsi="Times New Roman"/>
          <w:b/>
          <w:bCs/>
          <w:sz w:val="20"/>
          <w:szCs w:val="20"/>
        </w:rPr>
        <w:t xml:space="preserve">B. Smoking and BMI by sex (cluster-robust SE; models adjusted for the other predictors in panel A except sex)</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300"/>
        <w:gridCol w:w="1300"/>
        <w:gridCol w:w="1900"/>
        <w:gridCol w:w="1300"/>
        <w:gridCol w:w="2300"/>
        <w:gridCol w:w="1600"/>
      </w:tblGrid>
      <w:tr>
        <w:trPr>
          <w:tblHeader/>
        </w:trPr>
        <w:tc>
          <w:tcPr>
            <w:tcW w:type="dxa" w:w="11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Sex</w:t>
            </w:r>
          </w:p>
        </w:tc>
        <w:tc>
          <w:tcPr>
            <w:tcW w:type="dxa" w:w="3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Predictor</w:t>
            </w:r>
          </w:p>
        </w:tc>
        <w:tc>
          <w:tcPr>
            <w:tcW w:type="dxa" w:w="13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3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Cases</w:t>
            </w:r>
          </w:p>
        </w:tc>
        <w:tc>
          <w:tcPr>
            <w:tcW w:type="dxa" w:w="1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Currently smoking</w:t>
            </w:r>
          </w:p>
        </w:tc>
        <w:tc>
          <w:tcPr>
            <w:tcW w:type="dxa" w:w="13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OR</w:t>
            </w:r>
          </w:p>
        </w:tc>
        <w:tc>
          <w:tcPr>
            <w:tcW w:type="dxa" w:w="23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95% CI</w:t>
            </w:r>
          </w:p>
        </w:tc>
        <w:tc>
          <w:tcPr>
            <w:tcW w:type="dxa" w:w="1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Current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0.69–1.23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Former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0.70–1.67</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0.729</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BMI (per 5 kg/m²)</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1.41–1.97</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Women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Current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0.79–2.14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0.308</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Women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Former smoking (vs never)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0.42–2.66</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0.902</w:t>
            </w:r>
          </w:p>
        </w:tc>
      </w:tr>
      <w:tr>
        <w:trPr>
          <w:cantSplit/>
        </w:trPr>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Women</w:t>
            </w:r>
          </w:p>
        </w:tc>
        <w:tc>
          <w:tcPr>
            <w:tcW w:type="dxa" w:w="3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BMI (per 5 kg/m²)</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3,233</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590</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w:t>
            </w:r>
          </w:p>
        </w:tc>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1.75–2.20</w:t>
            </w:r>
          </w:p>
        </w:tc>
        <w:tc>
          <w:tcPr>
            <w:tcW w:type="dxa" w:w="1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bl>
    <w:p>
      <w:pPr>
        <w:spacing w:after="240" w:before="0"/>
      </w:pPr>
      <w:r>
        <w:rPr>
          <w:rFonts w:ascii="Times New Roman" w:cs="Times New Roman" w:eastAsia="Times New Roman" w:hAnsi="Times New Roman"/>
          <w:sz w:val="18"/>
          <w:szCs w:val="18"/>
        </w:rPr>
        <w:t xml:space="preserve">Cluster-robust standard errors used the CR1 sandwich estimator with households as clusters. Missing values in secondary covariates were replaced by the median.</w:t>
      </w:r>
    </w:p>
    <w:p>
      <w:r>
        <w:br w:type="page"/>
      </w:r>
    </w:p>
    <w:p>
      <w:pPr>
        <w:keepNext/>
        <w:spacing w:after="120" w:before="120"/>
      </w:pPr>
      <w:r>
        <w:rPr>
          <w:rFonts w:ascii="Times New Roman" w:cs="Times New Roman" w:eastAsia="Times New Roman" w:hAnsi="Times New Roman"/>
          <w:b/>
          <w:bCs/>
          <w:sz w:val="22"/>
          <w:szCs w:val="22"/>
        </w:rPr>
        <w:t xml:space="preserve">Table S3.</w:t>
      </w:r>
      <w:r>
        <w:rPr>
          <w:rFonts w:ascii="Times New Roman" w:cs="Times New Roman" w:eastAsia="Times New Roman" w:hAnsi="Times New Roman"/>
          <w:sz w:val="22"/>
          <w:szCs w:val="22"/>
        </w:rPr>
        <w:t xml:space="preserve"> Calibration on the test set (n = 1,196; 181 cases) before and after recalibration. Platt and isotonic calibrators were fitted on out-of-fold predictions in the training set.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00"/>
        <w:gridCol w:w="1700"/>
        <w:gridCol w:w="1800"/>
        <w:gridCol w:w="1900"/>
      </w:tblGrid>
      <w:tr>
        <w:trPr>
          <w:tblHeader/>
        </w:trPr>
        <w:tc>
          <w:tcPr>
            <w:tcW w:type="dxa" w:w="3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Model</w:t>
            </w:r>
          </w:p>
        </w:tc>
        <w:tc>
          <w:tcPr>
            <w:tcW w:type="dxa" w:w="18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Version</w:t>
            </w:r>
          </w:p>
        </w:tc>
        <w:tc>
          <w:tcPr>
            <w:tcW w:type="dxa" w:w="1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Calibration intercept</w:t>
            </w:r>
          </w:p>
        </w:tc>
        <w:tc>
          <w:tcPr>
            <w:tcW w:type="dxa" w:w="1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Calibration slope</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E/O ratio</w:t>
            </w:r>
          </w:p>
        </w:tc>
        <w:tc>
          <w:tcPr>
            <w:tcW w:type="dxa" w:w="18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Brier</w:t>
            </w:r>
          </w:p>
        </w:tc>
        <w:tc>
          <w:tcPr>
            <w:tcW w:type="dxa" w:w="19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AUC</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3.056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0.724</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1.478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0.724</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1.316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0.722</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-1.531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2.873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0.723</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0.723</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0.722</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-1.630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1.668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3.021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0.729</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0.729</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0.719</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LightGBM</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-1.581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1.666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2.943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0.723</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LightGBM</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0.723</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LightGBM</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0.967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0.718</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MLP</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1.636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3.183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0.724</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MLP</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0.724</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MLP</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−0.109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1.331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0.725</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DNN (PyTorch)</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3.192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0.706</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DNN (PyTorch)</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1.904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0.706</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DNN (PyTorch)</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0.989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0.700</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Ensemble (RF + MLP + LR)</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Uncalibrated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-1.642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3.037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0.730</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Ensemble (RF + MLP + LR)</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Platt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1.427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0.730</w:t>
            </w:r>
          </w:p>
        </w:tc>
      </w:tr>
      <w:tr>
        <w:trPr>
          <w:cantSplit/>
        </w:trPr>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Ensemble (RF + MLP + LR)</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Isotonic</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−0.013</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1.296</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1.010</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0.115</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0.727</w:t>
            </w:r>
          </w:p>
        </w:tc>
      </w:tr>
    </w:tbl>
    <w:p>
      <w:pPr>
        <w:spacing w:after="240" w:before="0"/>
      </w:pPr>
      <w:r>
        <w:rPr>
          <w:rFonts w:ascii="Times New Roman" w:cs="Times New Roman" w:eastAsia="Times New Roman" w:hAnsi="Times New Roman"/>
          <w:sz w:val="18"/>
          <w:szCs w:val="18"/>
        </w:rPr>
        <w:t xml:space="preserve">Ideal values: calibration intercept 0, calibration slope 1, expected-to-observed (E/O) ratio 1. Isotonic recalibration can change the AUC slightly because it creates ties in the predicted probabilities.</w:t>
      </w:r>
    </w:p>
    <w:p>
      <w:r>
        <w:br w:type="page"/>
      </w:r>
    </w:p>
    <w:p>
      <w:pPr>
        <w:keepNext/>
        <w:spacing w:after="120" w:before="120"/>
      </w:pPr>
      <w:r>
        <w:rPr>
          <w:rFonts w:ascii="Times New Roman" w:cs="Times New Roman" w:eastAsia="Times New Roman" w:hAnsi="Times New Roman"/>
          <w:b/>
          <w:bCs/>
          <w:sz w:val="22"/>
          <w:szCs w:val="22"/>
        </w:rPr>
        <w:t xml:space="preserve">Table S4.</w:t>
      </w:r>
      <w:r>
        <w:rPr>
          <w:rFonts w:ascii="Times New Roman" w:cs="Times New Roman" w:eastAsia="Times New Roman" w:hAnsi="Times New Roman"/>
          <w:sz w:val="22"/>
          <w:szCs w:val="22"/>
        </w:rPr>
        <w:t xml:space="preserve"> Sensitivity analyses (XGBoost, test-set AUC) and comparison of excluded and analysed respondents.</w:t>
      </w:r>
    </w:p>
    <w:p>
      <w:pPr>
        <w:spacing w:after="80" w:before="120"/>
      </w:pPr>
      <w:r>
        <w:rPr>
          <w:rFonts w:ascii="Times New Roman" w:cs="Times New Roman" w:eastAsia="Times New Roman" w:hAnsi="Times New Roman"/>
          <w:b/>
          <w:bCs/>
          <w:sz w:val="20"/>
          <w:szCs w:val="20"/>
        </w:rPr>
        <w:t xml:space="preserve">A. Sensitivity analyses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0"/>
        <w:gridCol w:w="2600"/>
        <w:gridCol w:w="2400"/>
        <w:gridCol w:w="3400"/>
      </w:tblGrid>
      <w:tr>
        <w:trPr>
          <w:tblHeader/>
        </w:trPr>
        <w:tc>
          <w:tcPr>
            <w:tcW w:type="dxa" w:w="6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Analysis</w:t>
            </w:r>
          </w:p>
        </w:tc>
        <w:tc>
          <w:tcPr>
            <w:tcW w:type="dxa" w:w="2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2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Cases</w:t>
            </w:r>
          </w:p>
        </w:tc>
        <w:tc>
          <w:tcPr>
            <w:tcW w:type="dxa" w:w="3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Test-set AUC (95% CI)</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Main model (CRP ≤10 mg/L)</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5,980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904</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0.729 (0.687–0.770)</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Without poor self-rated health</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5,980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904</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0.715 (0.674–0.756)</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CRP &gt;10 mg/L included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1,123</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0.690 (0.649–0.730)</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With DBS sampling weights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4,784 (training)</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0.728</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SMOTE instead of class weights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4,784 (training)</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0.710</w:t>
            </w:r>
          </w:p>
        </w:tc>
      </w:tr>
      <w:tr>
        <w:trPr>
          <w:cantSplit/>
        </w:trPr>
        <w:tc>
          <w:tcPr>
            <w:tcW w:type="dxa" w:w="6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Age ≥40 years, without waist circumference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2,328 (training)</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0.627</w:t>
            </w:r>
          </w:p>
        </w:tc>
      </w:tr>
      <w:tr>
        <w:trPr>
          <w:cantSplit/>
        </w:trPr>
        <w:tc>
          <w:tcPr>
            <w:tcW w:type="dxa" w:w="6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Age ≥40 years, with waist circumference</w:t>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2,328 (training)</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0.634</w:t>
            </w:r>
          </w:p>
        </w:tc>
      </w:tr>
    </w:tbl>
    <w:p>
      <w:pPr>
        <w:spacing w:after="240" w:before="0"/>
      </w:pPr>
      <w:r>
        <w:rPr>
          <w:rFonts w:ascii="Times New Roman" w:cs="Times New Roman" w:eastAsia="Times New Roman" w:hAnsi="Times New Roman"/>
          <w:sz w:val="18"/>
          <w:szCs w:val="18"/>
        </w:rPr>
        <w:t xml:space="preserve">For the main model the AUC and 95% CI are those of Table 3. Analyses marked “(training)” report the size of the training set.</w:t>
      </w:r>
    </w:p>
    <w:p>
      <w:pPr>
        <w:spacing w:after="80" w:before="120"/>
      </w:pPr>
      <w:r>
        <w:rPr>
          <w:rFonts w:ascii="Times New Roman" w:cs="Times New Roman" w:eastAsia="Times New Roman" w:hAnsi="Times New Roman"/>
          <w:b/>
          <w:bCs/>
          <w:sz w:val="20"/>
          <w:szCs w:val="20"/>
        </w:rPr>
        <w:t xml:space="preserve">B. Excluded vs analysed respondents (DBS subsample, aged ≥15 years, not pregnant)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1500"/>
        <w:gridCol w:w="1500"/>
        <w:gridCol w:w="1700"/>
        <w:gridCol w:w="1800"/>
        <w:gridCol w:w="1700"/>
      </w:tblGrid>
      <w:tr>
        <w:trPr>
          <w:tblHeader/>
        </w:trPr>
        <w:tc>
          <w:tcPr>
            <w:tcW w:type="dxa" w:w="34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Group</w:t>
            </w:r>
          </w:p>
        </w:tc>
        <w:tc>
          <w:tcPr>
            <w:tcW w:type="dxa" w:w="12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age (years)</w:t>
            </w:r>
          </w:p>
        </w:tc>
        <w:tc>
          <w:tcPr>
            <w:tcW w:type="dxa" w:w="15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Women (%)</w:t>
            </w:r>
          </w:p>
        </w:tc>
        <w:tc>
          <w:tcPr>
            <w:tcW w:type="dxa" w:w="15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Urban (%)</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BMI (kg/m²)</w:t>
            </w:r>
          </w:p>
        </w:tc>
        <w:tc>
          <w:tcPr>
            <w:tcW w:type="dxa" w:w="18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Currently smoking (%)</w:t>
            </w:r>
          </w:p>
        </w:tc>
        <w:tc>
          <w:tcPr>
            <w:tcW w:type="dxa" w:w="17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 hs-CRP (mg/L)</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Analysed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5,980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0.69</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Excluded: hs-CRP &gt;10 mg/L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15.61</w:t>
            </w:r>
          </w:p>
        </w:tc>
      </w:tr>
      <w:tr>
        <w:trPr>
          <w:cantSplit/>
        </w:trPr>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Excluded: missing core predictor</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533</w:t>
            </w:r>
          </w:p>
        </w:tc>
        <w:tc>
          <w:tcPr>
            <w:tcW w:type="dxa" w:w="1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59.7</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54.2</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21.6</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25.1</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0.86</w:t>
            </w:r>
          </w:p>
        </w:tc>
      </w:tr>
    </w:tbl>
    <w:p>
      <w:pPr>
        <w:spacing w:after="240" w:before="0"/>
      </w:pPr>
      <w:r>
        <w:rPr>
          <w:rFonts w:ascii="Times New Roman" w:cs="Times New Roman" w:eastAsia="Times New Roman" w:hAnsi="Times New Roman"/>
          <w:sz w:val="18"/>
          <w:szCs w:val="18"/>
        </w:rPr>
        <w:t xml:space="preserve">Of the 240 respondents with hs-CRP above 10 mg/L, 219 had complete core predictors and entered the sensitivity analysis in panel A.</w:t>
      </w:r>
    </w:p>
    <w:p>
      <w:r>
        <w:br w:type="page"/>
      </w:r>
    </w:p>
    <w:p>
      <w:pPr>
        <w:keepNext/>
        <w:spacing w:after="120" w:before="120"/>
      </w:pPr>
      <w:r>
        <w:rPr>
          <w:rFonts w:ascii="Times New Roman" w:cs="Times New Roman" w:eastAsia="Times New Roman" w:hAnsi="Times New Roman"/>
          <w:b/>
          <w:bCs/>
          <w:sz w:val="22"/>
          <w:szCs w:val="22"/>
        </w:rPr>
        <w:t xml:space="preserve">Table S5.</w:t>
      </w:r>
      <w:r>
        <w:rPr>
          <w:rFonts w:ascii="Times New Roman" w:cs="Times New Roman" w:eastAsia="Times New Roman" w:hAnsi="Times New Roman"/>
          <w:sz w:val="22"/>
          <w:szCs w:val="22"/>
        </w:rPr>
        <w:t xml:space="preserve"> Comparison with previous machine learning studies of elevated CRP.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600"/>
        <w:gridCol w:w="4200"/>
      </w:tblGrid>
      <w:tr>
        <w:trPr>
          <w:tblHeader/>
        </w:trPr>
        <w:tc>
          <w:tcPr>
            <w:tcW w:type="dxa" w:w="30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Aspect</w:t>
            </w:r>
          </w:p>
        </w:tc>
        <w:tc>
          <w:tcPr>
            <w:tcW w:type="dxa" w:w="3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Yu et al. [11]</w:t>
            </w:r>
          </w:p>
        </w:tc>
        <w:tc>
          <w:tcPr>
            <w:tcW w:type="dxa" w:w="36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Larke and Lemay [12]</w:t>
            </w:r>
          </w:p>
        </w:tc>
        <w:tc>
          <w:tcPr>
            <w:tcW w:type="dxa" w:w="420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This study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Population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3,514 children, China</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19,460 adults, United States (NHANES)</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5,980 adults, Indonesia (IFLS-5)</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Main predictors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Dietary amino acid intake (food frequency questionnaire)</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Diet (24-hour recall) and covariates</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Sociodemographic, lifestyle, anthropometric and clinical factors; no blood test or dietary record</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Models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XGBoost, LightGBM, naive Bayes, neural network</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Random forest, XGBoost, multilayer perceptron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Logistic regression, random forest, XGBoost, LightGBM, multilayer perceptron, PyTorch DNN, ensemble, two parsimonious logistic models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Best model</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LightGBM</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XGBoost</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Ensemble; small AUC differences from the other models; five-item logistic model equivalent in practice</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Held-out test set</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 (80/20)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 (80/20)</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Repeated cross-validation grouped by household</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applicable</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reported</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 (5 × 5 folds)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Primary metric</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AUC</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Balanced accuracy, AUC</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AUC, sensitivity, balanced accuracy</w:t>
            </w:r>
          </w:p>
        </w:tc>
      </w:tr>
      <w:tr>
        <w:trPr>
          <w:cantSplit/>
        </w:trP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Sensitivity at fixed specificity</w:t>
            </w:r>
          </w:p>
        </w:tc>
        <w:tc>
          <w:tcPr>
            <w:tcW w:type="dxa" w:w="3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reported</w:t>
            </w:r>
          </w:p>
        </w:tc>
        <w:tc>
          <w:tcPr>
            <w:tcW w:type="dxa" w:w="3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reported</w:t>
            </w:r>
          </w:p>
        </w:tc>
        <w:tc>
          <w:tcPr>
            <w:tcW w:type="dxa" w:w="4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Reported (0.70, 0.80)</w:t>
            </w:r>
          </w:p>
        </w:tc>
      </w:tr>
    </w:tbl>
    <w:p>
      <w:pPr>
        <w:spacing w:after="240" w:before="0"/>
      </w:pPr>
      <w:r>
        <w:rPr>
          <w:rFonts w:ascii="Times New Roman" w:cs="Times New Roman" w:eastAsia="Times New Roman" w:hAnsi="Times New Roman"/>
          <w:sz w:val="18"/>
          <w:szCs w:val="18"/>
        </w:rPr>
        <w:t xml:space="preserve">Reference numbers refer to the main manuscript.</w:t>
      </w:r>
    </w:p>
    <w:p>
      <w:r>
        <w:br w:type="page"/>
      </w:r>
    </w:p>
    <w:p>
      <w:pPr>
        <w:keepNext/>
        <w:spacing w:after="120" w:before="120"/>
      </w:pPr>
      <w:r>
        <w:rPr>
          <w:rFonts w:ascii="Times New Roman" w:cs="Times New Roman" w:eastAsia="Times New Roman" w:hAnsi="Times New Roman"/>
          <w:b/>
          <w:bCs/>
          <w:sz w:val="22"/>
          <w:szCs w:val="22"/>
        </w:rPr>
        <w:t xml:space="preserve">Fig. S1.</w:t>
      </w:r>
      <w:r>
        <w:rPr>
          <w:rFonts w:ascii="Times New Roman" w:cs="Times New Roman" w:eastAsia="Times New Roman" w:hAnsi="Times New Roman"/>
          <w:sz w:val="22"/>
          <w:szCs w:val="22"/>
        </w:rPr>
        <w:t xml:space="preserve"> Calibration curves on the test set before (A) and after (B) Platt recalibration. Points are deciles of predicted probability; the dashed line marks perfect calibration.</w:t>
      </w:r>
    </w:p>
    <w:p>
      <w:pPr>
        <w:jc w:val="center"/>
      </w:pPr>
      <w:r>
        <w:drawing>
          <wp:inline distT="0" distB="0" distL="0" distR="0">
            <wp:extent cx="8572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3533775"/>
                    </a:xfrm>
                    <a:prstGeom prst="rect">
                      <a:avLst/>
                    </a:prstGeom>
                  </pic:spPr>
                </pic:pic>
              </a:graphicData>
            </a:graphic>
          </wp:inline>
        </w:drawing>
      </w:r>
    </w:p>
    <w:p>
      <w:r>
        <w:br w:type="page"/>
      </w:r>
    </w:p>
    <w:p>
      <w:pPr>
        <w:keepNext/>
        <w:spacing w:after="120" w:before="120"/>
      </w:pPr>
      <w:r>
        <w:rPr>
          <w:rFonts w:ascii="Times New Roman" w:cs="Times New Roman" w:eastAsia="Times New Roman" w:hAnsi="Times New Roman"/>
          <w:b/>
          <w:bCs/>
          <w:sz w:val="22"/>
          <w:szCs w:val="22"/>
        </w:rPr>
        <w:t xml:space="preserve">Fig. S2.</w:t>
      </w:r>
      <w:r>
        <w:rPr>
          <w:rFonts w:ascii="Times New Roman" w:cs="Times New Roman" w:eastAsia="Times New Roman" w:hAnsi="Times New Roman"/>
          <w:sz w:val="22"/>
          <w:szCs w:val="22"/>
        </w:rPr>
        <w:t xml:space="preserve"> SHAP dependence plots for BMI (A), age (B) and log per capita expenditure (C) in the XGBoost model. Each point is one test-set participant; positive SHAP values raise the predicted risk of elevated hs-CRP.</w:t>
      </w:r>
    </w:p>
    <w:p>
      <w:pPr>
        <w:jc w:val="center"/>
      </w:pPr>
      <w:r>
        <w:drawing>
          <wp:inline distT="0" distB="0" distL="0" distR="0">
            <wp:extent cx="8953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2543175"/>
                    </a:xfrm>
                    <a:prstGeom prst="rect">
                      <a:avLst/>
                    </a:prstGeom>
                  </pic:spPr>
                </pic:pic>
              </a:graphicData>
            </a:graphic>
          </wp:inline>
        </w:drawing>
      </w:r>
    </w:p>
    <w:sectPr>
      <w:footerReference w:type="default" r:id="rId7"/>
      <w:pgSz w:w="16838" w:h="11906" w:orient="landscape"/>
      <w:pgMar w:top="1134" w:right="1219" w:bottom="1134" w:left="121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Supplementary material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ce279e8d0818e0c1da5bf25da50c02af0267f5.png"/><Relationship Id="rId9" Type="http://schemas.openxmlformats.org/officeDocument/2006/relationships/image" Target="media/fdcc946102b25181ef03d636399572314da42e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2026-10-08T12:13:55.687Z</dcterms:created>
  <dcterms:modified xsi:type="dcterms:W3CDTF">2026-10-08T12:13:55.688Z</dcterms:modified>
</cp:coreProperties>
</file>

<file path=docProps/custom.xml><?xml version="1.0" encoding="utf-8"?>
<Properties xmlns="http://schemas.openxmlformats.org/officeDocument/2006/custom-properties" xmlns:vt="http://schemas.openxmlformats.org/officeDocument/2006/docPropsVTypes"/>
</file>