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11827"/>
          <w:sz w:val="44"/>
        </w:rPr>
        <w:t>FreshSalt Surface / 表面盐影像助手</w:t>
      </w:r>
    </w:p>
    <w:p>
      <w:pPr>
        <w:jc w:val="center"/>
      </w:pPr>
      <w:r>
        <w:rPr>
          <w:rFonts w:ascii="微软雅黑" w:hAnsi="微软雅黑" w:eastAsia="微软雅黑"/>
          <w:color w:val="4B5563"/>
          <w:sz w:val="22"/>
        </w:rPr>
        <w:t>APP 平台搭建方案、UI 框架与点击式模拟验证规划  2026-06-12</w:t>
      </w:r>
    </w:p>
    <w:p>
      <w:r>
        <w:t>定位摘要：当前具体实验尚未开展，优先搭建可演示、可验证、可接入真实模型的 Android 优先 Flutter APP 平台。第一版采用模拟数据和模拟图像，验证页面、交互、服务、模型包、导出和异常链路是否完整。</w:t>
      </w:r>
    </w:p>
    <w:p>
      <w:pPr>
        <w:pStyle w:val="Heading1"/>
      </w:pPr>
      <w:r>
        <w:t>1. 项目定位与不可越界内容</w:t>
      </w:r>
    </w:p>
    <w:p>
      <w:pPr>
        <w:pStyle w:val="ListBullet"/>
      </w:pPr>
      <w:r>
        <w:t>项目面向大学物理实验竞赛，核心不是食品安全判定，而是展示受控 RGB 成像、盐晶体散射/覆盖率机理、灰箱模型和 APP 工程闭环。</w:t>
      </w:r>
    </w:p>
    <w:p>
      <w:pPr>
        <w:pStyle w:val="ListBullet"/>
      </w:pPr>
      <w:r>
        <w:t>APP 输出为 NaCl 等效表面负载估计值，单位为 mg/cm2 NaCl eq.。</w:t>
      </w:r>
    </w:p>
    <w:p>
      <w:pPr>
        <w:pStyle w:val="ListBullet"/>
      </w:pPr>
      <w:r>
        <w:t>当前实验未开展，因此所有结果页、历史页、报告页默认使用模拟数据，必须在 UI 中持续显示“模拟数据”徽标。</w:t>
      </w:r>
    </w:p>
    <w:p>
      <w:pPr>
        <w:pStyle w:val="ListBullet"/>
      </w:pPr>
      <w:r>
        <w:t>禁止出现“食品安全合格/不合格”“能不能吃”“执法检测”“手机随手拍直接测盐”等表述。</w:t>
      </w:r>
    </w:p>
    <w:p>
      <w:pPr>
        <w:pStyle w:val="Heading1"/>
      </w:pPr>
      <w:r>
        <w:t>2. 总体方案</w:t>
      </w:r>
    </w:p>
    <w:p>
      <w:r>
        <w:t>方案采用“先平台、后实验、再模型”的路线。APP 先完成可点击闭环，模拟硬件、模拟图像、模拟模型包和模拟结果。等真实暗箱实验完成后，只替换模型包、样本图片和数据仓储，不重写 UI 和流程。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vAlign w:val="center"/>
            <w:shd w:fill="0F766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969"/>
            <w:vAlign w:val="center"/>
            <w:shd w:fill="0F766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当前阶段做法</w:t>
            </w:r>
          </w:p>
        </w:tc>
        <w:tc>
          <w:tcPr>
            <w:tcW w:type="dxa" w:w="3969"/>
            <w:vAlign w:val="center"/>
            <w:shd w:fill="0F766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后续真实实验接入</w:t>
            </w:r>
          </w:p>
        </w:tc>
      </w:tr>
      <w:tr>
        <w:tc>
          <w:tcPr>
            <w:tcW w:type="dxa" w:w="1701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采集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使用 mock_baseline.png、mock_salted.png 和相册选择占位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接入 Flutter camera、固定曝光、灰卡区域检测</w:t>
            </w:r>
          </w:p>
        </w:tc>
      </w:tr>
      <w:tr>
        <w:tc>
          <w:tcPr>
            <w:tcW w:type="dxa" w:w="1701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质控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模拟过曝、模糊、灰卡 RSD、ROI 缺失等状态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用真实图像计算曝光比例、Laplacian 清晰度、灰卡稳定性</w:t>
            </w:r>
          </w:p>
        </w:tc>
      </w:tr>
      <w:tr>
        <w:tc>
          <w:tcPr>
            <w:tcW w:type="dxa" w:w="1701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特征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使用固定特征向量和少量可调参数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本地图像处理提取 dL、白化指数、GLCM、specular_ratio</w:t>
            </w:r>
          </w:p>
        </w:tc>
      </w:tr>
      <w:tr>
        <w:tc>
          <w:tcPr>
            <w:tcW w:type="dxa" w:w="1701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模型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加载 mock model_bundle.json 并执行可解释线性推理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加载真实训练导出的 model_bundle.json</w:t>
            </w:r>
          </w:p>
        </w:tc>
      </w:tr>
      <w:tr>
        <w:tc>
          <w:tcPr>
            <w:tcW w:type="dxa" w:w="1701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记录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本地 JSON 或 SQLite mock repository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保留 repository 接口，后续可切换 SQLite/Drift</w:t>
            </w:r>
          </w:p>
        </w:tc>
      </w:tr>
      <w:tr>
        <w:tc>
          <w:tcPr>
            <w:tcW w:type="dxa" w:w="1701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报告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生成报告预览和 CSV 文本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加入真实图像、质控、模型指标、实验边界</w:t>
            </w:r>
          </w:p>
        </w:tc>
      </w:tr>
    </w:tbl>
    <w:p/>
    <w:p>
      <w:pPr>
        <w:pStyle w:val="Heading1"/>
      </w:pPr>
      <w:r>
        <w:t>3. APP 功能模块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928"/>
            <w:vAlign w:val="center"/>
            <w:shd w:fill="0F766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4706"/>
            <w:vAlign w:val="center"/>
            <w:shd w:fill="0F766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2835"/>
            <w:vAlign w:val="center"/>
            <w:shd w:fill="0F766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关键数据</w:t>
            </w:r>
          </w:p>
        </w:tc>
      </w:tr>
      <w:tr>
        <w:tc>
          <w:tcPr>
            <w:tcW w:type="dxa" w:w="192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首页/模式选择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进入采集预测、演示模式、模型包、历史、报告、点击验证台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模式状态、项目边界、模拟徽标</w:t>
            </w:r>
          </w:p>
        </w:tc>
      </w:tr>
      <w:tr>
        <w:tc>
          <w:tcPr>
            <w:tcW w:type="dxa" w:w="192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硬件配置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选择暗箱、光源、相机、ROI 面积、灰卡类型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hardware_profile_id</w:t>
            </w:r>
          </w:p>
        </w:tc>
      </w:tr>
      <w:tr>
        <w:tc>
          <w:tcPr>
            <w:tcW w:type="dxa" w:w="192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模型包管理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导入、查看、启用、禁用模型包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model_id、sample_type、valid_range、metrics</w:t>
            </w:r>
          </w:p>
        </w:tc>
      </w:tr>
      <w:tr>
        <w:tc>
          <w:tcPr>
            <w:tcW w:type="dxa" w:w="192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成像质控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检查灰卡、曝光、清晰度、ROI 完整性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qc_status、qc_flags</w:t>
            </w:r>
          </w:p>
        </w:tc>
      </w:tr>
      <w:tr>
        <w:tc>
          <w:tcPr>
            <w:tcW w:type="dxa" w:w="192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基线采集 I0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采集或选择无盐基线图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baseline_image_path</w:t>
            </w:r>
          </w:p>
        </w:tc>
      </w:tr>
      <w:tr>
        <w:tc>
          <w:tcPr>
            <w:tcW w:type="dxa" w:w="192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待测采集 I1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采集或选择有盐/待测图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salted_image_path</w:t>
            </w:r>
          </w:p>
        </w:tc>
      </w:tr>
      <w:tr>
        <w:tc>
          <w:tcPr>
            <w:tcW w:type="dxa" w:w="192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ROI 与参考区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标定 2 cm x 2 cm ROI、灰卡区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roi_polygon、gray_card_roi</w:t>
            </w:r>
          </w:p>
        </w:tc>
      </w:tr>
      <w:tr>
        <w:tc>
          <w:tcPr>
            <w:tcW w:type="dxa" w:w="192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特征预览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显示颜色、白化、纹理、差分特征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feature_vector_json</w:t>
            </w:r>
          </w:p>
        </w:tc>
      </w:tr>
      <w:tr>
        <w:tc>
          <w:tcPr>
            <w:tcW w:type="dxa" w:w="192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模型推理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读取特征和模型包，输出估计值与状态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predicted_mg_cm2、confidence_level</w:t>
            </w:r>
          </w:p>
        </w:tc>
      </w:tr>
      <w:tr>
        <w:tc>
          <w:tcPr>
            <w:tcW w:type="dxa" w:w="192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结果详情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展示单位、模型版本、边界、风险提示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result_status</w:t>
            </w:r>
          </w:p>
        </w:tc>
      </w:tr>
      <w:tr>
        <w:tc>
          <w:tcPr>
            <w:tcW w:type="dxa" w:w="192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历史记录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查看样本、时间、模型、是否模拟、结果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session/result 列表</w:t>
            </w:r>
          </w:p>
        </w:tc>
      </w:tr>
      <w:tr>
        <w:tc>
          <w:tcPr>
            <w:tcW w:type="dxa" w:w="192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分析图表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演示负载分布、特征趋势、模拟预测 vs 真值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mock chart data</w:t>
            </w:r>
          </w:p>
        </w:tc>
      </w:tr>
      <w:tr>
        <w:tc>
          <w:tcPr>
            <w:tcW w:type="dxa" w:w="192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报告导出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生成报告预览、CSV 文本、可截图报告页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export_record</w:t>
            </w:r>
          </w:p>
        </w:tc>
      </w:tr>
      <w:tr>
        <w:tc>
          <w:tcPr>
            <w:tcW w:type="dxa" w:w="192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设置/权限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相机、文件、模拟模式、单位、隐私边界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app_settings</w:t>
            </w:r>
          </w:p>
        </w:tc>
      </w:tr>
      <w:tr>
        <w:tc>
          <w:tcPr>
            <w:tcW w:type="dxa" w:w="192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点击验证台</w:t>
            </w:r>
          </w:p>
        </w:tc>
        <w:tc>
          <w:tcPr>
            <w:tcW w:type="dxa" w:w="470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逐模块点击、记录输入输出、核对预期结果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click_log、test_result</w:t>
            </w:r>
          </w:p>
        </w:tc>
      </w:tr>
    </w:tbl>
    <w:p/>
    <w:p>
      <w:pPr>
        <w:pStyle w:val="Heading1"/>
      </w:pPr>
      <w:r>
        <w:t>4. APP 框架与分层架构</w:t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工程建议采用 Flutter + Material 3。页面层只处理展示、输入、导航和状态；服务层处理流程；Vision/Calculation Core 处理图像特征和模型推理；Repository 层处理本地数据；Export 层处理 CSV 和报告。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948"/>
            <w:vAlign w:val="center"/>
            <w:shd w:fill="0F766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目录</w:t>
            </w:r>
          </w:p>
        </w:tc>
        <w:tc>
          <w:tcPr>
            <w:tcW w:type="dxa" w:w="6576"/>
            <w:vAlign w:val="center"/>
            <w:shd w:fill="0F766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职责</w:t>
            </w:r>
          </w:p>
        </w:tc>
      </w:tr>
      <w:tr>
        <w:tc>
          <w:tcPr>
            <w:tcW w:type="dxa" w:w="294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lib/app.dart、lib/routing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MaterialApp、主题、路由、导航守卫</w:t>
            </w:r>
          </w:p>
        </w:tc>
      </w:tr>
      <w:tr>
        <w:tc>
          <w:tcPr>
            <w:tcW w:type="dxa" w:w="294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lib/features/*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页面与交互，禁止写公式和图像算法</w:t>
            </w:r>
          </w:p>
        </w:tc>
      </w:tr>
      <w:tr>
        <w:tc>
          <w:tcPr>
            <w:tcW w:type="dxa" w:w="294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lib/core/services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采集流程、质控流程、模型推理流程、报告流程、点击验证流程</w:t>
            </w:r>
          </w:p>
        </w:tc>
      </w:tr>
      <w:tr>
        <w:tc>
          <w:tcPr>
            <w:tcW w:type="dxa" w:w="294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lib/core/vision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颜色校正、ROI、特征提取、图像质量计算</w:t>
            </w:r>
          </w:p>
        </w:tc>
      </w:tr>
      <w:tr>
        <w:tc>
          <w:tcPr>
            <w:tcW w:type="dxa" w:w="294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lib/core/model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model_bundle 解析、标准化、线性/Ridge 推理、范围判定</w:t>
            </w:r>
          </w:p>
        </w:tc>
      </w:tr>
      <w:tr>
        <w:tc>
          <w:tcPr>
            <w:tcW w:type="dxa" w:w="294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lib/core/repositories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本地 session、图像、特征、结果、点击日志存储接口</w:t>
            </w:r>
          </w:p>
        </w:tc>
      </w:tr>
      <w:tr>
        <w:tc>
          <w:tcPr>
            <w:tcW w:type="dxa" w:w="294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lib/core/export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CSV、报告预览、后续 PDF/DOCX 导出</w:t>
            </w:r>
          </w:p>
        </w:tc>
      </w:tr>
      <w:tr>
        <w:tc>
          <w:tcPr>
            <w:tcW w:type="dxa" w:w="294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assets/mock</w:t>
            </w:r>
          </w:p>
        </w:tc>
        <w:tc>
          <w:tcPr>
            <w:tcW w:type="dxa" w:w="6576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模拟模型包、模拟图片、模拟历史记录、模拟异常案例</w:t>
            </w:r>
          </w:p>
        </w:tc>
      </w:tr>
    </w:tbl>
    <w:p/>
    <w:p>
      <w:pPr>
        <w:pStyle w:val="Heading1"/>
      </w:pPr>
      <w:r>
        <w:t>5. UI 设计框架</w:t>
      </w:r>
    </w:p>
    <w:p>
      <w:r>
        <w:drawing>
          <wp:inline xmlns:a="http://schemas.openxmlformats.org/drawingml/2006/main" xmlns:pic="http://schemas.openxmlformats.org/drawingml/2006/picture">
            <wp:extent cx="6217920" cy="74292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ui_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7429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当前采用 UI：测量型 APP + 图表化结果详情 + 图像证据 + 模拟点击验证。以下页面图已替换为当前 UI 设计图。</w:t>
      </w:r>
    </w:p>
    <w:p>
      <w:pPr>
        <w:pStyle w:val="Heading2"/>
      </w:pPr>
      <w:r>
        <w:t>首页</w:t>
      </w:r>
    </w:p>
    <w:p>
      <w:r>
        <w:t>任务入口、演示模式、最近模拟趋势。</w:t>
      </w:r>
    </w:p>
    <w:p>
      <w:r>
        <w:drawing>
          <wp:inline xmlns:a="http://schemas.openxmlformats.org/drawingml/2006/main" xmlns:pic="http://schemas.openxmlformats.org/drawingml/2006/picture">
            <wp:extent cx="2514600" cy="54418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441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采集预测</w:t>
      </w:r>
    </w:p>
    <w:p>
      <w:r>
        <w:t>相机预览、ROI、灰卡、盐晶体纹理、成像质控。</w:t>
      </w:r>
    </w:p>
    <w:p>
      <w:r>
        <w:drawing>
          <wp:inline xmlns:a="http://schemas.openxmlformats.org/drawingml/2006/main" xmlns:pic="http://schemas.openxmlformats.org/drawingml/2006/picture">
            <wp:extent cx="2514600" cy="54418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cap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441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结果详情</w:t>
      </w:r>
    </w:p>
    <w:p>
      <w:r>
        <w:t>主结果、范围标尺、历史趋势、模型解释、边界提示。</w:t>
      </w:r>
    </w:p>
    <w:p>
      <w:r>
        <w:drawing>
          <wp:inline xmlns:a="http://schemas.openxmlformats.org/drawingml/2006/main" xmlns:pic="http://schemas.openxmlformats.org/drawingml/2006/picture">
            <wp:extent cx="2514600" cy="54418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result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441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分析总览</w:t>
      </w:r>
    </w:p>
    <w:p>
      <w:r>
        <w:t>预测分布、特征贡献、质控健康，服务答辩展示。</w:t>
      </w:r>
    </w:p>
    <w:p>
      <w:r>
        <w:drawing>
          <wp:inline xmlns:a="http://schemas.openxmlformats.org/drawingml/2006/main" xmlns:pic="http://schemas.openxmlformats.org/drawingml/2006/picture">
            <wp:extent cx="2514600" cy="54418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analys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441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历史记录</w:t>
      </w:r>
    </w:p>
    <w:p>
      <w:r>
        <w:t>记录列表带范围条，便于比较和筛选。</w:t>
      </w:r>
    </w:p>
    <w:p>
      <w:r>
        <w:drawing>
          <wp:inline xmlns:a="http://schemas.openxmlformats.org/drawingml/2006/main" xmlns:pic="http://schemas.openxmlformats.org/drawingml/2006/picture">
            <wp:extent cx="2514600" cy="54418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hist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441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点击验证台</w:t>
      </w:r>
    </w:p>
    <w:p>
      <w:r>
        <w:t>逐模块点击、断言日志、一键链路验证。</w:t>
      </w:r>
    </w:p>
    <w:p>
      <w:r>
        <w:drawing>
          <wp:inline xmlns:a="http://schemas.openxmlformats.org/drawingml/2006/main" xmlns:pic="http://schemas.openxmlformats.org/drawingml/2006/picture">
            <wp:extent cx="2514600" cy="54418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rent_click_valid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4418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928"/>
            <w:vAlign w:val="center"/>
            <w:shd w:fill="0F766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设计项</w:t>
            </w:r>
          </w:p>
        </w:tc>
        <w:tc>
          <w:tcPr>
            <w:tcW w:type="dxa" w:w="7483"/>
            <w:vAlign w:val="center"/>
            <w:shd w:fill="0F766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规则</w:t>
            </w:r>
          </w:p>
        </w:tc>
      </w:tr>
      <w:tr>
        <w:tc>
          <w:tcPr>
            <w:tcW w:type="dxa" w:w="192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视觉风格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实验测量型、浅色、克制、可信；不做赛博朋克、霓虹、过度渐变和营销首页。</w:t>
            </w:r>
          </w:p>
        </w:tc>
      </w:tr>
      <w:tr>
        <w:tc>
          <w:tcPr>
            <w:tcW w:type="dxa" w:w="192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设计系统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Flutter Material 3：底部导航、状态芯片、相机预览、图表卡片、结果大数值、点击验证台。</w:t>
            </w:r>
          </w:p>
        </w:tc>
      </w:tr>
      <w:tr>
        <w:tc>
          <w:tcPr>
            <w:tcW w:type="dxa" w:w="192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主色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深青绿色 #0F766E，用于主操作、通过状态和关键进度。</w:t>
            </w:r>
          </w:p>
        </w:tc>
      </w:tr>
      <w:tr>
        <w:tc>
          <w:tcPr>
            <w:tcW w:type="dxa" w:w="192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辅助色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蓝色用于采集和趋势，紫色仅用于点击验证台，橙色用于警告和模拟状态。</w:t>
            </w:r>
          </w:p>
        </w:tc>
      </w:tr>
      <w:tr>
        <w:tc>
          <w:tcPr>
            <w:tcW w:type="dxa" w:w="192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字体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中文 UI 使用系统无衬线字体；按钮、单位、数值必须清晰。</w:t>
            </w:r>
          </w:p>
        </w:tc>
      </w:tr>
      <w:tr>
        <w:tc>
          <w:tcPr>
            <w:tcW w:type="dxa" w:w="192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状态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每页都要有空状态、加载状态、错误状态、模拟状态。</w:t>
            </w:r>
          </w:p>
        </w:tc>
      </w:tr>
      <w:tr>
        <w:tc>
          <w:tcPr>
            <w:tcW w:type="dxa" w:w="192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单位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所有结果必须显示 mg/cm2 NaCl eq.，图表坐标也必须带单位。</w:t>
            </w:r>
          </w:p>
        </w:tc>
      </w:tr>
      <w:tr>
        <w:tc>
          <w:tcPr>
            <w:tcW w:type="dxa" w:w="192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结果详情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必须直接展示范围标尺、历史趋势、模型解释和边界提示，不只显示一个大数字。</w:t>
            </w:r>
          </w:p>
        </w:tc>
      </w:tr>
      <w:tr>
        <w:tc>
          <w:tcPr>
            <w:tcW w:type="dxa" w:w="192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交互</w:t>
            </w:r>
          </w:p>
        </w:tc>
        <w:tc>
          <w:tcPr>
            <w:tcW w:type="dxa" w:w="7483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每个主按钮都触发明确状态变化，失败时给出原因和下一步。</w:t>
            </w:r>
          </w:p>
        </w:tc>
      </w:tr>
    </w:tbl>
    <w:p/>
    <w:p>
      <w:pPr>
        <w:pStyle w:val="Heading1"/>
      </w:pPr>
      <w:r>
        <w:t>6. 页面清单与关键交互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814"/>
            <w:vAlign w:val="center"/>
            <w:shd w:fill="0F766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页面</w:t>
            </w:r>
          </w:p>
        </w:tc>
        <w:tc>
          <w:tcPr>
            <w:tcW w:type="dxa" w:w="2835"/>
            <w:vAlign w:val="center"/>
            <w:shd w:fill="0F766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主按钮/点击</w:t>
            </w:r>
          </w:p>
        </w:tc>
        <w:tc>
          <w:tcPr>
            <w:tcW w:type="dxa" w:w="2494"/>
            <w:vAlign w:val="center"/>
            <w:shd w:fill="0F766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成功状态</w:t>
            </w:r>
          </w:p>
        </w:tc>
        <w:tc>
          <w:tcPr>
            <w:tcW w:type="dxa" w:w="2494"/>
            <w:vAlign w:val="center"/>
            <w:shd w:fill="0F766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失败状态</w:t>
            </w:r>
          </w:p>
        </w:tc>
      </w:tr>
      <w:tr>
        <w:tc>
          <w:tcPr>
            <w:tcW w:type="dxa" w:w="1814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首页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开始采集预测、进入演示、打开验证台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进入对应流程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模型包缺失时提示先启用模拟模型</w:t>
            </w:r>
          </w:p>
        </w:tc>
      </w:tr>
      <w:tr>
        <w:tc>
          <w:tcPr>
            <w:tcW w:type="dxa" w:w="1814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硬件配置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选择配置、保存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显示与模型匹配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配置与模型不匹配，禁止正式结果</w:t>
            </w:r>
          </w:p>
        </w:tc>
      </w:tr>
      <w:tr>
        <w:tc>
          <w:tcPr>
            <w:tcW w:type="dxa" w:w="1814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模型包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导入、启用、查看模型卡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显示有效范围与指标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JSON 字段缺失或范围为空</w:t>
            </w:r>
          </w:p>
        </w:tc>
      </w:tr>
      <w:tr>
        <w:tc>
          <w:tcPr>
            <w:tcW w:type="dxa" w:w="1814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质控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开始质控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通过并解锁下一步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过曝、模糊、灰卡 RSD 超限</w:t>
            </w:r>
          </w:p>
        </w:tc>
      </w:tr>
      <w:tr>
        <w:tc>
          <w:tcPr>
            <w:tcW w:type="dxa" w:w="1814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基线采集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拍摄/选择 I0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生成缩略图和路径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权限缺失或图像不可读</w:t>
            </w:r>
          </w:p>
        </w:tc>
      </w:tr>
      <w:tr>
        <w:tc>
          <w:tcPr>
            <w:tcW w:type="dxa" w:w="1814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待测采集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拍摄/选择 I1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生成差分预览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图像尺寸或硬件配置不一致</w:t>
            </w:r>
          </w:p>
        </w:tc>
      </w:tr>
      <w:tr>
        <w:tc>
          <w:tcPr>
            <w:tcW w:type="dxa" w:w="1814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ROI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确认 ROI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面积有效、边界有效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ROI 越界、面积为 0、未包含样品</w:t>
            </w:r>
          </w:p>
        </w:tc>
      </w:tr>
      <w:tr>
        <w:tc>
          <w:tcPr>
            <w:tcW w:type="dxa" w:w="1814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特征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提取特征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显示特征表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特征 NaN、输入图片缺失</w:t>
            </w:r>
          </w:p>
        </w:tc>
      </w:tr>
      <w:tr>
        <w:tc>
          <w:tcPr>
            <w:tcW w:type="dxa" w:w="1814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结果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计算、保存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结果保存到历史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超范围、模型不可用、模拟未标记</w:t>
            </w:r>
          </w:p>
        </w:tc>
      </w:tr>
      <w:tr>
        <w:tc>
          <w:tcPr>
            <w:tcW w:type="dxa" w:w="1814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历史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查看详情、筛选模拟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打开详情页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空状态显示如何生成记录</w:t>
            </w:r>
          </w:p>
        </w:tc>
      </w:tr>
      <w:tr>
        <w:tc>
          <w:tcPr>
            <w:tcW w:type="dxa" w:w="1814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报告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生成 CSV、预览报告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可复制 CSV 文本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导出失败时保留本地预览</w:t>
            </w:r>
          </w:p>
        </w:tc>
      </w:tr>
      <w:tr>
        <w:tc>
          <w:tcPr>
            <w:tcW w:type="dxa" w:w="1814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验证台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逐模块点击、一键跑全链路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每项 pass/fail</w:t>
            </w:r>
          </w:p>
        </w:tc>
        <w:tc>
          <w:tcPr>
            <w:tcW w:type="dxa" w:w="249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显示失败模块和原因</w:t>
            </w:r>
          </w:p>
        </w:tc>
      </w:tr>
    </w:tbl>
    <w:p/>
    <w:p>
      <w:pPr>
        <w:pStyle w:val="Heading1"/>
      </w:pPr>
      <w:r>
        <w:t>7. 模拟数据方案</w:t>
      </w:r>
    </w:p>
    <w:p>
      <w:r>
        <w:t>模拟数据的目标不是伪装真实实验，而是在实验未开展前验证 APP 闭环。所有 mock session、mock prediction、mock image 都必须有 is_demo=true 或 source_mode=simulated 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381"/>
            <w:vAlign w:val="center"/>
            <w:shd w:fill="0F766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数据包</w:t>
            </w:r>
          </w:p>
        </w:tc>
        <w:tc>
          <w:tcPr>
            <w:tcW w:type="dxa" w:w="4082"/>
            <w:vAlign w:val="center"/>
            <w:shd w:fill="0F766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3515"/>
            <w:vAlign w:val="center"/>
            <w:shd w:fill="0F766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381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mock_model_bundle.json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cucumber_darkbox_v1，范围 0-0.75 mg/cm2，10 个特征，固定系数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验证模型加载、推理和范围判定</w:t>
            </w:r>
          </w:p>
        </w:tc>
      </w:tr>
      <w:tr>
        <w:tc>
          <w:tcPr>
            <w:tcW w:type="dxa" w:w="2381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mock_sessions.json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低/中/高负载三组 session，均标记 simulated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验证历史、筛选、详情</w:t>
            </w:r>
          </w:p>
        </w:tc>
      </w:tr>
      <w:tr>
        <w:tc>
          <w:tcPr>
            <w:tcW w:type="dxa" w:w="2381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mock_images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基线图、待测图、过曝图、模糊图、ROI 缺失图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验证采集、质控、异常</w:t>
            </w:r>
          </w:p>
        </w:tc>
      </w:tr>
      <w:tr>
        <w:tc>
          <w:tcPr>
            <w:tcW w:type="dxa" w:w="2381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mock_feature_vectors.json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dL、da、db、dS、white、specular、GLCM 等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验证特征预览和推理输入</w:t>
            </w:r>
          </w:p>
        </w:tc>
      </w:tr>
      <w:tr>
        <w:tc>
          <w:tcPr>
            <w:tcW w:type="dxa" w:w="2381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mock_click_cases.json</w:t>
            </w:r>
          </w:p>
        </w:tc>
        <w:tc>
          <w:tcPr>
            <w:tcW w:type="dxa" w:w="408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模块、点击动作、输入、预期、异常分支</w:t>
            </w:r>
          </w:p>
        </w:tc>
        <w:tc>
          <w:tcPr>
            <w:tcW w:type="dxa" w:w="351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驱动点击验证台</w:t>
            </w:r>
          </w:p>
        </w:tc>
      </w:tr>
    </w:tbl>
    <w:p/>
    <w:p>
      <w:r>
        <w:t>推荐内置三条演示结果：低负载 0.05 mg/cm2、中负载 0.35 mg/cm2、高负载 0.70 mg/cm2。高负载接近模型上限时必须显示“接近有效范围上限”的警告。</w:t>
      </w:r>
    </w:p>
    <w:p>
      <w:pPr>
        <w:pStyle w:val="Heading1"/>
      </w:pPr>
      <w:r>
        <w:t>8. 点击式模拟验证台</w:t>
      </w:r>
    </w:p>
    <w:p>
      <w:r>
        <w:drawing>
          <wp:inline xmlns:a="http://schemas.openxmlformats.org/drawingml/2006/main" xmlns:pic="http://schemas.openxmlformats.org/drawingml/2006/picture">
            <wp:extent cx="6217920" cy="35234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k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523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217920" cy="406237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tion_matri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062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点击验证台是第一阶段最关键的工程设施。它不是给最终用户看的主流程，而是给开发、答辩准备和调试使用的内部模式。每个模块必须能单独点击，也能一键串联跑完整链路。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vAlign w:val="center"/>
            <w:shd w:fill="0F766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7257"/>
            <w:vAlign w:val="center"/>
            <w:shd w:fill="0F766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26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case_id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点击用例编号，例如 QC_PASS_001</w:t>
            </w:r>
          </w:p>
        </w:tc>
      </w:tr>
      <w:tr>
        <w:tc>
          <w:tcPr>
            <w:tcW w:type="dxa" w:w="226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module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模块名称，例如 成像质控</w:t>
            </w:r>
          </w:p>
        </w:tc>
      </w:tr>
      <w:tr>
        <w:tc>
          <w:tcPr>
            <w:tcW w:type="dxa" w:w="226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action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点击动作，例如 点击开始质控</w:t>
            </w:r>
          </w:p>
        </w:tc>
      </w:tr>
      <w:tr>
        <w:tc>
          <w:tcPr>
            <w:tcW w:type="dxa" w:w="226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mock_input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模拟输入，例如 gray_rsd=1.2%、blur=pass</w:t>
            </w:r>
          </w:p>
        </w:tc>
      </w:tr>
      <w:tr>
        <w:tc>
          <w:tcPr>
            <w:tcW w:type="dxa" w:w="226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expected_output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预期输出，例如 qc_status=passed</w:t>
            </w:r>
          </w:p>
        </w:tc>
      </w:tr>
      <w:tr>
        <w:tc>
          <w:tcPr>
            <w:tcW w:type="dxa" w:w="226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actual_output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实际服务返回</w:t>
            </w:r>
          </w:p>
        </w:tc>
      </w:tr>
      <w:tr>
        <w:tc>
          <w:tcPr>
            <w:tcW w:type="dxa" w:w="226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assertion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断言规则，例如 状态必须通过且下一步按钮解锁</w:t>
            </w:r>
          </w:p>
        </w:tc>
      </w:tr>
      <w:tr>
        <w:tc>
          <w:tcPr>
            <w:tcW w:type="dxa" w:w="226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result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pass / fail</w:t>
            </w:r>
          </w:p>
        </w:tc>
      </w:tr>
      <w:tr>
        <w:tc>
          <w:tcPr>
            <w:tcW w:type="dxa" w:w="226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duration_ms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耗时</w:t>
            </w:r>
          </w:p>
        </w:tc>
      </w:tr>
      <w:tr>
        <w:tc>
          <w:tcPr>
            <w:tcW w:type="dxa" w:w="226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screenshot_path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后续自动截图路径</w:t>
            </w:r>
          </w:p>
        </w:tc>
      </w:tr>
    </w:tbl>
    <w:p/>
    <w:p>
      <w:pPr>
        <w:pStyle w:val="Heading1"/>
      </w:pPr>
      <w:r>
        <w:t>9. 点击验收矩阵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587"/>
            <w:vAlign w:val="center"/>
            <w:shd w:fill="0F766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381"/>
            <w:vAlign w:val="center"/>
            <w:shd w:fill="0F766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点击动作</w:t>
            </w:r>
          </w:p>
        </w:tc>
        <w:tc>
          <w:tcPr>
            <w:tcW w:type="dxa" w:w="4535"/>
            <w:vAlign w:val="center"/>
            <w:shd w:fill="0F766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预期结果</w:t>
            </w:r>
          </w:p>
        </w:tc>
        <w:tc>
          <w:tcPr>
            <w:tcW w:type="dxa" w:w="1134"/>
            <w:vAlign w:val="center"/>
            <w:shd w:fill="0F766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验收</w:t>
            </w:r>
          </w:p>
        </w:tc>
      </w:tr>
      <w:tr>
        <w:tc>
          <w:tcPr>
            <w:tcW w:type="dxa" w:w="1587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M01 首页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点击“演示模式”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进入演示首页，顶部显示模拟徽标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必须通过</w:t>
            </w:r>
          </w:p>
        </w:tc>
      </w:tr>
      <w:tr>
        <w:tc>
          <w:tcPr>
            <w:tcW w:type="dxa" w:w="1587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M02 硬件配置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点击“应用 darkbox_v1”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hardware_profile 与模型包匹配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必须通过</w:t>
            </w:r>
          </w:p>
        </w:tc>
      </w:tr>
      <w:tr>
        <w:tc>
          <w:tcPr>
            <w:tcW w:type="dxa" w:w="1587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M03 模型包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点击“启用 cucumber_v1”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模型状态为 active，显示范围 0-0.75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必须通过</w:t>
            </w:r>
          </w:p>
        </w:tc>
      </w:tr>
      <w:tr>
        <w:tc>
          <w:tcPr>
            <w:tcW w:type="dxa" w:w="1587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M04 质控通过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点击“开始质控”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灰卡、曝光、清晰度、ROI 均通过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必须通过</w:t>
            </w:r>
          </w:p>
        </w:tc>
      </w:tr>
      <w:tr>
        <w:tc>
          <w:tcPr>
            <w:tcW w:type="dxa" w:w="1587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M05 质控失败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点击“过曝案例”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阻断下一步并说明过曝比例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必须通过</w:t>
            </w:r>
          </w:p>
        </w:tc>
      </w:tr>
      <w:tr>
        <w:tc>
          <w:tcPr>
            <w:tcW w:type="dxa" w:w="1587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M06 基线采集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点击“使用模拟 I0”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保存 baseline_image_path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必须通过</w:t>
            </w:r>
          </w:p>
        </w:tc>
      </w:tr>
      <w:tr>
        <w:tc>
          <w:tcPr>
            <w:tcW w:type="dxa" w:w="1587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M07 待测采集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点击“使用模拟 I1”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保存 salted_image_path，显示差分图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必须通过</w:t>
            </w:r>
          </w:p>
        </w:tc>
      </w:tr>
      <w:tr>
        <w:tc>
          <w:tcPr>
            <w:tcW w:type="dxa" w:w="1587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M08 ROI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拖动/点击确认 ROI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面积为 4 cm2，边界有效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必须通过</w:t>
            </w:r>
          </w:p>
        </w:tc>
      </w:tr>
      <w:tr>
        <w:tc>
          <w:tcPr>
            <w:tcW w:type="dxa" w:w="1587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M09 特征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点击“提取特征”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显示完整 10 维特征向量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必须通过</w:t>
            </w:r>
          </w:p>
        </w:tc>
      </w:tr>
      <w:tr>
        <w:tc>
          <w:tcPr>
            <w:tcW w:type="dxa" w:w="1587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M10 推理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点击“计算结果”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输出 mg/cm2 NaCl eq. 和置信等级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必须通过</w:t>
            </w:r>
          </w:p>
        </w:tc>
      </w:tr>
      <w:tr>
        <w:tc>
          <w:tcPr>
            <w:tcW w:type="dxa" w:w="1587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M11 保存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点击“保存到历史”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历史列表新增 simulated 记录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必须通过</w:t>
            </w:r>
          </w:p>
        </w:tc>
      </w:tr>
      <w:tr>
        <w:tc>
          <w:tcPr>
            <w:tcW w:type="dxa" w:w="1587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M12 历史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点击记录详情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打开详情并展示模型版本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必须通过</w:t>
            </w:r>
          </w:p>
        </w:tc>
      </w:tr>
      <w:tr>
        <w:tc>
          <w:tcPr>
            <w:tcW w:type="dxa" w:w="1587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M13 报告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点击“生成报告”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报告页包含图像、ROI、特征、结果和风险说明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必须通过</w:t>
            </w:r>
          </w:p>
        </w:tc>
      </w:tr>
      <w:tr>
        <w:tc>
          <w:tcPr>
            <w:tcW w:type="dxa" w:w="1587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M14 CSV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点击“复制 CSV”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CSV 字段完整且包含 source_mode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必须通过</w:t>
            </w:r>
          </w:p>
        </w:tc>
      </w:tr>
      <w:tr>
        <w:tc>
          <w:tcPr>
            <w:tcW w:type="dxa" w:w="1587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M15 一键全链路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点击“一键跑完整点击链”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按顺序执行 M01-M14 并汇总 pass/fail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必须通过</w:t>
            </w:r>
          </w:p>
        </w:tc>
      </w:tr>
    </w:tbl>
    <w:p/>
    <w:p>
      <w:pPr>
        <w:pStyle w:val="Heading1"/>
      </w:pPr>
      <w:r>
        <w:t>10. 开发阶段规划</w:t>
      </w:r>
    </w:p>
    <w:p>
      <w:pPr>
        <w:pStyle w:val="ListNumber"/>
      </w:pPr>
      <w:r>
        <w:t>建立 Flutter 工程骨架：主题、路由、页面框架、模拟资源目录。</w:t>
      </w:r>
    </w:p>
    <w:p>
      <w:pPr>
        <w:pStyle w:val="ListNumber"/>
      </w:pPr>
      <w:r>
        <w:t>实现模型包解析和 mock repository：先不用真实相机，保证数据链路完整。</w:t>
      </w:r>
    </w:p>
    <w:p>
      <w:pPr>
        <w:pStyle w:val="ListNumber"/>
      </w:pPr>
      <w:r>
        <w:t>实现首页、演示模式、模型包管理、点击验证台。</w:t>
      </w:r>
    </w:p>
    <w:p>
      <w:pPr>
        <w:pStyle w:val="ListNumber"/>
      </w:pPr>
      <w:r>
        <w:t>实现采集向导页面：硬件配置、质控、I0、I1、ROI、特征、结果。</w:t>
      </w:r>
    </w:p>
    <w:p>
      <w:pPr>
        <w:pStyle w:val="ListNumber"/>
      </w:pPr>
      <w:r>
        <w:t>实现历史、详情、报告预览、CSV 文本导出。</w:t>
      </w:r>
    </w:p>
    <w:p>
      <w:pPr>
        <w:pStyle w:val="ListNumber"/>
      </w:pPr>
      <w:r>
        <w:t>补充异常库：模型不匹配、质控失败、ROI 缺失、超范围、模拟未标记。</w:t>
      </w:r>
    </w:p>
    <w:p>
      <w:pPr>
        <w:pStyle w:val="ListNumber"/>
      </w:pPr>
      <w:r>
        <w:t>接入真实 camera 和 image 处理，替换 MockCameraAdapter。</w:t>
      </w:r>
    </w:p>
    <w:p>
      <w:pPr>
        <w:pStyle w:val="ListNumber"/>
      </w:pPr>
      <w:r>
        <w:t>真实实验完成后导入真实 model_bundle.json，并保留模拟模式用于答辩演示。</w:t>
      </w:r>
    </w:p>
    <w:p>
      <w:pPr>
        <w:pStyle w:val="Heading1"/>
      </w:pPr>
      <w:r>
        <w:t>11.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814"/>
            <w:vAlign w:val="center"/>
            <w:shd w:fill="0F766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7824"/>
            <w:vAlign w:val="center"/>
            <w:shd w:fill="0F766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验收标准</w:t>
            </w:r>
          </w:p>
        </w:tc>
      </w:tr>
      <w:tr>
        <w:tc>
          <w:tcPr>
            <w:tcW w:type="dxa" w:w="1814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功能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演示模式可完整走通：模型包、质控、I0、I1、ROI、特征、推理、保存、报告。</w:t>
            </w:r>
          </w:p>
        </w:tc>
      </w:tr>
      <w:tr>
        <w:tc>
          <w:tcPr>
            <w:tcW w:type="dxa" w:w="1814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点击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15 个模块点击用例全部可执行；一键全链路能生成 pass/fail 汇总。</w:t>
            </w:r>
          </w:p>
        </w:tc>
      </w:tr>
      <w:tr>
        <w:tc>
          <w:tcPr>
            <w:tcW w:type="dxa" w:w="1814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UI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中文文案清晰、单位完整、模拟徽标持续可见、无食品安全结论。</w:t>
            </w:r>
          </w:p>
        </w:tc>
      </w:tr>
      <w:tr>
        <w:tc>
          <w:tcPr>
            <w:tcW w:type="dxa" w:w="1814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架构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公式、图像处理、模型推理不写在 Widget 内；服务和仓储可替换。</w:t>
            </w:r>
          </w:p>
        </w:tc>
      </w:tr>
      <w:tr>
        <w:tc>
          <w:tcPr>
            <w:tcW w:type="dxa" w:w="1814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数据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模拟记录不进入正式统计；所有结果带 model_id、source_mode、valid_range。</w:t>
            </w:r>
          </w:p>
        </w:tc>
      </w:tr>
      <w:tr>
        <w:tc>
          <w:tcPr>
            <w:tcW w:type="dxa" w:w="1814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异常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质控失败、模型不匹配、超范围、图片缺失均能阻断正式结果。</w:t>
            </w:r>
          </w:p>
        </w:tc>
      </w:tr>
      <w:tr>
        <w:tc>
          <w:tcPr>
            <w:tcW w:type="dxa" w:w="1814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报告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报告必须包含样品、图像、ROI、特征、模型版本、结果、风险说明。</w:t>
            </w:r>
          </w:p>
        </w:tc>
      </w:tr>
      <w:tr>
        <w:tc>
          <w:tcPr>
            <w:tcW w:type="dxa" w:w="1814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后续接入</w:t>
            </w:r>
          </w:p>
        </w:tc>
        <w:tc>
          <w:tcPr>
            <w:tcW w:type="dxa" w:w="7824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真实模型包接入时不需要重写 UI，只替换 model_bundle 和图像处理输出。</w:t>
            </w:r>
          </w:p>
        </w:tc>
      </w:tr>
    </w:tbl>
    <w:p/>
    <w:p>
      <w:pPr>
        <w:pStyle w:val="Heading1"/>
      </w:pPr>
      <w:r>
        <w:t>12. 依据与参考来源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vAlign w:val="center"/>
            <w:shd w:fill="0F766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3402"/>
            <w:vAlign w:val="center"/>
            <w:shd w:fill="0F766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3969"/>
            <w:vAlign w:val="center"/>
            <w:shd w:fill="0F766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链接</w:t>
            </w:r>
          </w:p>
        </w:tc>
      </w:tr>
      <w:tr>
        <w:tc>
          <w:tcPr>
            <w:tcW w:type="dxa" w:w="226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Flutter Material 设计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用于确定 Android 优先、Material 3、浅色实验工具风格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https://docs.flutter.dev/ui/design/material</w:t>
            </w:r>
          </w:p>
        </w:tc>
      </w:tr>
      <w:tr>
        <w:tc>
          <w:tcPr>
            <w:tcW w:type="dxa" w:w="226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Flutter camera 插件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用于后续相机采集、预览、拍照和图像流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https://pub.dev/packages/camera</w:t>
            </w:r>
          </w:p>
        </w:tc>
      </w:tr>
      <w:tr>
        <w:tc>
          <w:tcPr>
            <w:tcW w:type="dxa" w:w="226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Dart image 包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用于本地图像读取、裁剪、像素处理和特征提取基础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https://pub.dev/packages/image</w:t>
            </w:r>
          </w:p>
        </w:tc>
      </w:tr>
      <w:tr>
        <w:tc>
          <w:tcPr>
            <w:tcW w:type="dxa" w:w="226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OpenCV Color Correction Model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用于说明灰卡/色卡校正的工程依据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https://docs.opencv.org/4.x/d1/dc1/tutorial_ccm_color_correction_model.html</w:t>
            </w:r>
          </w:p>
        </w:tc>
      </w:tr>
      <w:tr>
        <w:tc>
          <w:tcPr>
            <w:tcW w:type="dxa" w:w="226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scikit-image GLCM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用于说明纹理特征 contrast、energy、homogeneity 的依据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https://scikit-image.org/docs/stable/api/skimage.feature.html</w:t>
            </w:r>
          </w:p>
        </w:tc>
      </w:tr>
      <w:tr>
        <w:tc>
          <w:tcPr>
            <w:tcW w:type="dxa" w:w="226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scikit-learn Ridge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用于说明小样本可解释回归模型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https://scikit-learn.org/stable/modules/generated/sklearn.linear_model.Ridge.html</w:t>
            </w:r>
          </w:p>
        </w:tc>
      </w:tr>
      <w:tr>
        <w:tc>
          <w:tcPr>
            <w:tcW w:type="dxa" w:w="226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scikit-learn GroupKFold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用于避免同一物理样本多图泄漏到训练和测试两侧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https://scikit-learn.org/stable/modules/generated/sklearn.model_selection.GroupKFold.html</w:t>
            </w:r>
          </w:p>
        </w:tc>
      </w:tr>
      <w:tr>
        <w:tc>
          <w:tcPr>
            <w:tcW w:type="dxa" w:w="2268"/>
            <w:vAlign w:val="center"/>
            <w:shd w:fill="F0FDFA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ISO 8502-9:2020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用于类比表面水溶性盐的电导法验证思想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微软雅黑" w:hAnsi="微软雅黑" w:eastAsia="微软雅黑"/>
                <w:b w:val="0"/>
                <w:color w:val="1F2937"/>
                <w:sz w:val="16"/>
              </w:rPr>
              <w:t>https://www.iso.org/standard/73863.html</w:t>
            </w:r>
          </w:p>
        </w:tc>
      </w:tr>
    </w:tbl>
    <w:p/>
    <w:p>
      <w:pPr>
        <w:sectPr>
          <w:pgSz w:w="12240" w:h="15840"/>
          <w:pgMar w:top="907" w:right="964" w:bottom="907" w:left="964" w:header="720" w:footer="720" w:gutter="0"/>
          <w:cols w:space="720"/>
          <w:docGrid w:linePitch="360"/>
        </w:sectPr>
      </w:pPr>
    </w:p>
    <w:p>
      <w:pPr>
        <w:pStyle w:val="Heading1"/>
      </w:pPr>
      <w:r>
        <w:t>附录 A：首版推荐文件结构</w:t>
      </w:r>
    </w:p>
    <w:p>
      <w:r>
        <w:t>app/</w:t>
        <w:br/>
        <w:t xml:space="preserve">  lib/</w:t>
        <w:br/>
        <w:t xml:space="preserve">    app.dart</w:t>
        <w:br/>
        <w:t xml:space="preserve">    main.dart</w:t>
        <w:br/>
        <w:t xml:space="preserve">    routing/app_router.dart</w:t>
        <w:br/>
        <w:t xml:space="preserve">    theme/app_theme.dart</w:t>
        <w:br/>
        <w:t xml:space="preserve">    features/</w:t>
        <w:br/>
        <w:t xml:space="preserve">      home/</w:t>
        <w:br/>
        <w:t xml:space="preserve">      capture/</w:t>
        <w:br/>
        <w:t xml:space="preserve">      model_bundle/</w:t>
        <w:br/>
        <w:t xml:space="preserve">      quality_control/</w:t>
        <w:br/>
        <w:t xml:space="preserve">      roi/</w:t>
        <w:br/>
        <w:t xml:space="preserve">      prediction/</w:t>
        <w:br/>
        <w:t xml:space="preserve">      history/</w:t>
        <w:br/>
        <w:t xml:space="preserve">      report/</w:t>
        <w:br/>
        <w:t xml:space="preserve">      click_validation/</w:t>
        <w:br/>
        <w:t xml:space="preserve">    core/</w:t>
        <w:br/>
        <w:t xml:space="preserve">      services/</w:t>
        <w:br/>
        <w:t xml:space="preserve">      vision/</w:t>
        <w:br/>
        <w:t xml:space="preserve">      model/</w:t>
        <w:br/>
        <w:t xml:space="preserve">      repositories/</w:t>
        <w:br/>
        <w:t xml:space="preserve">      export/</w:t>
        <w:br/>
        <w:t xml:space="preserve">    shared/widgets/</w:t>
        <w:br/>
        <w:t xml:space="preserve">  assets/mock/</w:t>
        <w:br/>
        <w:t xml:space="preserve">    model_bundle/</w:t>
        <w:br/>
        <w:t xml:space="preserve">    images/</w:t>
        <w:br/>
        <w:t xml:space="preserve">    sessions/</w:t>
        <w:br/>
        <w:t xml:space="preserve">    click_cases/</w:t>
        <w:br/>
        <w:t xml:space="preserve">  test/</w:t>
        <w:br/>
        <w:t xml:space="preserve">    core/</w:t>
        <w:br/>
        <w:t xml:space="preserve">    features/</w:t>
        <w:br/>
      </w:r>
    </w:p>
    <w:p>
      <w:pPr>
        <w:pStyle w:val="Heading1"/>
      </w:pPr>
      <w:r>
        <w:t>附录 B：首版模拟模型包字段</w:t>
      </w:r>
    </w:p>
    <w:p>
      <w:r>
        <w:t>{</w:t>
        <w:br/>
        <w:t xml:space="preserve">  "model_id": "freshsalt_rgb_cucumber_darkbox_v1",</w:t>
        <w:br/>
        <w:t xml:space="preserve">  "source": "simulated",</w:t>
        <w:br/>
        <w:t xml:space="preserve">  "sample_type": "cucumber",</w:t>
        <w:br/>
        <w:t xml:space="preserve">  "target": "surface_NaCl_load_mg_cm2",</w:t>
        <w:br/>
        <w:t xml:space="preserve">  "unit": "mg/cm2",</w:t>
        <w:br/>
        <w:t xml:space="preserve">  "valid_range_mg_cm2": [0.0, 0.75],</w:t>
        <w:br/>
        <w:t xml:space="preserve">  "feature_order": ["dL", "da", "db", "dS", "whiteness_index", "specular_ratio", "glcm_contrast", "glcm_energy", "dL2", "specular_ratio2"],</w:t>
        <w:br/>
        <w:t xml:space="preserve">  "coefficients": [0.018, -0.003, 0.002, -0.011, 0.21, 0.15, 0.006, -0.004, -0.0002, -0.03],</w:t>
        <w:br/>
        <w:t xml:space="preserve">  "intercept": 0.01,</w:t>
        <w:br/>
        <w:t xml:space="preserve">  "warnings": ["模拟模型仅用于交互验证，不代表真实检测性能"]</w:t>
        <w:br/>
        <w:t>}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F3D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15E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1182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