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DE30D1">
      <w:pPr>
        <w:pStyle w:val="2"/>
        <w:bidi w:val="0"/>
        <w:jc w:val="center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农药残留智能检测助手（V1.0）软件使用说明书</w:t>
      </w:r>
    </w:p>
    <w:p w14:paraId="532ACC17">
      <w:pPr>
        <w:pStyle w:val="4"/>
      </w:pPr>
      <w:r>
        <w:t>目录：</w:t>
      </w:r>
    </w:p>
    <w:p w14:paraId="7120F99D">
      <w:r>
        <w:t>第一章 软件优势 .............................................................................................................. 1</w:t>
      </w:r>
    </w:p>
    <w:p w14:paraId="59DA0935">
      <w:r>
        <w:t>第二章 应用系统简介 ...................................................................................................... 2</w:t>
      </w:r>
    </w:p>
    <w:p w14:paraId="456F8CAD">
      <w:r>
        <w:t>2.1 开发技术简介 ...................................................................................................... 2</w:t>
      </w:r>
    </w:p>
    <w:p w14:paraId="088517B2">
      <w:r>
        <w:t>2.2 技术实现 .............................................................................................................. 2</w:t>
      </w:r>
    </w:p>
    <w:p w14:paraId="2714CF54">
      <w:r>
        <w:t>2.2.1 蓝牙连接·快速配对检测设备 .................................................................. 2</w:t>
      </w:r>
    </w:p>
    <w:p w14:paraId="1D56560E">
      <w:r>
        <w:t>2.2.2 AI分析·精准识别农药残留 ...................................................................... 3</w:t>
      </w:r>
    </w:p>
    <w:p w14:paraId="49A0843A">
      <w:r>
        <w:t>2.2.3 数据导入·多种方式灵活检测 .................................................................. 3</w:t>
      </w:r>
    </w:p>
    <w:p w14:paraId="073D37F2">
      <w:r>
        <w:t>2.2.4 报告生成·一键导出专业文档 .................................................................. 4</w:t>
      </w:r>
    </w:p>
    <w:p w14:paraId="304C3CE8">
      <w:r>
        <w:t>第三章 软件操作描述 ...................................................................................................... 5</w:t>
      </w:r>
    </w:p>
    <w:p w14:paraId="1EBFD399">
      <w:r>
        <w:t>3.1 首页 ...................................................................................................................... 5</w:t>
      </w:r>
    </w:p>
    <w:p w14:paraId="344D066B">
      <w:r>
        <w:t>3.2 功能界面 .............................................................................................................. 6</w:t>
      </w:r>
    </w:p>
    <w:p w14:paraId="37658C96">
      <w:r>
        <w:t>第四章 常见问题与解决方法 .......................................................................................... 13</w:t>
      </w:r>
    </w:p>
    <w:p w14:paraId="39FB66C8">
      <w:r>
        <w:t>第五章 免责声明 ............................................................................................................ 16</w:t>
      </w:r>
    </w:p>
    <w:p w14:paraId="08AA66E2">
      <w:r>
        <w:t>第六章 版权信息 ............................................................................................................ 17</w:t>
      </w:r>
    </w:p>
    <w:p w14:paraId="47BA64EA">
      <w:pPr>
        <w:pStyle w:val="5"/>
        <w:rPr>
          <w:rFonts w:hint="eastAsia"/>
        </w:rPr>
      </w:pPr>
    </w:p>
    <w:p w14:paraId="581545A8">
      <w:pPr>
        <w:pStyle w:val="5"/>
        <w:rPr>
          <w:rFonts w:hint="eastAsia"/>
        </w:rPr>
      </w:pPr>
    </w:p>
    <w:p w14:paraId="5C3B1636">
      <w:pPr>
        <w:pStyle w:val="3"/>
        <w:bidi w:val="0"/>
        <w:jc w:val="center"/>
        <w:rPr>
          <w:rFonts w:hint="eastAsia"/>
        </w:rPr>
      </w:pPr>
      <w:r>
        <w:rPr>
          <w:rFonts w:hint="eastAsia"/>
        </w:rPr>
        <w:t>第一章 软件优势</w:t>
      </w:r>
    </w:p>
    <w:p w14:paraId="2FE6273B">
      <w:pPr>
        <w:pStyle w:val="5"/>
        <w:rPr>
          <w:rFonts w:hint="eastAsia"/>
        </w:rPr>
      </w:pPr>
    </w:p>
    <w:p w14:paraId="6CD04F29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食品安全，是千家万户最关心的民生大事。农药残留超标，不仅影响农产品品质，更可能危害身体健康。传统农药残留检测需要专业实验室、昂贵设备与专业人员，普通消费者、种植户、小商户难以便捷使用，检测难、成本高、周期长成为普遍痛点。</w:t>
      </w:r>
    </w:p>
    <w:p w14:paraId="67B725A4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</w:p>
    <w:p w14:paraId="611011E6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随着光谱技术与人工智能的快速发展，移动端智能检测成为可能。农药残留智能检测助手（V1.0）应运而生，它把专业光谱检测技术与AI智能分析装进一部手机，让每个人都能随时随地、快速准确完成农药残留检测。无论你是普通消费者、果蔬商户、种植农户，还是食品安全从业者，都能轻松上手，一键知晓农残风险，守护舌尖上的安全。</w:t>
      </w:r>
    </w:p>
    <w:p w14:paraId="6FC0649B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</w:p>
    <w:p w14:paraId="4299414B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本软件打破专业检测壁垒，以轻量化、智能化、可视化设计，让专业检测变得简单易懂、随手可用。无需专业知识，无需复杂操作，三步即可完成检测：连接设备→采集数据→查看结果。同时支持数据导入、模拟检测、报告导出、历史管理等全场景功能，真正实现“一部手机，一个专业实验室”。</w:t>
      </w:r>
    </w:p>
    <w:p w14:paraId="4978A96D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</w:p>
    <w:p w14:paraId="4D981250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软件以简单、准确、安全、实用为核心，界面清爽、操作流畅、结果直观，让食品安全检测不再遥不可及，让每一份食材都能放心入口。</w:t>
      </w:r>
    </w:p>
    <w:p w14:paraId="02589321">
      <w:pPr>
        <w:pStyle w:val="5"/>
        <w:rPr>
          <w:rFonts w:hint="eastAsia" w:eastAsia="宋体"/>
          <w:lang w:eastAsia="zh-CN"/>
        </w:rPr>
      </w:pPr>
    </w:p>
    <w:p w14:paraId="72C8D23A">
      <w:pPr>
        <w:pStyle w:val="3"/>
        <w:bidi w:val="0"/>
        <w:jc w:val="center"/>
        <w:rPr>
          <w:rFonts w:hint="eastAsia"/>
        </w:rPr>
      </w:pPr>
      <w:r>
        <w:rPr>
          <w:rFonts w:hint="eastAsia"/>
        </w:rPr>
        <w:t>第二章 应用系统简介</w:t>
      </w:r>
    </w:p>
    <w:p w14:paraId="2CFA5C99">
      <w:pPr>
        <w:pStyle w:val="5"/>
        <w:rPr>
          <w:rFonts w:hint="eastAsia"/>
        </w:rPr>
      </w:pPr>
    </w:p>
    <w:p w14:paraId="358909D7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2.1 开发技术简介</w:t>
      </w:r>
    </w:p>
    <w:p w14:paraId="36821499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</w:p>
    <w:p w14:paraId="45CE5B0C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农药残留智能检测助手（V1.0）采用跨平台Flutter框架开发，兼容Android与iOS双系统，运行稳定、响应迅速。软件集成TensorFlow Lite端侧AI模型、蓝牙通信技术、本地加密存储、PDF生成与数据可视化技术，构建“采集—分析—展示—导出—管理”完整检测闭环。</w:t>
      </w:r>
    </w:p>
    <w:p w14:paraId="5EEC1752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</w:p>
    <w:p w14:paraId="773BD82F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系统采用分层架构设计，分为表现层、业务逻辑层、服务层与数据层，模块独立、易于维护。核心技术包括蓝牙数据传输、光谱数据预处理、AI深度学习推理、混合模式智能分析、本地加密存储、图表可视化等，保障检测快速、结果准确、使用安全。</w:t>
      </w:r>
    </w:p>
    <w:p w14:paraId="295FD188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</w:p>
    <w:p w14:paraId="315A9553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2.2 技术实现</w:t>
      </w:r>
    </w:p>
    <w:p w14:paraId="6949995A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</w:p>
    <w:p w14:paraId="6D0FE2ED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2.2.1 蓝牙连接·快速配对检测设备</w:t>
      </w:r>
    </w:p>
    <w:p w14:paraId="2177C32F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</w:p>
    <w:p w14:paraId="3B402F9F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软件通过优化蓝牙协议，支持快速搜索、稳定连接多光谱检测设备。具备自动重连、数据校验、状态实时监控功能，即使在无硬件设备时，也可开启模拟模式，完整体验全流程功能。数据传输稳定可靠，确保光谱采集不中断、不丢失。</w:t>
      </w:r>
    </w:p>
    <w:p w14:paraId="713E0591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</w:p>
    <w:p w14:paraId="24D71CC2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2.2.2 AI分析·精准识别农药残留</w:t>
      </w:r>
    </w:p>
    <w:p w14:paraId="1B13449E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</w:p>
    <w:p w14:paraId="6590E8C4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内置深度学习模型与规则引擎双分析能力，支持</w:t>
      </w:r>
      <w:r>
        <w:rPr>
          <w:rFonts w:hint="eastAsia" w:ascii="Times New Roman" w:hAnsi="Times New Roman"/>
          <w:sz w:val="21"/>
          <w:lang w:val="en-US" w:eastAsia="zh-CN"/>
        </w:rPr>
        <w:t>以下</w:t>
      </w:r>
      <w:r>
        <w:rPr>
          <w:rFonts w:hint="eastAsia" w:ascii="Times New Roman" w:hAnsi="Times New Roman"/>
          <w:sz w:val="21"/>
        </w:rPr>
        <w:t>智能分析模式：</w:t>
      </w:r>
    </w:p>
    <w:p w14:paraId="33663727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</w:p>
    <w:p w14:paraId="541EEBEE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深度学习模式（高精度）</w:t>
      </w:r>
    </w:p>
    <w:p w14:paraId="754FCE63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规则引擎模式（快速度）</w:t>
      </w:r>
    </w:p>
    <w:p w14:paraId="26EED2D5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</w:p>
    <w:p w14:paraId="184B441B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软件自动对光谱数据进行预处理、特征提取与智能判定，识别农残种类、计算浓度、评定风险等级，并提供AI可解释性分析，让结果更可信、更透明。</w:t>
      </w:r>
    </w:p>
    <w:p w14:paraId="52B2DD2C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</w:p>
    <w:p w14:paraId="477CF016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2.2.3 数据导入·多种方式灵活检测</w:t>
      </w:r>
    </w:p>
    <w:p w14:paraId="45655A93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</w:p>
    <w:p w14:paraId="4F350CBA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支持三种数据来源，满足全场景使用：</w:t>
      </w:r>
    </w:p>
    <w:p w14:paraId="6EBD271A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</w:p>
    <w:p w14:paraId="0D517030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实时光谱采集：连接设备直接采集</w:t>
      </w:r>
    </w:p>
    <w:p w14:paraId="7722DC31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本地文件导入：支持.dx、.spc专业格式</w:t>
      </w:r>
    </w:p>
    <w:p w14:paraId="45D17D85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模拟数据生成：无设备也能完整体验</w:t>
      </w:r>
    </w:p>
    <w:p w14:paraId="7E5F0390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</w:p>
    <w:p w14:paraId="2484CBFC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可直接导入已有数据快速分析，适合教学、演示、自测、批量检测等场景。</w:t>
      </w:r>
    </w:p>
    <w:p w14:paraId="366560DC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</w:p>
    <w:p w14:paraId="002C10E6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2.2.4 报告生成·一键导出专业文档</w:t>
      </w:r>
    </w:p>
    <w:p w14:paraId="28A06BD8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</w:p>
    <w:p w14:paraId="0A69FC40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检测完成后，一键生成PDF检测报告，包含样品信息、检测结果、光谱图表、风险提示、处理建议等完整内容。支持本地保存、社交分享、打印输出，方便存档、送检、汇报与科普使用。</w:t>
      </w:r>
    </w:p>
    <w:p w14:paraId="7B151D89">
      <w:pPr>
        <w:pStyle w:val="5"/>
        <w:rPr>
          <w:rFonts w:hint="eastAsia" w:eastAsia="宋体"/>
          <w:lang w:eastAsia="zh-CN"/>
        </w:rPr>
      </w:pPr>
    </w:p>
    <w:p w14:paraId="3CC36A37">
      <w:pPr>
        <w:pStyle w:val="3"/>
        <w:bidi w:val="0"/>
        <w:jc w:val="center"/>
        <w:rPr>
          <w:rFonts w:hint="eastAsia"/>
        </w:rPr>
      </w:pPr>
      <w:r>
        <w:rPr>
          <w:rFonts w:hint="eastAsia"/>
        </w:rPr>
        <w:t>第三章 软件操作描述</w:t>
      </w:r>
    </w:p>
    <w:p w14:paraId="6DE039A2">
      <w:pPr>
        <w:pStyle w:val="5"/>
        <w:rPr>
          <w:rFonts w:hint="eastAsia"/>
        </w:rPr>
      </w:pPr>
    </w:p>
    <w:p w14:paraId="139B33E6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3.1 首页</w:t>
      </w:r>
    </w:p>
    <w:p w14:paraId="364EF952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</w:p>
    <w:p w14:paraId="563A9214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首页以简洁清新的设计呈现，顶部显示软件名称与安全提示，中部为四大核心功能快捷入口：开始检测、历史记录、报告中心、设备管理。底部设有导航栏，可快速切换首页、检测页、历史页、设置页。</w:t>
      </w:r>
    </w:p>
    <w:p w14:paraId="61236EA9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</w:p>
    <w:p w14:paraId="59E67E28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首页直观展示最近一次检测结果与统计信息，引导用户快速进入核心功能，一目了然，轻松上手。</w:t>
      </w:r>
    </w:p>
    <w:p w14:paraId="58FC6E09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</w:p>
    <w:p w14:paraId="466395F5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3.2 功能界面</w:t>
      </w:r>
    </w:p>
    <w:p w14:paraId="43D4767F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</w:p>
    <w:p w14:paraId="5D64CC40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一、蓝牙设备连接</w:t>
      </w:r>
    </w:p>
    <w:p w14:paraId="6E178D50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</w:p>
    <w:p w14:paraId="0B79F104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1. 打开软件，进入设备管理页面；</w:t>
      </w:r>
    </w:p>
    <w:p w14:paraId="706821E9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2. 点击搜索设备，软件自动扫描附近光谱检测设备；</w:t>
      </w:r>
    </w:p>
    <w:p w14:paraId="2261828F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3. 在设备列表中选择目标设备，点击连接；</w:t>
      </w:r>
    </w:p>
    <w:p w14:paraId="4FA89685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4. 等待1–3秒，提示连接成功即可使用。</w:t>
      </w:r>
    </w:p>
    <w:p w14:paraId="27D898B4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</w:p>
    <w:p w14:paraId="2EC1B4F9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连接成功后，页面显示设备状态、信号强度、电量信息。若连接中断，软件自动启动重连。无设备时，可开启模拟模式，无需硬件也能操作。</w:t>
      </w:r>
    </w:p>
    <w:p w14:paraId="038A8E8C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</w:p>
    <w:p w14:paraId="06A881CE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二、光谱数据采集与分析</w:t>
      </w:r>
    </w:p>
    <w:p w14:paraId="1AE90011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</w:p>
    <w:p w14:paraId="2C039FE2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1. 进入开始检测页面，填写样品名称（如苹果、青菜）与样品类别；</w:t>
      </w:r>
    </w:p>
    <w:p w14:paraId="08E8B8BE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2. 选择数据来源：实时采集 / 文件导入 / 模拟数据；</w:t>
      </w:r>
    </w:p>
    <w:p w14:paraId="37C7D729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3. 实时采集：点击开始采集，获取光谱数据，进度条实时显示；</w:t>
      </w:r>
    </w:p>
    <w:p w14:paraId="081F0458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4. 选择分析模式：深度学习 / 规则引擎 / 混合模式；</w:t>
      </w:r>
    </w:p>
    <w:p w14:paraId="30EE79F1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5. 点击开始分析，等待几秒，AI自动完成检测。</w:t>
      </w:r>
    </w:p>
    <w:p w14:paraId="62A73990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</w:p>
    <w:p w14:paraId="3E9FCA0C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三、检测结果展示</w:t>
      </w:r>
    </w:p>
    <w:p w14:paraId="3C60BCA7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</w:p>
    <w:p w14:paraId="6310A256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分析完成后，页面以卡片形式直观展示：</w:t>
      </w:r>
    </w:p>
    <w:p w14:paraId="5880250F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</w:p>
    <w:p w14:paraId="50FC61E9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风险等级：安全 / 轻微超标 / 严重超标</w:t>
      </w:r>
    </w:p>
    <w:p w14:paraId="347B98E1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检出农药：名称、浓度、参考标准</w:t>
      </w:r>
    </w:p>
    <w:p w14:paraId="1B29E3D7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光谱曲线：可视化图表展示数据特征</w:t>
      </w:r>
    </w:p>
    <w:p w14:paraId="3386F3EB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AI解释：关键波长、特征贡献、置信区间</w:t>
      </w:r>
    </w:p>
    <w:p w14:paraId="2D63A888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</w:p>
    <w:p w14:paraId="414AB478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点击卡片可进入详情页，查看完整分析过程与处理建议。</w:t>
      </w:r>
    </w:p>
    <w:p w14:paraId="095438D4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</w:p>
    <w:p w14:paraId="2EC0408E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四、数据导入与模拟</w:t>
      </w:r>
    </w:p>
    <w:p w14:paraId="6D9B292B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</w:p>
    <w:p w14:paraId="0BE0F73C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1. 文件导入：点击“导入文件”，选择本地.dx/.spc光谱文件，预览后一键分析；</w:t>
      </w:r>
    </w:p>
    <w:p w14:paraId="00FB7076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2. 模拟数据：点击“生成模拟数据”，自动创建虚拟光谱，快速体验流程；</w:t>
      </w:r>
    </w:p>
    <w:p w14:paraId="2A906BB2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3. 模式切换：一键切换采集/导入/模拟，灵活适配不同场景。</w:t>
      </w:r>
    </w:p>
    <w:p w14:paraId="1E90CBFC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</w:p>
    <w:p w14:paraId="6EC8C12B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五、PDF报告生成</w:t>
      </w:r>
    </w:p>
    <w:p w14:paraId="35EE36BF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</w:p>
    <w:p w14:paraId="2BF98050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在检测结果页点击生成报告，自动创建PDF文档，包含：</w:t>
      </w:r>
    </w:p>
    <w:p w14:paraId="006A1592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</w:p>
    <w:p w14:paraId="1F065649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样品信息与检测时间</w:t>
      </w:r>
    </w:p>
    <w:p w14:paraId="1EDE74D4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检测结果与风险等级</w:t>
      </w:r>
    </w:p>
    <w:p w14:paraId="7CFCCE5E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光谱图表与AI分析</w:t>
      </w:r>
    </w:p>
    <w:p w14:paraId="217BB957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处理建议与使用提示</w:t>
      </w:r>
    </w:p>
    <w:p w14:paraId="62DD0FBA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</w:p>
    <w:p w14:paraId="5941CF7A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生成后可保存本地、分享他人、直接打印。</w:t>
      </w:r>
    </w:p>
    <w:p w14:paraId="27FF9D77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</w:p>
    <w:p w14:paraId="392C4BB7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六、历史记录管理</w:t>
      </w:r>
    </w:p>
    <w:p w14:paraId="1AA87023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</w:p>
    <w:p w14:paraId="1B16D87B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所有检测自动本地保存，进入“历史记录”可：</w:t>
      </w:r>
    </w:p>
    <w:p w14:paraId="036A40F4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</w:p>
    <w:p w14:paraId="5C9A0D67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 w:eastAsia="宋体"/>
          <w:sz w:val="21"/>
          <w:lang w:eastAsia="zh-CN"/>
        </w:rPr>
      </w:pPr>
      <w:r>
        <w:rPr>
          <w:rFonts w:hint="eastAsia" w:ascii="Times New Roman" w:hAnsi="Times New Roman"/>
          <w:sz w:val="21"/>
        </w:rPr>
        <w:t>按时间、样品名称筛选查询</w:t>
      </w:r>
    </w:p>
    <w:p w14:paraId="282145CB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 w:eastAsia="宋体"/>
          <w:sz w:val="21"/>
          <w:lang w:eastAsia="zh-CN"/>
        </w:rPr>
      </w:pPr>
      <w:r>
        <w:rPr>
          <w:rFonts w:hint="eastAsia" w:ascii="Times New Roman" w:hAnsi="Times New Roman"/>
          <w:sz w:val="21"/>
        </w:rPr>
        <w:t>查看历史详情与原始数据</w:t>
      </w:r>
    </w:p>
    <w:p w14:paraId="657875CE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重新生成报告、重新分析</w:t>
      </w:r>
    </w:p>
    <w:p w14:paraId="4E2020FD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 w:eastAsia="宋体"/>
          <w:sz w:val="21"/>
          <w:lang w:eastAsia="zh-CN"/>
        </w:rPr>
      </w:pPr>
      <w:r>
        <w:rPr>
          <w:rFonts w:hint="eastAsia" w:ascii="Times New Roman" w:hAnsi="Times New Roman"/>
          <w:sz w:val="21"/>
        </w:rPr>
        <w:t>统计检测次数、合格率趋势</w:t>
      </w:r>
    </w:p>
    <w:p w14:paraId="0F4B6DE2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批量删除、备份与恢复</w:t>
      </w:r>
    </w:p>
    <w:p w14:paraId="1F037C04">
      <w:pPr>
        <w:pStyle w:val="5"/>
        <w:rPr>
          <w:rFonts w:hint="eastAsia" w:eastAsia="宋体"/>
          <w:lang w:eastAsia="zh-CN"/>
        </w:rPr>
      </w:pPr>
    </w:p>
    <w:p w14:paraId="6317C105">
      <w:pPr>
        <w:pStyle w:val="3"/>
        <w:bidi w:val="0"/>
        <w:jc w:val="center"/>
        <w:rPr>
          <w:rFonts w:hint="eastAsia"/>
        </w:rPr>
      </w:pPr>
      <w:r>
        <w:rPr>
          <w:rFonts w:hint="eastAsia"/>
        </w:rPr>
        <w:t>第四章 常见问题与解决方法</w:t>
      </w:r>
    </w:p>
    <w:p w14:paraId="28F70287">
      <w:pPr>
        <w:pStyle w:val="5"/>
        <w:rPr>
          <w:rFonts w:hint="eastAsia"/>
        </w:rPr>
      </w:pPr>
    </w:p>
    <w:p w14:paraId="62661F1C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无法搜索到蓝牙设备</w:t>
      </w:r>
      <w:r>
        <w:rPr>
          <w:rFonts w:hint="eastAsia" w:ascii="Times New Roman" w:hAnsi="Times New Roman"/>
          <w:sz w:val="21"/>
          <w:lang w:eastAsia="zh-CN"/>
        </w:rPr>
        <w:t>（</w:t>
      </w:r>
      <w:r>
        <w:rPr>
          <w:rFonts w:hint="eastAsia" w:ascii="Times New Roman" w:hAnsi="Times New Roman"/>
          <w:sz w:val="21"/>
          <w:lang w:val="en-US" w:eastAsia="zh-CN"/>
        </w:rPr>
        <w:t>由于其他因素，当前只能配备完整的内置代码</w:t>
      </w:r>
      <w:r>
        <w:rPr>
          <w:rFonts w:hint="eastAsia" w:ascii="Times New Roman" w:hAnsi="Times New Roman"/>
          <w:sz w:val="21"/>
          <w:lang w:eastAsia="zh-CN"/>
        </w:rPr>
        <w:t>）：</w:t>
      </w:r>
    </w:p>
    <w:p w14:paraId="197C7131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确保设备开机、蓝牙开启、距离手机10米内；检查手机蓝牙已打开并授权；退出重进软件，重新点击搜索。</w:t>
      </w:r>
    </w:p>
    <w:p w14:paraId="63C05E51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</w:p>
    <w:p w14:paraId="3734D510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 w:eastAsia="宋体"/>
          <w:sz w:val="21"/>
          <w:lang w:eastAsia="zh-CN"/>
        </w:rPr>
      </w:pPr>
      <w:r>
        <w:rPr>
          <w:rFonts w:hint="eastAsia" w:ascii="Times New Roman" w:hAnsi="Times New Roman"/>
          <w:sz w:val="21"/>
        </w:rPr>
        <w:t>连接设备失败/频繁断开</w:t>
      </w:r>
      <w:r>
        <w:rPr>
          <w:rFonts w:hint="eastAsia" w:ascii="Times New Roman" w:hAnsi="Times New Roman"/>
          <w:sz w:val="21"/>
          <w:lang w:eastAsia="zh-CN"/>
        </w:rPr>
        <w:t>：</w:t>
      </w:r>
    </w:p>
    <w:p w14:paraId="1C020326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检查设备电量是否充足；远离干扰源，缩短距离；开启自动重连，或重启设备与软件。</w:t>
      </w:r>
    </w:p>
    <w:p w14:paraId="23E408B1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</w:p>
    <w:p w14:paraId="662A42C0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 w:eastAsia="宋体"/>
          <w:sz w:val="21"/>
          <w:lang w:eastAsia="zh-CN"/>
        </w:rPr>
      </w:pPr>
      <w:r>
        <w:rPr>
          <w:rFonts w:hint="eastAsia" w:ascii="Times New Roman" w:hAnsi="Times New Roman"/>
          <w:sz w:val="21"/>
        </w:rPr>
        <w:t>检测结果不准确</w:t>
      </w:r>
      <w:r>
        <w:rPr>
          <w:rFonts w:hint="eastAsia" w:ascii="Times New Roman" w:hAnsi="Times New Roman"/>
          <w:sz w:val="21"/>
          <w:lang w:eastAsia="zh-CN"/>
        </w:rPr>
        <w:t>：</w:t>
      </w:r>
    </w:p>
    <w:p w14:paraId="1E9731CC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确保采集过程稳定不移动；尝试混合模式提升准确性；校准设备后重新采集。</w:t>
      </w:r>
    </w:p>
    <w:p w14:paraId="013AECBE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</w:p>
    <w:p w14:paraId="66C9C5CA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 w:eastAsia="宋体"/>
          <w:sz w:val="21"/>
          <w:lang w:eastAsia="zh-CN"/>
        </w:rPr>
      </w:pPr>
      <w:r>
        <w:rPr>
          <w:rFonts w:hint="eastAsia" w:ascii="Times New Roman" w:hAnsi="Times New Roman"/>
          <w:sz w:val="21"/>
        </w:rPr>
        <w:t>文件导入失败</w:t>
      </w:r>
      <w:r>
        <w:rPr>
          <w:rFonts w:hint="eastAsia" w:ascii="Times New Roman" w:hAnsi="Times New Roman"/>
          <w:sz w:val="21"/>
          <w:lang w:eastAsia="zh-CN"/>
        </w:rPr>
        <w:t>：</w:t>
      </w:r>
    </w:p>
    <w:p w14:paraId="65CFAB6F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确认文件为.dx或.spc格式；检查文件未损坏、路径正确；重新选择文件再次导入。</w:t>
      </w:r>
    </w:p>
    <w:p w14:paraId="65CD2704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</w:p>
    <w:p w14:paraId="437705D5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 w:eastAsia="宋体"/>
          <w:sz w:val="21"/>
          <w:lang w:eastAsia="zh-CN"/>
        </w:rPr>
      </w:pPr>
      <w:r>
        <w:rPr>
          <w:rFonts w:hint="eastAsia" w:ascii="Times New Roman" w:hAnsi="Times New Roman"/>
          <w:sz w:val="21"/>
        </w:rPr>
        <w:t>PDF报告无法生成</w:t>
      </w:r>
      <w:r>
        <w:rPr>
          <w:rFonts w:hint="eastAsia" w:ascii="Times New Roman" w:hAnsi="Times New Roman"/>
          <w:sz w:val="21"/>
          <w:lang w:eastAsia="zh-CN"/>
        </w:rPr>
        <w:t>：</w:t>
      </w:r>
    </w:p>
    <w:p w14:paraId="331EE254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检查手机存储空间充足；允许软件存储权限；重启软件后重试。</w:t>
      </w:r>
    </w:p>
    <w:p w14:paraId="2FCCD196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</w:p>
    <w:p w14:paraId="6A675811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 w:eastAsia="宋体"/>
          <w:sz w:val="21"/>
          <w:lang w:eastAsia="zh-CN"/>
        </w:rPr>
      </w:pPr>
      <w:r>
        <w:rPr>
          <w:rFonts w:hint="eastAsia" w:ascii="Times New Roman" w:hAnsi="Times New Roman"/>
          <w:sz w:val="21"/>
        </w:rPr>
        <w:t>历史记录丢失</w:t>
      </w:r>
      <w:r>
        <w:rPr>
          <w:rFonts w:hint="eastAsia" w:ascii="Times New Roman" w:hAnsi="Times New Roman"/>
          <w:sz w:val="21"/>
          <w:lang w:eastAsia="zh-CN"/>
        </w:rPr>
        <w:t>：</w:t>
      </w:r>
    </w:p>
    <w:p w14:paraId="1CFBE810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数据本地加密存储，不会自动删除；检查是否清理存储、卸载软件；建议定期备份。</w:t>
      </w:r>
    </w:p>
    <w:p w14:paraId="2A0C8406">
      <w:pPr>
        <w:pStyle w:val="5"/>
        <w:rPr>
          <w:rFonts w:hint="eastAsia" w:eastAsia="宋体"/>
          <w:lang w:eastAsia="zh-CN"/>
        </w:rPr>
      </w:pPr>
    </w:p>
    <w:p w14:paraId="2CC9EC95">
      <w:pPr>
        <w:pStyle w:val="3"/>
        <w:bidi w:val="0"/>
        <w:jc w:val="center"/>
        <w:rPr>
          <w:rFonts w:hint="eastAsia"/>
        </w:rPr>
      </w:pPr>
      <w:r>
        <w:rPr>
          <w:rFonts w:hint="eastAsia"/>
        </w:rPr>
        <w:t>第五章 免责声明</w:t>
      </w:r>
    </w:p>
    <w:p w14:paraId="11258828">
      <w:pPr>
        <w:pStyle w:val="5"/>
        <w:rPr>
          <w:rFonts w:hint="eastAsia"/>
        </w:rPr>
      </w:pPr>
    </w:p>
    <w:p w14:paraId="1E4AB41C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本软件为农药残留检测辅助工具，检测结果基于光谱数据与AI模型分析，仅供参考，不可作为法定检测依据、司法判定依据或医疗诊断依据。</w:t>
      </w:r>
    </w:p>
    <w:p w14:paraId="58B6D40B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</w:p>
    <w:p w14:paraId="1546EB0D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使用本软件进行检测时，应结合专业实验室检测结果综合判断。对于因使用本软件造成的任何直接或间接损失，软件开发团队不承担任何法律责任。</w:t>
      </w:r>
    </w:p>
    <w:p w14:paraId="3BB8D2D1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</w:p>
    <w:p w14:paraId="664ACE2D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420" w:firstLineChars="200"/>
        <w:textAlignment w:val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请遵守国家食品安全相关法律法规，合理使用本软件，共同守护食品安全。</w:t>
      </w:r>
    </w:p>
    <w:p w14:paraId="4BA896C5">
      <w:pPr>
        <w:pStyle w:val="5"/>
        <w:rPr>
          <w:rFonts w:hint="eastAsia" w:eastAsia="宋体"/>
          <w:lang w:eastAsia="zh-CN"/>
        </w:rPr>
      </w:pPr>
    </w:p>
    <w:p w14:paraId="74352202">
      <w:pPr>
        <w:pStyle w:val="3"/>
        <w:bidi w:val="0"/>
        <w:jc w:val="center"/>
        <w:rPr>
          <w:rFonts w:hint="eastAsia"/>
        </w:rPr>
      </w:pPr>
      <w:r>
        <w:rPr>
          <w:rFonts w:hint="eastAsia"/>
        </w:rPr>
        <w:t>第六章 版权信息</w:t>
      </w:r>
    </w:p>
    <w:p w14:paraId="5607CC90">
      <w:pPr>
        <w:pStyle w:val="5"/>
        <w:rPr>
          <w:rFonts w:hint="eastAsia"/>
        </w:rPr>
      </w:pPr>
    </w:p>
    <w:p w14:paraId="0D0CA2FC">
      <w:pPr>
        <w:pStyle w:val="5"/>
        <w:rPr>
          <w:rFonts w:hint="eastAsia"/>
        </w:rPr>
      </w:pPr>
    </w:p>
    <w:sectPr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characterSpacingControl w:val="compressPunctuation"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00000"/>
    <w:rsid w:val="27391565"/>
    <w:rsid w:val="3B32794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Plain Text"/>
    <w:basedOn w:val="1"/>
    <w:uiPriority w:val="0"/>
    <w:rPr>
      <w:rFonts w:ascii="宋体" w:hAnsi="Courier New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FFFFFF"/>
      </a:dk1>
      <a:lt1>
        <a:sysClr val="window" lastClr="20202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3921</Words>
  <Characters>4259</Characters>
  <TotalTime>35</TotalTime>
  <ScaleCrop>false</ScaleCrop>
  <LinksUpToDate>false</LinksUpToDate>
  <CharactersWithSpaces>4370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2026-04-10T14:52:47Z</dcterms:created>
  <dc:creator>1</dc:creator>
  <cp:lastModifiedBy>御</cp:lastModifiedBy>
  <dcterms:modified xsi:type="dcterms:W3CDTF">2026-04-10T15:29:00Z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eyJoZGlkIjoiOTEwMjM1OGVmNDhiZWJiYmNlOWEyZTA5YmY0ZjMwYjAiLCJ1c2VySWQiOiIxNjIyMDAzNzgxIn0=</vt:lpwstr>
  </property>
  <property fmtid="{D5CDD505-2E9C-101B-9397-08002B2CF9AE}" pid="3" name="KSOProductBuildVer">
    <vt:lpwstr>2052-12.1.0.25225</vt:lpwstr>
  </property>
  <property fmtid="{D5CDD505-2E9C-101B-9397-08002B2CF9AE}" pid="4" name="ICV">
    <vt:lpwstr>7713E9E1A5DB431E914CEB1ED805A31B_13</vt:lpwstr>
  </property>
</Properties>
</file>