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DCA3A">
      <w:pPr>
        <w:jc w:val="center"/>
      </w:pPr>
      <w:r>
        <w:drawing>
          <wp:inline distT="0" distB="0" distL="0" distR="0">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14:paraId="61DCEFA2">
      <w:pPr>
        <w:jc w:val="center"/>
        <w:rPr>
          <w:rFonts w:ascii="宋体"/>
          <w:b/>
          <w:sz w:val="52"/>
          <w:szCs w:val="52"/>
        </w:rPr>
      </w:pPr>
      <w:r>
        <w:rPr>
          <w:rFonts w:hint="eastAsia" w:ascii="宋体"/>
          <w:b/>
          <w:sz w:val="52"/>
          <w:szCs w:val="52"/>
        </w:rPr>
        <w:t>研究生学位论文开题报告</w:t>
      </w:r>
    </w:p>
    <w:p w14:paraId="7069C188">
      <w:pPr>
        <w:jc w:val="center"/>
        <w:rPr>
          <w:b/>
          <w:sz w:val="30"/>
          <w:szCs w:val="30"/>
        </w:rPr>
      </w:pPr>
      <w:r>
        <w:rPr>
          <w:b/>
          <w:sz w:val="30"/>
          <w:szCs w:val="30"/>
        </w:rPr>
        <w:t>Graduate Thesis/Dissertation Proposal</w:t>
      </w:r>
    </w:p>
    <w:p w14:paraId="38561933">
      <w:pPr>
        <w:jc w:val="center"/>
        <w:rPr>
          <w:b/>
          <w:sz w:val="30"/>
          <w:szCs w:val="30"/>
        </w:rPr>
      </w:pPr>
    </w:p>
    <w:tbl>
      <w:tblPr>
        <w:tblStyle w:val="9"/>
        <w:tblW w:w="8505" w:type="dxa"/>
        <w:jc w:val="center"/>
        <w:tblLayout w:type="fixed"/>
        <w:tblCellMar>
          <w:top w:w="0" w:type="dxa"/>
          <w:left w:w="56" w:type="dxa"/>
          <w:bottom w:w="0" w:type="dxa"/>
          <w:right w:w="56" w:type="dxa"/>
        </w:tblCellMar>
      </w:tblPr>
      <w:tblGrid>
        <w:gridCol w:w="3149"/>
        <w:gridCol w:w="5356"/>
      </w:tblGrid>
      <w:tr w14:paraId="3967836F">
        <w:trPr>
          <w:jc w:val="center"/>
        </w:trPr>
        <w:tc>
          <w:tcPr>
            <w:tcW w:w="3149" w:type="dxa"/>
            <w:vAlign w:val="center"/>
          </w:tcPr>
          <w:p w14:paraId="3CC60EF5">
            <w:pPr>
              <w:spacing w:before="120" w:after="120"/>
              <w:jc w:val="left"/>
              <w:rPr>
                <w:rFonts w:eastAsia="楷体_GB2312"/>
                <w:b/>
                <w:sz w:val="28"/>
                <w:szCs w:val="28"/>
              </w:rPr>
            </w:pPr>
            <w:permStart w:id="0" w:edGrp="everyone" w:colFirst="1" w:colLast="1"/>
            <w:r>
              <w:rPr>
                <w:rFonts w:hint="eastAsia"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5356" w:type="dxa"/>
            <w:tcBorders>
              <w:bottom w:val="single" w:color="auto" w:sz="4" w:space="0"/>
            </w:tcBorders>
            <w:vAlign w:val="center"/>
          </w:tcPr>
          <w:p w14:paraId="5CC01CED">
            <w:pPr>
              <w:spacing w:before="120" w:after="120"/>
              <w:rPr>
                <w:rFonts w:eastAsia="华文仿宋"/>
                <w:sz w:val="24"/>
                <w:szCs w:val="24"/>
              </w:rPr>
            </w:pPr>
            <w:r>
              <w:rPr>
                <w:rFonts w:hint="eastAsia" w:eastAsia="华文仿宋"/>
                <w:sz w:val="24"/>
                <w:szCs w:val="24"/>
              </w:rPr>
              <w:t>124033910219</w:t>
            </w:r>
          </w:p>
        </w:tc>
      </w:tr>
      <w:permEnd w:id="0"/>
      <w:tr w14:paraId="72B60ACC">
        <w:trPr>
          <w:jc w:val="center"/>
        </w:trPr>
        <w:tc>
          <w:tcPr>
            <w:tcW w:w="3149" w:type="dxa"/>
            <w:vAlign w:val="center"/>
          </w:tcPr>
          <w:p w14:paraId="33A3E26D">
            <w:pPr>
              <w:spacing w:before="120" w:after="120"/>
              <w:jc w:val="left"/>
              <w:rPr>
                <w:rFonts w:eastAsia="楷体_GB2312"/>
                <w:b/>
                <w:sz w:val="28"/>
                <w:szCs w:val="28"/>
              </w:rPr>
            </w:pPr>
            <w:permStart w:id="1" w:edGrp="everyone" w:colFirst="1" w:colLast="1"/>
            <w:r>
              <w:rPr>
                <w:rFonts w:hint="eastAsia" w:eastAsia="楷体_GB2312"/>
                <w:b/>
                <w:sz w:val="28"/>
                <w:szCs w:val="28"/>
              </w:rPr>
              <w:t>姓名</w:t>
            </w:r>
            <w:r>
              <w:rPr>
                <w:rFonts w:eastAsia="楷体_GB2312"/>
                <w:b/>
                <w:sz w:val="24"/>
                <w:szCs w:val="24"/>
              </w:rPr>
              <w:t xml:space="preserve"> Name</w:t>
            </w:r>
          </w:p>
        </w:tc>
        <w:tc>
          <w:tcPr>
            <w:tcW w:w="5356" w:type="dxa"/>
            <w:tcBorders>
              <w:top w:val="single" w:color="auto" w:sz="4" w:space="0"/>
              <w:bottom w:val="single" w:color="auto" w:sz="4" w:space="0"/>
            </w:tcBorders>
            <w:vAlign w:val="center"/>
          </w:tcPr>
          <w:p w14:paraId="7FE6EB17">
            <w:pPr>
              <w:spacing w:before="120" w:after="120"/>
              <w:rPr>
                <w:rFonts w:eastAsia="华文仿宋"/>
                <w:sz w:val="24"/>
                <w:szCs w:val="24"/>
              </w:rPr>
            </w:pPr>
            <w:r>
              <w:rPr>
                <w:rFonts w:hint="eastAsia" w:eastAsia="华文仿宋"/>
                <w:sz w:val="24"/>
                <w:szCs w:val="24"/>
              </w:rPr>
              <w:t>吴伯涛</w:t>
            </w:r>
          </w:p>
        </w:tc>
      </w:tr>
      <w:permEnd w:id="1"/>
      <w:tr w14:paraId="3334087D">
        <w:trPr>
          <w:jc w:val="center"/>
        </w:trPr>
        <w:tc>
          <w:tcPr>
            <w:tcW w:w="3149" w:type="dxa"/>
            <w:vAlign w:val="center"/>
          </w:tcPr>
          <w:p w14:paraId="7D884909">
            <w:pPr>
              <w:spacing w:before="120" w:after="120"/>
              <w:jc w:val="left"/>
              <w:rPr>
                <w:rFonts w:eastAsia="楷体_GB2312"/>
                <w:b/>
                <w:sz w:val="28"/>
                <w:szCs w:val="28"/>
              </w:rPr>
            </w:pPr>
            <w:r>
              <w:rPr>
                <w:rFonts w:hint="eastAsia" w:eastAsia="楷体_GB2312"/>
                <w:b/>
                <w:sz w:val="28"/>
                <w:szCs w:val="28"/>
              </w:rPr>
              <w:t xml:space="preserve">学生类别 </w:t>
            </w:r>
            <w:r>
              <w:rPr>
                <w:rFonts w:eastAsia="楷体_GB2312"/>
                <w:b/>
                <w:sz w:val="24"/>
                <w:szCs w:val="24"/>
              </w:rPr>
              <w:t>Degree Program</w:t>
            </w:r>
          </w:p>
        </w:tc>
        <w:tc>
          <w:tcPr>
            <w:tcW w:w="5356" w:type="dxa"/>
            <w:tcBorders>
              <w:top w:val="single" w:color="auto" w:sz="4" w:space="0"/>
              <w:bottom w:val="single" w:color="auto" w:sz="4" w:space="0"/>
            </w:tcBorders>
            <w:vAlign w:val="center"/>
          </w:tcPr>
          <w:p w14:paraId="31B95F24">
            <w:pPr>
              <w:jc w:val="left"/>
              <w:rPr>
                <w:rFonts w:eastAsia="华文仿宋"/>
                <w:sz w:val="24"/>
                <w:szCs w:val="24"/>
              </w:rPr>
            </w:pPr>
            <w:sdt>
              <w:sdtPr>
                <w:rPr>
                  <w:rFonts w:ascii="宋体" w:hAnsi="宋体"/>
                  <w:sz w:val="24"/>
                  <w:szCs w:val="24"/>
                </w:rPr>
                <w:alias w:val="program"/>
                <w:tag w:val="program"/>
                <w:id w:val="-1"/>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EndPr>
                <w:rPr>
                  <w:rFonts w:ascii="宋体" w:hAnsi="宋体"/>
                  <w:sz w:val="24"/>
                  <w:szCs w:val="24"/>
                </w:rPr>
              </w:sdtEndPr>
              <w:sdtContent>
                <w:permStart w:id="2" w:edGrp="everyone"/>
                <w:r>
                  <w:rPr>
                    <w:rFonts w:ascii="宋体" w:hAnsi="宋体"/>
                    <w:sz w:val="24"/>
                    <w:szCs w:val="24"/>
                  </w:rPr>
                  <w:t>专业型硕士生 Professional Master Student</w:t>
                </w:r>
                <w:permEnd w:id="2"/>
              </w:sdtContent>
            </w:sdt>
          </w:p>
        </w:tc>
      </w:tr>
      <w:tr w14:paraId="2EC3005A">
        <w:trPr>
          <w:jc w:val="center"/>
        </w:trPr>
        <w:tc>
          <w:tcPr>
            <w:tcW w:w="3149" w:type="dxa"/>
            <w:vAlign w:val="center"/>
          </w:tcPr>
          <w:p w14:paraId="74383FDD">
            <w:pPr>
              <w:spacing w:before="120" w:after="120"/>
              <w:jc w:val="left"/>
              <w:rPr>
                <w:rFonts w:eastAsia="楷体_GB2312"/>
                <w:b/>
                <w:sz w:val="28"/>
                <w:szCs w:val="28"/>
              </w:rPr>
            </w:pPr>
            <w:r>
              <w:rPr>
                <w:rFonts w:hint="eastAsia" w:eastAsia="楷体_GB2312"/>
                <w:b/>
                <w:sz w:val="28"/>
                <w:szCs w:val="28"/>
              </w:rPr>
              <w:t xml:space="preserve">学习形式 </w:t>
            </w:r>
            <w:r>
              <w:rPr>
                <w:rFonts w:eastAsia="楷体_GB2312"/>
                <w:b/>
                <w:sz w:val="24"/>
                <w:szCs w:val="24"/>
              </w:rPr>
              <w:t>Study Mode</w:t>
            </w:r>
          </w:p>
        </w:tc>
        <w:tc>
          <w:tcPr>
            <w:tcW w:w="5356" w:type="dxa"/>
            <w:tcBorders>
              <w:top w:val="single" w:color="auto" w:sz="4" w:space="0"/>
              <w:bottom w:val="single" w:color="auto" w:sz="4" w:space="0"/>
            </w:tcBorders>
            <w:vAlign w:val="center"/>
          </w:tcPr>
          <w:p w14:paraId="6AD3B0E2">
            <w:pPr>
              <w:jc w:val="left"/>
              <w:rPr>
                <w:rFonts w:eastAsia="华文仿宋"/>
                <w:sz w:val="24"/>
                <w:szCs w:val="24"/>
              </w:rPr>
            </w:pPr>
            <w:sdt>
              <w:sdtPr>
                <w:rPr>
                  <w:rFonts w:ascii="宋体" w:hAnsi="宋体"/>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EndPr>
                <w:rPr>
                  <w:rFonts w:ascii="宋体" w:hAnsi="宋体"/>
                  <w:sz w:val="24"/>
                  <w:szCs w:val="24"/>
                </w:rPr>
              </w:sdtEndPr>
              <w:sdtContent>
                <w:permStart w:id="3" w:edGrp="everyone"/>
                <w:r>
                  <w:rPr>
                    <w:rFonts w:ascii="宋体" w:hAnsi="宋体"/>
                    <w:sz w:val="24"/>
                    <w:szCs w:val="24"/>
                  </w:rPr>
                  <w:t>全日制 Full-time</w:t>
                </w:r>
                <w:permEnd w:id="3"/>
              </w:sdtContent>
            </w:sdt>
          </w:p>
        </w:tc>
      </w:tr>
      <w:tr w14:paraId="51DBFD19">
        <w:trPr>
          <w:jc w:val="center"/>
        </w:trPr>
        <w:tc>
          <w:tcPr>
            <w:tcW w:w="3149" w:type="dxa"/>
            <w:vAlign w:val="center"/>
          </w:tcPr>
          <w:p w14:paraId="05CD8B5D">
            <w:pPr>
              <w:spacing w:before="120" w:after="120"/>
              <w:jc w:val="left"/>
              <w:rPr>
                <w:rFonts w:eastAsia="楷体_GB2312"/>
                <w:b/>
                <w:sz w:val="28"/>
                <w:szCs w:val="28"/>
              </w:rPr>
            </w:pPr>
            <w:permStart w:id="4" w:edGrp="everyone" w:colFirst="1" w:colLast="1"/>
            <w:r>
              <w:rPr>
                <w:rFonts w:hint="eastAsia" w:eastAsia="楷体_GB2312"/>
                <w:b/>
                <w:sz w:val="28"/>
                <w:szCs w:val="28"/>
              </w:rPr>
              <w:t xml:space="preserve">导师 </w:t>
            </w:r>
            <w:r>
              <w:rPr>
                <w:rFonts w:eastAsia="楷体_GB2312"/>
                <w:b/>
                <w:sz w:val="24"/>
                <w:szCs w:val="24"/>
              </w:rPr>
              <w:t>Supervisor(s)</w:t>
            </w:r>
          </w:p>
        </w:tc>
        <w:tc>
          <w:tcPr>
            <w:tcW w:w="5356" w:type="dxa"/>
            <w:tcBorders>
              <w:top w:val="single" w:color="auto" w:sz="4" w:space="0"/>
              <w:bottom w:val="single" w:color="auto" w:sz="4" w:space="0"/>
            </w:tcBorders>
            <w:vAlign w:val="center"/>
          </w:tcPr>
          <w:p w14:paraId="510B9179">
            <w:pPr>
              <w:spacing w:before="120" w:after="120"/>
              <w:rPr>
                <w:rFonts w:eastAsia="华文仿宋"/>
                <w:sz w:val="24"/>
                <w:szCs w:val="24"/>
              </w:rPr>
            </w:pPr>
            <w:r>
              <w:rPr>
                <w:rFonts w:hint="eastAsia" w:eastAsia="华文仿宋"/>
                <w:sz w:val="24"/>
                <w:szCs w:val="24"/>
              </w:rPr>
              <w:t>应凯</w:t>
            </w:r>
          </w:p>
        </w:tc>
      </w:tr>
      <w:permEnd w:id="4"/>
      <w:tr w14:paraId="197C3EBB">
        <w:trPr>
          <w:trHeight w:val="810" w:hRule="atLeast"/>
          <w:jc w:val="center"/>
        </w:trPr>
        <w:tc>
          <w:tcPr>
            <w:tcW w:w="3149" w:type="dxa"/>
            <w:vAlign w:val="center"/>
          </w:tcPr>
          <w:p w14:paraId="509A8AB8">
            <w:pPr>
              <w:spacing w:before="120" w:after="120"/>
              <w:jc w:val="left"/>
              <w:rPr>
                <w:rFonts w:eastAsia="楷体_GB2312"/>
                <w:b/>
                <w:sz w:val="28"/>
                <w:szCs w:val="28"/>
              </w:rPr>
            </w:pPr>
            <w:permStart w:id="5" w:edGrp="everyone" w:colFirst="1" w:colLast="1"/>
            <w:r>
              <w:rPr>
                <w:rFonts w:hint="eastAsia" w:eastAsia="楷体_GB2312"/>
                <w:b/>
                <w:sz w:val="28"/>
                <w:szCs w:val="28"/>
              </w:rPr>
              <w:t>论文题目</w:t>
            </w:r>
            <w:r>
              <w:rPr>
                <w:rFonts w:eastAsia="楷体_GB2312"/>
                <w:b/>
                <w:sz w:val="24"/>
                <w:szCs w:val="24"/>
              </w:rPr>
              <w:t xml:space="preserve"> Thesis title</w:t>
            </w:r>
          </w:p>
        </w:tc>
        <w:tc>
          <w:tcPr>
            <w:tcW w:w="5356" w:type="dxa"/>
            <w:tcBorders>
              <w:top w:val="single" w:color="auto" w:sz="4" w:space="0"/>
              <w:bottom w:val="single" w:color="auto" w:sz="4" w:space="0"/>
            </w:tcBorders>
            <w:vAlign w:val="center"/>
          </w:tcPr>
          <w:p w14:paraId="02EB7FE5">
            <w:pPr>
              <w:spacing w:before="120" w:after="120"/>
              <w:rPr>
                <w:rFonts w:eastAsia="华文仿宋"/>
                <w:sz w:val="24"/>
                <w:szCs w:val="24"/>
              </w:rPr>
            </w:pPr>
            <w:r>
              <w:rPr>
                <w:rFonts w:hint="eastAsia" w:eastAsia="华文仿宋"/>
                <w:sz w:val="24"/>
                <w:szCs w:val="24"/>
              </w:rPr>
              <w:t>基于视觉语言模型的时空信道预测方法</w:t>
            </w:r>
          </w:p>
        </w:tc>
      </w:tr>
      <w:permEnd w:id="5"/>
      <w:tr w14:paraId="4616E93F">
        <w:trPr>
          <w:jc w:val="center"/>
        </w:trPr>
        <w:tc>
          <w:tcPr>
            <w:tcW w:w="3149" w:type="dxa"/>
            <w:vAlign w:val="center"/>
          </w:tcPr>
          <w:p w14:paraId="330DFE74">
            <w:pPr>
              <w:spacing w:before="120" w:after="120"/>
              <w:jc w:val="left"/>
              <w:rPr>
                <w:rFonts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5356" w:type="dxa"/>
            <w:tcBorders>
              <w:top w:val="single" w:color="auto" w:sz="4" w:space="0"/>
              <w:bottom w:val="single" w:color="auto" w:sz="4" w:space="0"/>
            </w:tcBorders>
            <w:vAlign w:val="center"/>
          </w:tcPr>
          <w:p w14:paraId="217FA095">
            <w:pPr>
              <w:spacing w:before="120" w:after="120"/>
              <w:rPr>
                <w:rFonts w:eastAsia="华文仿宋"/>
                <w:sz w:val="24"/>
                <w:szCs w:val="24"/>
              </w:rPr>
            </w:pPr>
            <w:r>
              <w:rPr>
                <w:rFonts w:hint="eastAsia" w:eastAsia="华文仿宋"/>
                <w:sz w:val="24"/>
                <w:szCs w:val="24"/>
              </w:rPr>
              <w:t>计算机学院</w:t>
            </w:r>
          </w:p>
        </w:tc>
      </w:tr>
      <w:permEnd w:id="6"/>
      <w:tr w14:paraId="22E42A0C">
        <w:trPr>
          <w:jc w:val="center"/>
        </w:trPr>
        <w:tc>
          <w:tcPr>
            <w:tcW w:w="3149" w:type="dxa"/>
            <w:vAlign w:val="center"/>
          </w:tcPr>
          <w:p w14:paraId="2EA4DBCC">
            <w:pPr>
              <w:spacing w:before="120" w:after="120"/>
              <w:jc w:val="left"/>
              <w:rPr>
                <w:rFonts w:eastAsia="楷体_GB2312"/>
                <w:b/>
                <w:sz w:val="28"/>
                <w:szCs w:val="28"/>
              </w:rPr>
            </w:pPr>
            <w:permStart w:id="7" w:edGrp="everyone" w:colFirst="1" w:colLast="1"/>
            <w:r>
              <w:rPr>
                <w:rFonts w:hint="eastAsia" w:eastAsia="楷体_GB2312"/>
                <w:b/>
                <w:sz w:val="28"/>
                <w:szCs w:val="28"/>
              </w:rPr>
              <w:t xml:space="preserve">专业 </w:t>
            </w:r>
            <w:r>
              <w:rPr>
                <w:rFonts w:eastAsia="楷体_GB2312"/>
                <w:b/>
                <w:sz w:val="24"/>
                <w:szCs w:val="24"/>
              </w:rPr>
              <w:t>Major</w:t>
            </w:r>
          </w:p>
        </w:tc>
        <w:tc>
          <w:tcPr>
            <w:tcW w:w="5356" w:type="dxa"/>
            <w:tcBorders>
              <w:top w:val="single" w:color="auto" w:sz="4" w:space="0"/>
              <w:bottom w:val="single" w:color="auto" w:sz="4" w:space="0"/>
            </w:tcBorders>
            <w:vAlign w:val="center"/>
          </w:tcPr>
          <w:p w14:paraId="2ACFA60F">
            <w:pPr>
              <w:spacing w:before="120" w:after="120"/>
              <w:rPr>
                <w:rFonts w:eastAsia="华文仿宋"/>
                <w:sz w:val="24"/>
                <w:szCs w:val="24"/>
              </w:rPr>
            </w:pPr>
            <w:r>
              <w:rPr>
                <w:rFonts w:hint="eastAsia" w:eastAsia="华文仿宋"/>
                <w:sz w:val="24"/>
                <w:szCs w:val="24"/>
              </w:rPr>
              <w:t>电子信息</w:t>
            </w:r>
          </w:p>
        </w:tc>
      </w:tr>
      <w:permEnd w:id="7"/>
      <w:tr w14:paraId="37B07CEC">
        <w:trPr>
          <w:jc w:val="center"/>
        </w:trPr>
        <w:tc>
          <w:tcPr>
            <w:tcW w:w="3149" w:type="dxa"/>
            <w:vAlign w:val="center"/>
          </w:tcPr>
          <w:p w14:paraId="2D9B1AC8">
            <w:pPr>
              <w:spacing w:before="120" w:after="120"/>
              <w:jc w:val="left"/>
              <w:rPr>
                <w:rFonts w:eastAsia="楷体_GB2312"/>
                <w:b/>
                <w:sz w:val="28"/>
                <w:szCs w:val="28"/>
              </w:rPr>
            </w:pPr>
            <w:permStart w:id="8" w:edGrp="everyone" w:colFirst="1" w:colLast="1"/>
            <w:r>
              <w:rPr>
                <w:rFonts w:hint="eastAsia" w:eastAsia="楷体_GB2312"/>
                <w:b/>
                <w:sz w:val="28"/>
                <w:szCs w:val="28"/>
              </w:rPr>
              <w:t xml:space="preserve">开题日期 </w:t>
            </w:r>
            <w:r>
              <w:rPr>
                <w:rFonts w:eastAsia="楷体_GB2312"/>
                <w:b/>
                <w:sz w:val="24"/>
                <w:szCs w:val="24"/>
              </w:rPr>
              <w:t>Date</w:t>
            </w:r>
          </w:p>
        </w:tc>
        <w:tc>
          <w:tcPr>
            <w:tcW w:w="5356" w:type="dxa"/>
            <w:tcBorders>
              <w:top w:val="single" w:color="auto" w:sz="4" w:space="0"/>
              <w:bottom w:val="single" w:color="auto" w:sz="4" w:space="0"/>
            </w:tcBorders>
            <w:vAlign w:val="center"/>
          </w:tcPr>
          <w:p w14:paraId="54068FF2">
            <w:pPr>
              <w:spacing w:before="120" w:after="120"/>
              <w:rPr>
                <w:rFonts w:eastAsia="华文仿宋"/>
                <w:sz w:val="24"/>
                <w:szCs w:val="24"/>
              </w:rPr>
            </w:pPr>
            <w:r>
              <w:rPr>
                <w:rFonts w:hint="eastAsia" w:eastAsia="华文仿宋"/>
                <w:sz w:val="24"/>
                <w:szCs w:val="24"/>
              </w:rPr>
              <w:t>2025/10/31</w:t>
            </w:r>
          </w:p>
        </w:tc>
      </w:tr>
      <w:permEnd w:id="8"/>
      <w:tr w14:paraId="31E15CC8">
        <w:trPr>
          <w:jc w:val="center"/>
        </w:trPr>
        <w:tc>
          <w:tcPr>
            <w:tcW w:w="3149" w:type="dxa"/>
            <w:vAlign w:val="center"/>
          </w:tcPr>
          <w:p w14:paraId="79FF60AD">
            <w:pPr>
              <w:spacing w:before="120" w:after="120"/>
              <w:jc w:val="left"/>
              <w:rPr>
                <w:rFonts w:eastAsia="楷体_GB2312"/>
                <w:b/>
                <w:sz w:val="28"/>
                <w:szCs w:val="28"/>
              </w:rPr>
            </w:pPr>
            <w:permStart w:id="9" w:edGrp="everyone" w:colFirst="1" w:colLast="1"/>
            <w:r>
              <w:rPr>
                <w:rFonts w:hint="eastAsia" w:eastAsia="楷体_GB2312"/>
                <w:b/>
                <w:sz w:val="28"/>
                <w:szCs w:val="28"/>
              </w:rPr>
              <w:t>开题</w:t>
            </w:r>
            <w:r>
              <w:rPr>
                <w:rFonts w:eastAsia="楷体_GB2312"/>
                <w:b/>
                <w:sz w:val="28"/>
                <w:szCs w:val="28"/>
              </w:rPr>
              <w:t>地点</w:t>
            </w:r>
            <w:r>
              <w:rPr>
                <w:rFonts w:hint="eastAsia" w:eastAsia="楷体_GB2312"/>
                <w:b/>
                <w:sz w:val="28"/>
                <w:szCs w:val="28"/>
              </w:rPr>
              <w:t xml:space="preserve"> </w:t>
            </w:r>
            <w:r>
              <w:rPr>
                <w:rFonts w:hint="eastAsia" w:eastAsia="楷体_GB2312"/>
                <w:b/>
                <w:sz w:val="24"/>
                <w:szCs w:val="24"/>
              </w:rPr>
              <w:t>Venue</w:t>
            </w:r>
          </w:p>
        </w:tc>
        <w:tc>
          <w:tcPr>
            <w:tcW w:w="5356" w:type="dxa"/>
            <w:tcBorders>
              <w:top w:val="single" w:color="auto" w:sz="4" w:space="0"/>
              <w:bottom w:val="single" w:color="auto" w:sz="4" w:space="0"/>
            </w:tcBorders>
            <w:vAlign w:val="center"/>
          </w:tcPr>
          <w:p w14:paraId="4F93C7A1">
            <w:pPr>
              <w:spacing w:before="120" w:after="120"/>
              <w:rPr>
                <w:rFonts w:eastAsia="华文仿宋"/>
                <w:sz w:val="24"/>
                <w:szCs w:val="24"/>
              </w:rPr>
            </w:pPr>
            <w:r>
              <w:rPr>
                <w:rFonts w:hint="eastAsia" w:eastAsia="华文仿宋"/>
                <w:sz w:val="24"/>
                <w:szCs w:val="24"/>
              </w:rPr>
              <w:t>中国电子科技集团第七研究所</w:t>
            </w:r>
          </w:p>
        </w:tc>
      </w:tr>
      <w:permEnd w:id="9"/>
    </w:tbl>
    <w:p w14:paraId="7EB51790">
      <w:pPr>
        <w:jc w:val="center"/>
        <w:rPr>
          <w:rFonts w:eastAsia="黑体"/>
          <w:sz w:val="30"/>
        </w:rPr>
      </w:pPr>
      <w:r>
        <w:rPr>
          <w:rFonts w:eastAsia="黑体"/>
          <w:sz w:val="30"/>
        </w:rPr>
        <w:br w:type="page"/>
      </w:r>
      <w:r>
        <w:rPr>
          <w:rFonts w:hint="eastAsia" w:eastAsia="黑体"/>
          <w:sz w:val="30"/>
        </w:rPr>
        <w:t>填</w:t>
      </w:r>
      <w:r>
        <w:rPr>
          <w:rFonts w:eastAsia="黑体"/>
          <w:sz w:val="30"/>
        </w:rPr>
        <w:t xml:space="preserve"> </w:t>
      </w:r>
      <w:r>
        <w:rPr>
          <w:rFonts w:hint="eastAsia" w:eastAsia="黑体"/>
          <w:sz w:val="30"/>
        </w:rPr>
        <w:t xml:space="preserve"> 报 </w:t>
      </w:r>
      <w:r>
        <w:rPr>
          <w:rFonts w:eastAsia="黑体"/>
          <w:sz w:val="30"/>
        </w:rPr>
        <w:t xml:space="preserve"> </w:t>
      </w:r>
      <w:r>
        <w:rPr>
          <w:rFonts w:hint="eastAsia" w:eastAsia="黑体"/>
          <w:sz w:val="30"/>
        </w:rPr>
        <w:t xml:space="preserve">说 </w:t>
      </w:r>
      <w:r>
        <w:rPr>
          <w:rFonts w:eastAsia="黑体"/>
          <w:sz w:val="30"/>
        </w:rPr>
        <w:t xml:space="preserve"> </w:t>
      </w:r>
      <w:r>
        <w:rPr>
          <w:rFonts w:hint="eastAsia" w:eastAsia="黑体"/>
          <w:sz w:val="30"/>
        </w:rPr>
        <w:t>明</w:t>
      </w:r>
    </w:p>
    <w:p w14:paraId="6275E620">
      <w:pPr>
        <w:jc w:val="center"/>
        <w:rPr>
          <w:rFonts w:eastAsia="黑体"/>
          <w:sz w:val="30"/>
        </w:rPr>
      </w:pPr>
      <w:r>
        <w:rPr>
          <w:rFonts w:eastAsia="黑体"/>
          <w:b/>
          <w:sz w:val="30"/>
        </w:rPr>
        <w:t>Instruction</w:t>
      </w:r>
    </w:p>
    <w:p w14:paraId="7709F214">
      <w:pPr>
        <w:pStyle w:val="21"/>
        <w:numPr>
          <w:ilvl w:val="0"/>
          <w:numId w:val="1"/>
        </w:numPr>
        <w:spacing w:before="156" w:beforeLines="50" w:line="300" w:lineRule="auto"/>
        <w:ind w:firstLineChars="0"/>
        <w:rPr>
          <w:rFonts w:eastAsia="仿宋_GB2312"/>
          <w:color w:val="000000" w:themeColor="text1"/>
          <w:sz w:val="24"/>
          <w:szCs w:val="24"/>
          <w14:textFill>
            <w14:solidFill>
              <w14:schemeClr w14:val="tx1"/>
            </w14:solidFill>
          </w14:textFill>
        </w:rPr>
      </w:pPr>
      <w:r>
        <w:rPr>
          <w:rFonts w:eastAsia="仿宋_GB2312"/>
          <w:color w:val="000000" w:themeColor="text1"/>
          <w:sz w:val="24"/>
          <w:szCs w:val="24"/>
          <w14:textFill>
            <w14:solidFill>
              <w14:schemeClr w14:val="tx1"/>
            </w14:solidFill>
          </w14:textFill>
        </w:rPr>
        <w:t>校本部研究生的开题报告应通过</w:t>
      </w:r>
      <w:r>
        <w:rPr>
          <w:rStyle w:val="13"/>
          <w:rFonts w:eastAsia="仿宋_GB2312"/>
          <w:sz w:val="24"/>
          <w:szCs w:val="24"/>
        </w:rPr>
        <w:fldChar w:fldCharType="begin"/>
      </w:r>
      <w:r>
        <w:rPr>
          <w:rStyle w:val="13"/>
          <w:rFonts w:eastAsia="仿宋_GB2312"/>
          <w:sz w:val="24"/>
          <w:szCs w:val="24"/>
        </w:rPr>
        <w:instrText xml:space="preserve"> HYPERLINK "http://my.sjtu.edu.cn/" </w:instrText>
      </w:r>
      <w:r>
        <w:rPr>
          <w:rStyle w:val="13"/>
          <w:rFonts w:eastAsia="仿宋_GB2312"/>
          <w:sz w:val="24"/>
          <w:szCs w:val="24"/>
        </w:rPr>
        <w:fldChar w:fldCharType="separate"/>
      </w:r>
      <w:r>
        <w:rPr>
          <w:rStyle w:val="13"/>
          <w:rFonts w:eastAsia="仿宋_GB2312"/>
          <w:sz w:val="24"/>
          <w:szCs w:val="24"/>
        </w:rPr>
        <w:t>数字交大</w:t>
      </w:r>
      <w:r>
        <w:rPr>
          <w:rStyle w:val="13"/>
          <w:rFonts w:eastAsia="仿宋_GB2312"/>
          <w:sz w:val="24"/>
          <w:szCs w:val="24"/>
        </w:rPr>
        <w:fldChar w:fldCharType="end"/>
      </w:r>
      <w:r>
        <w:rPr>
          <w:rFonts w:eastAsia="仿宋_GB2312"/>
          <w:color w:val="000000" w:themeColor="text1"/>
          <w:sz w:val="24"/>
          <w:szCs w:val="24"/>
          <w14:textFill>
            <w14:solidFill>
              <w14:schemeClr w14:val="tx1"/>
            </w14:solidFill>
          </w14:textFill>
        </w:rPr>
        <w:t>在线提交申请</w:t>
      </w:r>
      <w:r>
        <w:rPr>
          <w:rFonts w:hint="eastAsia" w:eastAsia="仿宋_GB2312"/>
          <w:color w:val="000000" w:themeColor="text1"/>
          <w:sz w:val="24"/>
          <w:szCs w:val="24"/>
          <w14:textFill>
            <w14:solidFill>
              <w14:schemeClr w14:val="tx1"/>
            </w14:solidFill>
          </w14:textFill>
        </w:rPr>
        <w:t>，</w:t>
      </w:r>
      <w:r>
        <w:rPr>
          <w:rFonts w:eastAsia="仿宋_GB2312"/>
          <w:color w:val="000000" w:themeColor="text1"/>
          <w:sz w:val="24"/>
          <w:szCs w:val="24"/>
          <w14:textFill>
            <w14:solidFill>
              <w14:schemeClr w14:val="tx1"/>
            </w14:solidFill>
          </w14:textFill>
        </w:rPr>
        <w:t>填写本表并上传系统。特殊情况下经研究生院事先同意</w:t>
      </w:r>
      <w:r>
        <w:rPr>
          <w:rFonts w:hint="eastAsia" w:eastAsia="仿宋_GB2312"/>
          <w:color w:val="000000" w:themeColor="text1"/>
          <w:sz w:val="24"/>
          <w:szCs w:val="24"/>
          <w14:textFill>
            <w14:solidFill>
              <w14:schemeClr w14:val="tx1"/>
            </w14:solidFill>
          </w14:textFill>
        </w:rPr>
        <w:t>，</w:t>
      </w:r>
      <w:r>
        <w:rPr>
          <w:rFonts w:eastAsia="仿宋_GB2312"/>
          <w:color w:val="000000" w:themeColor="text1"/>
          <w:sz w:val="24"/>
          <w:szCs w:val="24"/>
          <w14:textFill>
            <w14:solidFill>
              <w14:schemeClr w14:val="tx1"/>
            </w14:solidFill>
          </w14:textFill>
        </w:rPr>
        <w:t>可不上传系统</w:t>
      </w:r>
      <w:r>
        <w:rPr>
          <w:rFonts w:hint="eastAsia" w:eastAsia="仿宋_GB2312"/>
          <w:color w:val="000000" w:themeColor="text1"/>
          <w:sz w:val="24"/>
          <w:szCs w:val="24"/>
          <w14:textFill>
            <w14:solidFill>
              <w14:schemeClr w14:val="tx1"/>
            </w14:solidFill>
          </w14:textFill>
        </w:rPr>
        <w:t>，</w:t>
      </w:r>
      <w:r>
        <w:rPr>
          <w:rFonts w:eastAsia="仿宋_GB2312"/>
          <w:color w:val="000000" w:themeColor="text1"/>
          <w:sz w:val="24"/>
          <w:szCs w:val="24"/>
          <w14:textFill>
            <w14:solidFill>
              <w14:schemeClr w14:val="tx1"/>
            </w14:solidFill>
          </w14:textFill>
        </w:rPr>
        <w:t>并使用</w:t>
      </w:r>
      <w:r>
        <w:rPr>
          <w:rFonts w:hint="eastAsia" w:eastAsia="仿宋_GB2312"/>
          <w:color w:val="000000" w:themeColor="text1"/>
          <w:sz w:val="24"/>
          <w:szCs w:val="24"/>
          <w14:textFill>
            <w14:solidFill>
              <w14:schemeClr w14:val="tx1"/>
            </w14:solidFill>
          </w14:textFill>
        </w:rPr>
        <w:t>《上海交通大学研究生论文开题评审表》完成</w:t>
      </w:r>
      <w:r>
        <w:rPr>
          <w:rFonts w:eastAsia="仿宋_GB2312"/>
          <w:color w:val="000000" w:themeColor="text1"/>
          <w:sz w:val="24"/>
          <w:szCs w:val="24"/>
          <w14:textFill>
            <w14:solidFill>
              <w14:schemeClr w14:val="tx1"/>
            </w14:solidFill>
          </w14:textFill>
        </w:rPr>
        <w:t>评审</w:t>
      </w:r>
      <w:r>
        <w:rPr>
          <w:rFonts w:hint="eastAsia" w:eastAsia="仿宋_GB2312"/>
          <w:color w:val="000000" w:themeColor="text1"/>
          <w:sz w:val="24"/>
          <w:szCs w:val="24"/>
          <w14:textFill>
            <w14:solidFill>
              <w14:schemeClr w14:val="tx1"/>
            </w14:solidFill>
          </w14:textFill>
        </w:rPr>
        <w:t>。</w:t>
      </w:r>
    </w:p>
    <w:p w14:paraId="60975114">
      <w:pPr>
        <w:pStyle w:val="21"/>
        <w:spacing w:before="156" w:beforeLines="50" w:line="300" w:lineRule="auto"/>
        <w:ind w:left="420" w:firstLine="0" w:firstLineChars="0"/>
        <w:rPr>
          <w:rFonts w:eastAsia="仿宋_GB2312"/>
          <w:color w:val="000000" w:themeColor="text1"/>
          <w:sz w:val="24"/>
          <w:szCs w:val="24"/>
          <w14:textFill>
            <w14:solidFill>
              <w14:schemeClr w14:val="tx1"/>
            </w14:solidFill>
          </w14:textFill>
        </w:rPr>
      </w:pPr>
      <w:r>
        <w:rPr>
          <w:rFonts w:eastAsia="仿宋_GB2312"/>
          <w:color w:val="000000" w:themeColor="text1"/>
          <w:sz w:val="24"/>
          <w:szCs w:val="24"/>
          <w14:textFill>
            <w14:solidFill>
              <w14:schemeClr w14:val="tx1"/>
            </w14:solidFill>
          </w14:textFill>
        </w:rPr>
        <w:t xml:space="preserve">The application for thesis/dissertation proposal should be submitted online through </w:t>
      </w:r>
      <w:r>
        <w:fldChar w:fldCharType="begin"/>
      </w:r>
      <w:r>
        <w:instrText xml:space="preserve"> HYPERLINK "http://my.sjtu.edu.cn/" </w:instrText>
      </w:r>
      <w:r>
        <w:fldChar w:fldCharType="separate"/>
      </w:r>
      <w:r>
        <w:rPr>
          <w:rStyle w:val="13"/>
          <w:rFonts w:eastAsia="仿宋_GB2312"/>
          <w:sz w:val="24"/>
          <w:szCs w:val="24"/>
        </w:rPr>
        <w:t>My SJTU</w:t>
      </w:r>
      <w:r>
        <w:rPr>
          <w:rStyle w:val="13"/>
          <w:rFonts w:eastAsia="仿宋_GB2312"/>
          <w:sz w:val="24"/>
          <w:szCs w:val="24"/>
        </w:rPr>
        <w:fldChar w:fldCharType="end"/>
      </w:r>
      <w:r>
        <w:rPr>
          <w:rFonts w:eastAsia="仿宋_GB2312"/>
          <w:color w:val="000000" w:themeColor="text1"/>
          <w:sz w:val="24"/>
          <w:szCs w:val="24"/>
          <w14:textFill>
            <w14:solidFill>
              <w14:schemeClr w14:val="tx1"/>
            </w14:solidFill>
          </w14:textFill>
        </w:rPr>
        <w:t>. The student shall fill this form and upload it in the system. Under special circumstance, this form does not need to be uploaded and the review can be proceeded with the review form with prior consent from the graduate school.</w:t>
      </w:r>
    </w:p>
    <w:p w14:paraId="3A777A5D">
      <w:pPr>
        <w:pStyle w:val="21"/>
        <w:numPr>
          <w:ilvl w:val="0"/>
          <w:numId w:val="1"/>
        </w:numPr>
        <w:spacing w:before="156" w:beforeLines="50" w:line="300" w:lineRule="auto"/>
        <w:ind w:firstLineChars="0"/>
        <w:rPr>
          <w:rFonts w:eastAsia="仿宋_GB2312"/>
          <w:color w:val="000000" w:themeColor="text1"/>
          <w:sz w:val="24"/>
          <w:szCs w:val="24"/>
          <w14:textFill>
            <w14:solidFill>
              <w14:schemeClr w14:val="tx1"/>
            </w14:solidFill>
          </w14:textFill>
        </w:rPr>
      </w:pPr>
      <w:r>
        <w:rPr>
          <w:rFonts w:hint="eastAsia" w:ascii="仿宋_GB2312" w:eastAsia="仿宋_GB2312"/>
          <w:sz w:val="24"/>
          <w:szCs w:val="24"/>
        </w:rPr>
        <w:t>开题报告为</w:t>
      </w:r>
      <w:r>
        <w:rPr>
          <w:rFonts w:ascii="仿宋_GB2312" w:eastAsia="仿宋_GB2312"/>
          <w:sz w:val="24"/>
          <w:szCs w:val="24"/>
        </w:rPr>
        <w:t>A4</w:t>
      </w:r>
      <w:r>
        <w:rPr>
          <w:rFonts w:hint="eastAsia" w:ascii="仿宋_GB2312" w:eastAsia="仿宋_GB2312"/>
          <w:sz w:val="24"/>
          <w:szCs w:val="24"/>
        </w:rPr>
        <w:t>大小，</w:t>
      </w:r>
      <w:bookmarkStart w:id="0" w:name="OLE_LINK2"/>
      <w:bookmarkStart w:id="1" w:name="OLE_LINK1"/>
      <w:r>
        <w:rPr>
          <w:rFonts w:hint="eastAsia" w:ascii="仿宋_GB2312" w:eastAsia="仿宋_GB2312"/>
          <w:sz w:val="24"/>
          <w:szCs w:val="24"/>
        </w:rPr>
        <w:t>于左侧装订成册</w:t>
      </w:r>
      <w:bookmarkEnd w:id="0"/>
      <w:bookmarkEnd w:id="1"/>
      <w:r>
        <w:rPr>
          <w:rFonts w:hint="eastAsia" w:ascii="仿宋_GB2312" w:eastAsia="仿宋_GB2312"/>
          <w:sz w:val="24"/>
          <w:szCs w:val="24"/>
        </w:rPr>
        <w:t>。各栏空格不够时，请自行加页。考核前提前一周送交导师、评审专家审阅。</w:t>
      </w:r>
    </w:p>
    <w:p w14:paraId="019C0139">
      <w:pPr>
        <w:spacing w:before="156" w:beforeLines="50" w:line="300" w:lineRule="auto"/>
        <w:ind w:left="480"/>
        <w:rPr>
          <w:rFonts w:eastAsia="仿宋_GB2312"/>
          <w:sz w:val="24"/>
          <w:szCs w:val="24"/>
        </w:rPr>
      </w:pPr>
      <w:r>
        <w:rPr>
          <w:rFonts w:eastAsia="仿宋_GB2312"/>
          <w:sz w:val="24"/>
          <w:szCs w:val="24"/>
        </w:rPr>
        <w:t>This form should be printed with A4 paper</w:t>
      </w:r>
      <w:r>
        <w:rPr>
          <w:rFonts w:hint="eastAsia" w:eastAsia="仿宋_GB2312"/>
          <w:sz w:val="24"/>
          <w:szCs w:val="24"/>
        </w:rPr>
        <w:t>s</w:t>
      </w:r>
      <w:r>
        <w:rPr>
          <w:rFonts w:eastAsia="仿宋_GB2312"/>
          <w:sz w:val="24"/>
          <w:szCs w:val="24"/>
        </w:rPr>
        <w:t xml:space="preserve"> and bound </w:t>
      </w:r>
      <w:r>
        <w:rPr>
          <w:rFonts w:hint="eastAsia" w:eastAsia="仿宋_GB2312"/>
          <w:sz w:val="24"/>
          <w:szCs w:val="24"/>
        </w:rPr>
        <w:t xml:space="preserve">together </w:t>
      </w:r>
      <w:r>
        <w:rPr>
          <w:rFonts w:eastAsia="仿宋_GB2312"/>
          <w:sz w:val="24"/>
          <w:szCs w:val="24"/>
        </w:rPr>
        <w:t>on the left. If the space left is not enough, please feel free to add extra pages. The print version shall be sent to the supervisor, and the review committee members for review at least one week before the oral presentation.</w:t>
      </w:r>
    </w:p>
    <w:p w14:paraId="57A8537A">
      <w:pPr>
        <w:numPr>
          <w:ilvl w:val="0"/>
          <w:numId w:val="1"/>
        </w:numPr>
        <w:spacing w:before="156" w:beforeLines="50" w:line="300" w:lineRule="auto"/>
        <w:rPr>
          <w:rFonts w:ascii="仿宋_GB2312" w:eastAsia="仿宋_GB2312"/>
          <w:sz w:val="24"/>
          <w:szCs w:val="24"/>
        </w:rPr>
      </w:pPr>
      <w:r>
        <w:rPr>
          <w:rFonts w:hint="eastAsia" w:ascii="仿宋_GB2312" w:eastAsia="仿宋_GB2312"/>
          <w:sz w:val="24"/>
          <w:szCs w:val="24"/>
        </w:rPr>
        <w:t>博士生导师可以根据博士生学位论文选题情况自行确定是否</w:t>
      </w:r>
      <w:r>
        <w:rPr>
          <w:rFonts w:ascii="仿宋_GB2312" w:eastAsia="仿宋_GB2312"/>
          <w:sz w:val="24"/>
          <w:szCs w:val="24"/>
        </w:rPr>
        <w:t>进行开题查新，</w:t>
      </w:r>
      <w:r>
        <w:rPr>
          <w:rFonts w:hint="eastAsia" w:ascii="仿宋_GB2312" w:eastAsia="仿宋_GB2312"/>
          <w:sz w:val="24"/>
          <w:szCs w:val="24"/>
        </w:rPr>
        <w:t>博士学位论文开题查新报告应由查新工作站提供。</w:t>
      </w:r>
    </w:p>
    <w:p w14:paraId="2C1DC2C1">
      <w:pPr>
        <w:spacing w:before="156" w:beforeLines="50" w:line="300" w:lineRule="auto"/>
        <w:ind w:left="480"/>
        <w:rPr>
          <w:rFonts w:eastAsia="仿宋_GB2312"/>
          <w:sz w:val="24"/>
          <w:szCs w:val="24"/>
        </w:rPr>
      </w:pPr>
      <w:r>
        <w:rPr>
          <w:rFonts w:hint="eastAsia" w:eastAsia="仿宋_GB2312"/>
          <w:sz w:val="24"/>
          <w:szCs w:val="24"/>
        </w:rPr>
        <w:t>T</w:t>
      </w:r>
      <w:r>
        <w:rPr>
          <w:rFonts w:eastAsia="仿宋_GB2312"/>
          <w:sz w:val="24"/>
          <w:szCs w:val="24"/>
        </w:rPr>
        <w:t>he supervisor should decide, based on the proposed topics, whether a novelty assessment report is needed or not, which should be conducted by an authorized novelty assessment department.</w:t>
      </w:r>
    </w:p>
    <w:p w14:paraId="5F6E7A93">
      <w:pPr>
        <w:numPr>
          <w:ilvl w:val="0"/>
          <w:numId w:val="1"/>
        </w:numPr>
        <w:spacing w:before="156" w:beforeLines="50" w:line="300" w:lineRule="auto"/>
        <w:ind w:left="480" w:hanging="480" w:hangingChars="200"/>
        <w:rPr>
          <w:rFonts w:eastAsia="仿宋_GB2312"/>
          <w:sz w:val="24"/>
          <w:szCs w:val="24"/>
        </w:rPr>
      </w:pPr>
      <w:r>
        <w:rPr>
          <w:rFonts w:hint="eastAsia" w:ascii="仿宋_GB2312" w:eastAsia="仿宋_GB2312"/>
          <w:sz w:val="24"/>
          <w:szCs w:val="24"/>
        </w:rPr>
        <w:t>开题报告通过后，定稿版开题报告由研究生、导师各存档一份，无需上传系统。</w:t>
      </w:r>
    </w:p>
    <w:p w14:paraId="3782619A">
      <w:pPr>
        <w:spacing w:before="156" w:beforeLines="50" w:line="300" w:lineRule="auto"/>
        <w:ind w:left="480"/>
        <w:rPr>
          <w:rFonts w:eastAsia="仿宋_GB2312"/>
          <w:sz w:val="24"/>
          <w:szCs w:val="24"/>
        </w:rPr>
      </w:pPr>
      <w:r>
        <w:rPr>
          <w:rFonts w:hint="eastAsia" w:eastAsia="仿宋_GB2312"/>
          <w:sz w:val="24"/>
          <w:szCs w:val="24"/>
        </w:rPr>
        <w:t>U</w:t>
      </w:r>
      <w:r>
        <w:rPr>
          <w:rFonts w:eastAsia="仿宋_GB2312"/>
          <w:sz w:val="24"/>
          <w:szCs w:val="24"/>
        </w:rPr>
        <w:t>pon passing the proposal, the final version of this report shall be archived by the graduate student and his/her supervisors for future reference.</w:t>
      </w:r>
    </w:p>
    <w:p w14:paraId="4B2AC272">
      <w:pPr>
        <w:numPr>
          <w:ilvl w:val="0"/>
          <w:numId w:val="1"/>
        </w:numPr>
        <w:spacing w:before="156" w:beforeLines="50" w:line="300" w:lineRule="auto"/>
        <w:ind w:left="480" w:hanging="480" w:hangingChars="200"/>
        <w:rPr>
          <w:rFonts w:ascii="仿宋_GB2312" w:eastAsia="仿宋_GB2312"/>
          <w:sz w:val="24"/>
          <w:szCs w:val="24"/>
        </w:rPr>
      </w:pPr>
      <w:r>
        <w:rPr>
          <w:rFonts w:hint="eastAsia" w:ascii="仿宋_GB2312" w:eastAsia="仿宋_GB2312"/>
          <w:sz w:val="24"/>
          <w:szCs w:val="24"/>
        </w:rPr>
        <w:t>同等学力研究生开题答辩采用会议形式，硕士邀请至少3名相关学科/专业领域具有硕士研究生指导资格的专家。博士邀请5名相关学科/专业领域具有博士研究生指导资格的专家。</w:t>
      </w:r>
    </w:p>
    <w:p w14:paraId="1111AA8B">
      <w:pPr>
        <w:spacing w:before="156" w:beforeLines="50" w:line="300" w:lineRule="auto"/>
        <w:ind w:left="480"/>
        <w:rPr>
          <w:rFonts w:eastAsia="仿宋_GB2312"/>
          <w:sz w:val="24"/>
          <w:szCs w:val="24"/>
        </w:rPr>
      </w:pPr>
      <w:r>
        <w:rPr>
          <w:rFonts w:hint="eastAsia" w:eastAsia="仿宋_GB2312"/>
          <w:sz w:val="24"/>
          <w:szCs w:val="24"/>
        </w:rPr>
        <w:t xml:space="preserve">The capstone presentation adopts a conference format, and at least three experts with master's degree guidance qualifications in relevant disciplines and professional fields are invited for the master's degree. </w:t>
      </w:r>
      <w:r>
        <w:rPr>
          <w:rFonts w:eastAsia="仿宋_GB2312"/>
          <w:sz w:val="24"/>
          <w:szCs w:val="24"/>
        </w:rPr>
        <w:t>A</w:t>
      </w:r>
      <w:r>
        <w:rPr>
          <w:rFonts w:hint="eastAsia" w:eastAsia="仿宋_GB2312"/>
          <w:sz w:val="24"/>
          <w:szCs w:val="24"/>
        </w:rPr>
        <w:t>nd</w:t>
      </w:r>
      <w:r>
        <w:rPr>
          <w:rFonts w:eastAsia="仿宋_GB2312"/>
          <w:sz w:val="24"/>
          <w:szCs w:val="24"/>
        </w:rPr>
        <w:t xml:space="preserve"> five</w:t>
      </w:r>
      <w:r>
        <w:rPr>
          <w:rFonts w:hint="eastAsia" w:eastAsia="仿宋_GB2312"/>
          <w:sz w:val="24"/>
          <w:szCs w:val="24"/>
        </w:rPr>
        <w:t xml:space="preserve"> experts with doctoral guidance qualifications in relevant disciplines/professional fields are invited for doctoral guidance.</w:t>
      </w:r>
    </w:p>
    <w:p w14:paraId="4B2BDDF0">
      <w:pPr>
        <w:spacing w:before="156" w:beforeLines="50" w:line="300" w:lineRule="auto"/>
        <w:ind w:left="480"/>
        <w:rPr>
          <w:rFonts w:eastAsia="仿宋_GB2312"/>
          <w:sz w:val="24"/>
          <w:szCs w:val="24"/>
        </w:rPr>
        <w:sectPr>
          <w:footerReference r:id="rId5" w:type="first"/>
          <w:footerReference r:id="rId3" w:type="default"/>
          <w:footerReference r:id="rId4" w:type="even"/>
          <w:pgSz w:w="11906" w:h="16838"/>
          <w:pgMar w:top="1418" w:right="1588" w:bottom="1418" w:left="1588" w:header="851" w:footer="851" w:gutter="0"/>
          <w:cols w:space="425" w:num="1"/>
          <w:docGrid w:type="lines" w:linePitch="312" w:charSpace="0"/>
        </w:sect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520"/>
      </w:tblGrid>
      <w:tr w14:paraId="6D2D214E">
        <w:trPr>
          <w:jc w:val="center"/>
        </w:trPr>
        <w:tc>
          <w:tcPr>
            <w:tcW w:w="2127" w:type="dxa"/>
            <w:shd w:val="clear" w:color="auto" w:fill="auto"/>
            <w:vAlign w:val="center"/>
          </w:tcPr>
          <w:p w14:paraId="3DA4C7FC">
            <w:pPr>
              <w:spacing w:line="360" w:lineRule="auto"/>
              <w:rPr>
                <w:rFonts w:eastAsia="仿宋_GB2312"/>
                <w:sz w:val="24"/>
              </w:rPr>
            </w:pPr>
            <w:permStart w:id="10" w:edGrp="everyone" w:colFirst="1" w:colLast="1"/>
            <w:r>
              <w:rPr>
                <w:rFonts w:eastAsia="仿宋_GB2312"/>
                <w:sz w:val="24"/>
              </w:rPr>
              <w:t>论文题目</w:t>
            </w:r>
          </w:p>
          <w:p w14:paraId="5656BD2F">
            <w:pPr>
              <w:spacing w:line="360" w:lineRule="auto"/>
              <w:rPr>
                <w:rFonts w:eastAsia="仿宋_GB2312"/>
                <w:sz w:val="24"/>
              </w:rPr>
            </w:pPr>
            <w:r>
              <w:rPr>
                <w:rFonts w:eastAsia="仿宋_GB2312"/>
                <w:sz w:val="24"/>
              </w:rPr>
              <w:t>Proposed Title</w:t>
            </w:r>
          </w:p>
        </w:tc>
        <w:tc>
          <w:tcPr>
            <w:tcW w:w="6520" w:type="dxa"/>
            <w:shd w:val="clear" w:color="auto" w:fill="auto"/>
            <w:vAlign w:val="center"/>
          </w:tcPr>
          <w:p w14:paraId="66BEC79E">
            <w:pPr>
              <w:spacing w:line="360" w:lineRule="auto"/>
              <w:rPr>
                <w:rFonts w:eastAsia="华文仿宋"/>
                <w:b/>
                <w:sz w:val="24"/>
              </w:rPr>
            </w:pPr>
            <w:r>
              <w:rPr>
                <w:rFonts w:hint="eastAsia" w:eastAsia="华文仿宋"/>
                <w:b/>
                <w:sz w:val="24"/>
              </w:rPr>
              <w:t>基于视觉语言模型的时空信道预测方法</w:t>
            </w:r>
          </w:p>
        </w:tc>
      </w:tr>
      <w:permEnd w:id="10"/>
      <w:tr w14:paraId="256B6299">
        <w:trPr>
          <w:jc w:val="center"/>
        </w:trPr>
        <w:tc>
          <w:tcPr>
            <w:tcW w:w="2127" w:type="dxa"/>
            <w:shd w:val="clear" w:color="auto" w:fill="auto"/>
            <w:vAlign w:val="center"/>
          </w:tcPr>
          <w:p w14:paraId="5653096D">
            <w:pPr>
              <w:spacing w:line="360" w:lineRule="auto"/>
              <w:rPr>
                <w:rFonts w:eastAsia="仿宋_GB2312"/>
                <w:sz w:val="24"/>
              </w:rPr>
            </w:pPr>
            <w:r>
              <w:rPr>
                <w:rFonts w:eastAsia="仿宋_GB2312"/>
                <w:sz w:val="24"/>
              </w:rPr>
              <w:t>研究课题来源</w:t>
            </w:r>
          </w:p>
          <w:p w14:paraId="4C792CF8">
            <w:pPr>
              <w:spacing w:line="360" w:lineRule="auto"/>
              <w:rPr>
                <w:rFonts w:eastAsia="仿宋_GB2312"/>
                <w:sz w:val="24"/>
              </w:rPr>
            </w:pPr>
            <w:r>
              <w:rPr>
                <w:rFonts w:eastAsia="仿宋_GB2312"/>
                <w:sz w:val="24"/>
              </w:rPr>
              <w:t>Source of Research Project</w:t>
            </w:r>
          </w:p>
        </w:tc>
        <w:tc>
          <w:tcPr>
            <w:tcW w:w="6520" w:type="dxa"/>
            <w:shd w:val="clear" w:color="auto" w:fill="auto"/>
          </w:tcPr>
          <w:p w14:paraId="587E94E5">
            <w:pPr>
              <w:spacing w:line="300" w:lineRule="auto"/>
              <w:jc w:val="left"/>
              <w:rPr>
                <w:rFonts w:ascii="华文仿宋" w:hAnsi="华文仿宋" w:eastAsia="华文仿宋"/>
                <w:sz w:val="24"/>
              </w:rPr>
            </w:pPr>
            <w:r>
              <w:rPr>
                <w:rFonts w:ascii="华文仿宋" w:hAnsi="华文仿宋" w:eastAsia="华文仿宋"/>
                <w:sz w:val="24"/>
              </w:rPr>
              <w:t>请在合适选项前画</w:t>
            </w:r>
            <w:r>
              <w:rPr>
                <w:rFonts w:hint="eastAsia" w:ascii="华文仿宋" w:hAnsi="华文仿宋" w:eastAsia="华文仿宋"/>
                <w:sz w:val="24"/>
              </w:rPr>
              <w:t>√</w:t>
            </w:r>
            <w:r>
              <w:rPr>
                <w:rFonts w:eastAsia="华文仿宋"/>
                <w:sz w:val="24"/>
              </w:rPr>
              <w:t xml:space="preserve"> Please select proper options by </w:t>
            </w:r>
            <w:r>
              <w:rPr>
                <w:rFonts w:ascii="华文仿宋" w:hAnsi="华文仿宋" w:eastAsia="华文仿宋"/>
                <w:sz w:val="24"/>
              </w:rPr>
              <w:t>“</w:t>
            </w:r>
            <w:r>
              <w:rPr>
                <w:rFonts w:hint="eastAsia" w:ascii="华文仿宋" w:hAnsi="华文仿宋" w:eastAsia="华文仿宋"/>
                <w:sz w:val="24"/>
              </w:rPr>
              <w:t>√</w:t>
            </w:r>
            <w:r>
              <w:rPr>
                <w:rFonts w:ascii="华文仿宋" w:hAnsi="华文仿宋" w:eastAsia="华文仿宋"/>
                <w:sz w:val="24"/>
              </w:rPr>
              <w:t>”</w:t>
            </w:r>
            <w:r>
              <w:rPr>
                <w:rFonts w:hint="eastAsia" w:ascii="华文仿宋" w:hAnsi="华文仿宋" w:eastAsia="华文仿宋"/>
                <w:sz w:val="24"/>
              </w:rPr>
              <w:t>.</w:t>
            </w:r>
          </w:p>
          <w:p w14:paraId="27DE33DB">
            <w:pPr>
              <w:spacing w:line="300" w:lineRule="auto"/>
              <w:jc w:val="left"/>
              <w:rPr>
                <w:rFonts w:eastAsia="仿宋_GB2312"/>
                <w:sz w:val="24"/>
              </w:rPr>
            </w:pPr>
            <w:sdt>
              <w:sdtPr>
                <w:rPr>
                  <w:rFonts w:ascii="华文仿宋" w:hAnsi="华文仿宋" w:eastAsia="华文仿宋"/>
                  <w:sz w:val="24"/>
                </w:rPr>
                <w:alias w:val="source"/>
                <w:tag w:val="source"/>
                <w:id w:val="1349448350"/>
                <w:lock w:val="sdtLocked"/>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国家自然科学基金课题</w:t>
            </w:r>
            <w:r>
              <w:rPr>
                <w:rFonts w:eastAsia="仿宋_GB2312"/>
                <w:sz w:val="24"/>
              </w:rPr>
              <w:t xml:space="preserve"> NSFC Research Grants</w:t>
            </w:r>
          </w:p>
          <w:p w14:paraId="106769F9">
            <w:pPr>
              <w:spacing w:line="300" w:lineRule="auto"/>
              <w:jc w:val="left"/>
              <w:rPr>
                <w:rFonts w:eastAsia="仿宋_GB2312"/>
                <w:sz w:val="24"/>
              </w:rPr>
            </w:pPr>
            <w:sdt>
              <w:sdtPr>
                <w:rPr>
                  <w:rFonts w:ascii="华文仿宋" w:hAnsi="华文仿宋" w:eastAsia="华文仿宋"/>
                  <w:sz w:val="24"/>
                </w:rPr>
                <w:alias w:val="source"/>
                <w:tag w:val="source"/>
                <w:id w:val="324451707"/>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727851A1">
            <w:pPr>
              <w:spacing w:line="300" w:lineRule="auto"/>
              <w:jc w:val="left"/>
              <w:rPr>
                <w:rFonts w:ascii="华文仿宋" w:hAnsi="华文仿宋" w:eastAsia="华文仿宋"/>
                <w:sz w:val="24"/>
              </w:rPr>
            </w:pPr>
            <w:sdt>
              <w:sdtPr>
                <w:rPr>
                  <w:rFonts w:ascii="华文仿宋" w:hAnsi="华文仿宋" w:eastAsia="华文仿宋"/>
                  <w:sz w:val="24"/>
                </w:rPr>
                <w:alias w:val="source"/>
                <w:tag w:val="source"/>
                <w:id w:val="226734177"/>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0B43F012">
            <w:pPr>
              <w:spacing w:line="300" w:lineRule="auto"/>
              <w:jc w:val="left"/>
              <w:rPr>
                <w:rFonts w:ascii="华文仿宋" w:hAnsi="华文仿宋" w:eastAsia="华文仿宋"/>
                <w:sz w:val="24"/>
              </w:rPr>
            </w:pPr>
            <w:sdt>
              <w:sdtPr>
                <w:rPr>
                  <w:rFonts w:ascii="华文仿宋" w:hAnsi="华文仿宋" w:eastAsia="华文仿宋"/>
                  <w:sz w:val="24"/>
                </w:rPr>
                <w:alias w:val="source"/>
                <w:tag w:val="source"/>
                <w:id w:val="391838394"/>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permEnd w:id="14"/>
              </w:sdtContent>
            </w:sdt>
            <w:r>
              <w:rPr>
                <w:rFonts w:ascii="华文仿宋" w:hAnsi="华文仿宋" w:eastAsia="华文仿宋"/>
                <w:sz w:val="24"/>
              </w:rPr>
              <w:t xml:space="preserve"> 其它纵向科研课题 </w:t>
            </w:r>
            <w:r>
              <w:rPr>
                <w:rFonts w:eastAsia="仿宋_GB2312"/>
                <w:sz w:val="24"/>
              </w:rPr>
              <w:t>Other Governmental Research Grants</w:t>
            </w:r>
          </w:p>
          <w:p w14:paraId="1D8FE601">
            <w:pPr>
              <w:spacing w:line="300" w:lineRule="auto"/>
              <w:jc w:val="left"/>
              <w:rPr>
                <w:rFonts w:ascii="华文仿宋" w:hAnsi="华文仿宋" w:eastAsia="华文仿宋"/>
                <w:sz w:val="24"/>
              </w:rPr>
            </w:pPr>
            <w:sdt>
              <w:sdtPr>
                <w:rPr>
                  <w:rFonts w:ascii="华文仿宋" w:hAnsi="华文仿宋" w:eastAsia="华文仿宋"/>
                  <w:sz w:val="24"/>
                </w:rPr>
                <w:alias w:val="source"/>
                <w:tag w:val="source"/>
                <w:id w:val="723414340"/>
                <w14:checkbox>
                  <w14:checked w14:val="0"/>
                  <w14:checkedState w14:val="221A" w14:font="宋体"/>
                  <w14:uncheckedState w14:val="2610" w14:font="MS Gothic"/>
                </w14:checkbox>
              </w:sdtPr>
              <w:sdtEndPr>
                <w:rPr>
                  <w:rFonts w:ascii="华文仿宋" w:hAnsi="华文仿宋" w:eastAsia="华文仿宋"/>
                  <w:sz w:val="24"/>
                </w:rPr>
              </w:sdtEndPr>
              <w:sdtContent>
                <w:permStart w:id="15" w:edGrp="everyone"/>
                <w:r>
                  <w:rPr>
                    <w:rFonts w:hint="eastAsia" w:ascii="MS Gothic" w:hAnsi="MS Gothic" w:eastAsia="MS Gothic"/>
                    <w:sz w:val="24"/>
                  </w:rPr>
                  <w:t>☐</w:t>
                </w:r>
                <w:permEnd w:id="15"/>
              </w:sdtContent>
            </w:sdt>
            <w:r>
              <w:rPr>
                <w:rFonts w:ascii="华文仿宋" w:hAnsi="华文仿宋" w:eastAsia="华文仿宋"/>
                <w:sz w:val="24"/>
              </w:rPr>
              <w:t xml:space="preserve"> </w:t>
            </w:r>
            <w:r>
              <w:rPr>
                <w:rFonts w:hint="eastAsia" w:ascii="华文仿宋" w:hAnsi="华文仿宋" w:eastAsia="华文仿宋"/>
                <w:sz w:val="24"/>
              </w:rPr>
              <w:t>企</w:t>
            </w:r>
            <w:r>
              <w:rPr>
                <w:rFonts w:ascii="华文仿宋" w:hAnsi="华文仿宋" w:eastAsia="华文仿宋"/>
                <w:sz w:val="24"/>
              </w:rPr>
              <w:t>业横向课题</w:t>
            </w:r>
            <w:r>
              <w:rPr>
                <w:rFonts w:eastAsia="仿宋_GB2312"/>
                <w:sz w:val="24"/>
              </w:rPr>
              <w:t xml:space="preserve"> R&amp;D Projects from Industry</w:t>
            </w:r>
          </w:p>
          <w:p w14:paraId="02AC289C">
            <w:pPr>
              <w:spacing w:line="300" w:lineRule="auto"/>
              <w:jc w:val="left"/>
              <w:rPr>
                <w:rFonts w:eastAsia="仿宋_GB2312"/>
                <w:sz w:val="24"/>
              </w:rPr>
            </w:pPr>
            <w:sdt>
              <w:sdtPr>
                <w:rPr>
                  <w:rFonts w:ascii="华文仿宋" w:hAnsi="华文仿宋" w:eastAsia="华文仿宋"/>
                  <w:sz w:val="24"/>
                </w:rPr>
                <w:alias w:val="source"/>
                <w:tag w:val="source"/>
                <w:id w:val="990681279"/>
                <w14:checkbox>
                  <w14:checked w14:val="1"/>
                  <w14:checkedState w14:val="221A" w14:font="宋体"/>
                  <w14:uncheckedState w14:val="2610" w14:font="MS Gothic"/>
                </w14:checkbox>
              </w:sdtPr>
              <w:sdtEndPr>
                <w:rPr>
                  <w:rFonts w:ascii="华文仿宋" w:hAnsi="华文仿宋" w:eastAsia="华文仿宋"/>
                  <w:sz w:val="24"/>
                </w:rPr>
              </w:sdtEndPr>
              <w:sdtContent>
                <w:r>
                  <w:rPr>
                    <w:rFonts w:hint="eastAsia" w:ascii="宋体" w:hAnsi="宋体" w:eastAsia="MS Gothic"/>
                    <w:sz w:val="24"/>
                  </w:rPr>
                  <w:t>√</w:t>
                </w:r>
              </w:sdtContent>
            </w:sdt>
            <w:r>
              <w:rPr>
                <w:rFonts w:ascii="华文仿宋" w:hAnsi="华文仿宋" w:eastAsia="华文仿宋"/>
                <w:sz w:val="24"/>
              </w:rPr>
              <w:t xml:space="preserve"> 自拟课题 </w:t>
            </w:r>
            <w:r>
              <w:rPr>
                <w:rFonts w:eastAsia="仿宋_GB2312"/>
                <w:sz w:val="24"/>
              </w:rPr>
              <w:t>Self-proposed Project</w:t>
            </w:r>
          </w:p>
          <w:p w14:paraId="75606926">
            <w:pPr>
              <w:spacing w:line="300" w:lineRule="auto"/>
              <w:jc w:val="left"/>
              <w:rPr>
                <w:rFonts w:eastAsia="仿宋_GB2312"/>
                <w:sz w:val="24"/>
              </w:rPr>
            </w:pPr>
            <w:sdt>
              <w:sdtPr>
                <w:rPr>
                  <w:rFonts w:ascii="华文仿宋" w:hAnsi="华文仿宋" w:eastAsia="华文仿宋"/>
                  <w:sz w:val="24"/>
                </w:rPr>
                <w:alias w:val="source"/>
                <w:tag w:val="source"/>
                <w:id w:val="88521187"/>
                <w14:checkbox>
                  <w14:checked w14:val="0"/>
                  <w14:checkedState w14:val="221A" w14:font="宋体"/>
                  <w14:uncheckedState w14:val="2610" w14:font="MS Gothic"/>
                </w14:checkbox>
              </w:sdtPr>
              <w:sdtEndPr>
                <w:rPr>
                  <w:rFonts w:ascii="华文仿宋" w:hAnsi="华文仿宋" w:eastAsia="华文仿宋"/>
                  <w:sz w:val="24"/>
                </w:rPr>
              </w:sdtEndPr>
              <w:sdtContent>
                <w:permStart w:id="16" w:edGrp="everyone"/>
                <w:r>
                  <w:rPr>
                    <w:rFonts w:hint="eastAsia" w:ascii="MS Gothic" w:hAnsi="MS Gothic" w:eastAsia="MS Gothic"/>
                    <w:sz w:val="24"/>
                  </w:rPr>
                  <w:t>☐</w:t>
                </w:r>
                <w:permEnd w:id="16"/>
              </w:sdtContent>
            </w:sdt>
            <w:r>
              <w:rPr>
                <w:rFonts w:ascii="华文仿宋" w:hAnsi="华文仿宋" w:eastAsia="华文仿宋"/>
                <w:sz w:val="24"/>
              </w:rPr>
              <w:t xml:space="preserve"> </w:t>
            </w:r>
            <w:r>
              <w:rPr>
                <w:rFonts w:hint="eastAsia" w:ascii="华文仿宋" w:hAnsi="华文仿宋" w:eastAsia="华文仿宋"/>
                <w:sz w:val="24"/>
              </w:rPr>
              <w:t xml:space="preserve">其它 </w:t>
            </w:r>
            <w:r>
              <w:rPr>
                <w:rFonts w:hint="eastAsia" w:eastAsia="仿宋_GB2312"/>
                <w:sz w:val="24"/>
              </w:rPr>
              <w:t xml:space="preserve">Other </w:t>
            </w:r>
            <w:permStart w:id="17" w:edGrp="everyone"/>
            <w:r>
              <w:rPr>
                <w:rFonts w:hint="eastAsia" w:ascii="华文仿宋" w:hAnsi="华文仿宋" w:eastAsia="华文仿宋"/>
                <w:sz w:val="24"/>
                <w:u w:val="single"/>
              </w:rPr>
              <w:t xml:space="preserve">                                    </w:t>
            </w:r>
            <w:permEnd w:id="17"/>
          </w:p>
        </w:tc>
      </w:tr>
    </w:tbl>
    <w:p w14:paraId="0BFD3EC6">
      <w:pPr>
        <w:numPr>
          <w:ilvl w:val="0"/>
          <w:numId w:val="2"/>
        </w:numPr>
        <w:spacing w:before="240" w:after="240"/>
        <w:rPr>
          <w:rFonts w:eastAsia="仿宋_GB2312"/>
          <w:b/>
          <w:sz w:val="24"/>
        </w:rPr>
      </w:pPr>
      <w:r>
        <w:rPr>
          <w:rFonts w:eastAsia="仿宋_GB2312"/>
          <w:b/>
          <w:sz w:val="24"/>
        </w:rPr>
        <w:t>请综述课题</w:t>
      </w:r>
      <w:bookmarkStart w:id="2" w:name="OLE_LINK6"/>
      <w:bookmarkStart w:id="3" w:name="OLE_LINK5"/>
      <w:r>
        <w:rPr>
          <w:rFonts w:eastAsia="仿宋_GB2312"/>
          <w:b/>
          <w:sz w:val="24"/>
        </w:rPr>
        <w:t>国内外研究进展、现状</w:t>
      </w:r>
      <w:bookmarkEnd w:id="2"/>
      <w:bookmarkEnd w:id="3"/>
      <w:r>
        <w:rPr>
          <w:rFonts w:eastAsia="仿宋_GB2312"/>
          <w:b/>
          <w:sz w:val="24"/>
        </w:rPr>
        <w:t>、挑战与意义，可分节描述</w:t>
      </w:r>
      <w:r>
        <w:rPr>
          <w:rFonts w:hint="eastAsia" w:eastAsia="仿宋_GB2312"/>
          <w:b/>
          <w:sz w:val="24"/>
        </w:rPr>
        <w:t>。</w:t>
      </w:r>
      <w:r>
        <w:rPr>
          <w:rFonts w:eastAsia="仿宋_GB2312"/>
          <w:b/>
          <w:sz w:val="24"/>
        </w:rPr>
        <w:t>博士生不少于10,000汉字</w:t>
      </w:r>
      <w:r>
        <w:rPr>
          <w:rFonts w:hint="eastAsia" w:eastAsia="仿宋_GB2312"/>
          <w:b/>
          <w:sz w:val="24"/>
        </w:rPr>
        <w:t>，</w:t>
      </w:r>
      <w:r>
        <w:rPr>
          <w:rFonts w:eastAsia="仿宋_GB2312"/>
          <w:b/>
          <w:sz w:val="24"/>
        </w:rPr>
        <w:t>硕士生不少于</w:t>
      </w:r>
      <w:r>
        <w:rPr>
          <w:rFonts w:hint="eastAsia" w:eastAsia="仿宋_GB2312"/>
          <w:b/>
          <w:sz w:val="24"/>
        </w:rPr>
        <w:t>5</w:t>
      </w:r>
      <w:r>
        <w:rPr>
          <w:rFonts w:eastAsia="仿宋_GB2312"/>
          <w:b/>
          <w:sz w:val="24"/>
        </w:rPr>
        <w:t>,</w:t>
      </w:r>
      <w:r>
        <w:rPr>
          <w:rFonts w:hint="eastAsia" w:eastAsia="仿宋_GB2312"/>
          <w:b/>
          <w:sz w:val="24"/>
        </w:rPr>
        <w:t>000汉字。</w:t>
      </w:r>
      <w:r>
        <w:rPr>
          <w:rFonts w:eastAsia="仿宋_GB2312"/>
          <w:b/>
          <w:sz w:val="24"/>
        </w:rPr>
        <w:t>请在文中标注参考文献。 Please review the frontier, current status, challenges and significance of the research topic. The citations should be marked in the context and listed in order at the end of this section. No less than 8,000 words for doctoral students and 4,000 words for master students if written in English.</w:t>
      </w:r>
    </w:p>
    <w:p w14:paraId="70D6ED10">
      <w:pPr>
        <w:snapToGrid w:val="0"/>
        <w:spacing w:before="156" w:beforeLines="50" w:line="300" w:lineRule="auto"/>
        <w:ind w:firstLine="480" w:firstLineChars="200"/>
        <w:jc w:val="left"/>
        <w:rPr>
          <w:rFonts w:eastAsia="华文楷体"/>
          <w:sz w:val="24"/>
        </w:rPr>
      </w:pPr>
      <w:permStart w:id="18" w:edGrp="everyone"/>
    </w:p>
    <w:p w14:paraId="5D32C677">
      <w:pPr>
        <w:pStyle w:val="21"/>
        <w:numPr>
          <w:ilvl w:val="0"/>
          <w:numId w:val="3"/>
        </w:numPr>
        <w:snapToGrid w:val="0"/>
        <w:spacing w:before="156" w:beforeLines="50" w:line="300" w:lineRule="auto"/>
        <w:ind w:firstLineChars="0"/>
        <w:jc w:val="left"/>
        <w:rPr>
          <w:rFonts w:eastAsia="华文楷体"/>
          <w:sz w:val="24"/>
        </w:rPr>
      </w:pPr>
      <w:r>
        <w:rPr>
          <w:rFonts w:hint="eastAsia" w:eastAsia="华文楷体"/>
          <w:sz w:val="24"/>
        </w:rPr>
        <w:t>研究</w:t>
      </w:r>
      <w:r>
        <w:rPr>
          <w:rFonts w:eastAsia="华文楷体"/>
          <w:sz w:val="24"/>
        </w:rPr>
        <w:t>意义</w:t>
      </w:r>
    </w:p>
    <w:p w14:paraId="6EB0888B">
      <w:pPr>
        <w:snapToGrid w:val="0"/>
        <w:spacing w:before="156" w:beforeLines="50" w:line="300" w:lineRule="auto"/>
        <w:ind w:firstLine="420"/>
        <w:jc w:val="left"/>
        <w:rPr>
          <w:rFonts w:eastAsia="华文楷体"/>
          <w:sz w:val="24"/>
        </w:rPr>
      </w:pPr>
      <w:r>
        <w:rPr>
          <w:rFonts w:hint="eastAsia" w:eastAsia="华文楷体"/>
          <w:sz w:val="24"/>
        </w:rPr>
        <w:t>随着第六代移动通信（6G）技术体系向毫米波（</w:t>
      </w:r>
      <w:r>
        <w:rPr>
          <w:rFonts w:eastAsia="华文楷体"/>
          <w:sz w:val="24"/>
        </w:rPr>
        <w:t xml:space="preserve">Millimeter Wave, </w:t>
      </w:r>
      <w:r>
        <w:rPr>
          <w:rFonts w:hint="eastAsia" w:eastAsia="华文楷体"/>
          <w:sz w:val="24"/>
        </w:rPr>
        <w:t>mmWave）乃至太赫兹（</w:t>
      </w:r>
      <w:r>
        <w:rPr>
          <w:rFonts w:eastAsia="华文楷体"/>
          <w:sz w:val="24"/>
        </w:rPr>
        <w:t>Terahertz</w:t>
      </w:r>
      <w:r>
        <w:rPr>
          <w:rFonts w:hint="eastAsia" w:eastAsia="华文楷体"/>
          <w:sz w:val="24"/>
        </w:rPr>
        <w:t>,</w:t>
      </w:r>
      <w:r>
        <w:rPr>
          <w:rFonts w:eastAsia="华文楷体"/>
          <w:sz w:val="24"/>
        </w:rPr>
        <w:t xml:space="preserve"> </w:t>
      </w:r>
      <w:r>
        <w:rPr>
          <w:rFonts w:hint="eastAsia" w:eastAsia="华文楷体"/>
          <w:sz w:val="24"/>
        </w:rPr>
        <w:t>THz）频段演进，无线通信环境正经历前所未有的复杂化变革。在高频段通信中，波长缩短至毫米级，导致信道对环境微动、散射体分布及终端移动性极度敏感。特别是在高铁、低轨卫星、车联网等高速移动场景，或工业互联网等复杂散射环境下，多普勒频移与多径效应的耦合使得信道相干时间急剧缩短。这种高度的非平稳性与动态复杂性引发了严重的信道老化（Channel Aging）效应，即基站端获取的信道状态信息（</w:t>
      </w:r>
      <w:r>
        <w:rPr>
          <w:rFonts w:eastAsia="华文楷体"/>
          <w:sz w:val="24"/>
        </w:rPr>
        <w:t xml:space="preserve">Channel State Information, </w:t>
      </w:r>
      <w:r>
        <w:rPr>
          <w:rFonts w:hint="eastAsia" w:eastAsia="华文楷体"/>
          <w:sz w:val="24"/>
        </w:rPr>
        <w:t>CSI）在用于波束赋形或预编码时已不再匹配当前的信道环境。信道老化会导致波束指向偏差、干扰对齐失效，进而造成大规模多输入多输出（</w:t>
      </w:r>
      <w:r>
        <w:rPr>
          <w:rFonts w:eastAsia="华文楷体"/>
          <w:sz w:val="24"/>
        </w:rPr>
        <w:t>Multiple Input Multiple Output</w:t>
      </w:r>
      <w:r>
        <w:rPr>
          <w:rFonts w:hint="eastAsia" w:eastAsia="华文楷体"/>
          <w:sz w:val="24"/>
        </w:rPr>
        <w:t>,</w:t>
      </w:r>
      <w:r>
        <w:rPr>
          <w:rFonts w:eastAsia="华文楷体"/>
          <w:sz w:val="24"/>
        </w:rPr>
        <w:t xml:space="preserve"> </w:t>
      </w:r>
      <w:r>
        <w:rPr>
          <w:rFonts w:hint="eastAsia" w:eastAsia="华文楷体"/>
          <w:sz w:val="24"/>
        </w:rPr>
        <w:t>MIMO）系统的频谱效率下降。一般来说，传统的信道反馈与估计机制依赖高频次的导频开销</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_Ref217550470 \r \h</w:instrText>
      </w:r>
      <w:r>
        <w:rPr>
          <w:rFonts w:eastAsia="华文楷体"/>
          <w:sz w:val="24"/>
        </w:rPr>
        <w:instrText xml:space="preserve"> </w:instrText>
      </w:r>
      <w:r>
        <w:rPr>
          <w:rFonts w:eastAsia="华文楷体"/>
          <w:sz w:val="24"/>
        </w:rPr>
        <w:fldChar w:fldCharType="separate"/>
      </w:r>
      <w:r>
        <w:rPr>
          <w:rFonts w:eastAsia="华文楷体"/>
          <w:sz w:val="24"/>
        </w:rPr>
        <w:t>[1]</w:t>
      </w:r>
      <w:r>
        <w:rPr>
          <w:rFonts w:eastAsia="华文楷体"/>
          <w:sz w:val="24"/>
        </w:rPr>
        <w:fldChar w:fldCharType="end"/>
      </w:r>
      <w:r>
        <w:rPr>
          <w:rFonts w:eastAsia="华文楷体"/>
          <w:sz w:val="24"/>
        </w:rPr>
        <w:t>，</w:t>
      </w:r>
      <w:r>
        <w:rPr>
          <w:rFonts w:hint="eastAsia" w:eastAsia="华文楷体"/>
          <w:sz w:val="24"/>
        </w:rPr>
        <w:t>当数据量增加时，导频开销往往成比例增加，这在超大规模天线阵列背景下是不可持续的。因此，采用高效的信道预测机制，利用历史观测得到的CSI推演未来CSI，成为解决老化问题、实现减少导频开销的关键突破口。</w:t>
      </w:r>
    </w:p>
    <w:p w14:paraId="473E455A">
      <w:pPr>
        <w:snapToGrid w:val="0"/>
        <w:spacing w:before="156" w:beforeLines="50" w:line="300" w:lineRule="auto"/>
        <w:ind w:firstLine="420"/>
        <w:jc w:val="left"/>
        <w:rPr>
          <w:rFonts w:eastAsia="华文楷体"/>
          <w:sz w:val="24"/>
        </w:rPr>
      </w:pPr>
      <w:r>
        <w:rPr>
          <w:rFonts w:hint="eastAsia" w:eastAsia="华文楷体"/>
          <w:sz w:val="24"/>
        </w:rPr>
        <w:t>精确信道预测的实现，取决于我们能否对无线传输的射频信号（Radio Frequency Signal, RF Signal）进行深度的表征。射频信号通常被定义为频率范围在 3 kHz 至 300 GHz 之间的电磁波，它作为连接发射机与接收机的物理纽带，不仅承载着数据比特，更因其在传播过程中与物理环境的交互（如反射、散射、衍射），成为了记录空间结构与动态变化的载体。具体而言，这一物理过程在数学上呈现为两种对偶的表征形式：信道脉冲响应（Channel Impulse Response, CIR）与信道频率响应（Channel Frequency Response, CFR）。CIR 在时延域上精确刻画了多径分量的稀疏分布及其在时间轴上的到达逻辑，反映了多径效应的时序特征；而 CFR 则作为 CIR 的频域映射，通过对CIR做傅里叶变换展现了信号在不同子载波处的幅度起伏与相位旋转，揭示了信道在频域维度的结构化特征。这两者共同构成了对射频信号物理特性的完整描述。</w:t>
      </w:r>
    </w:p>
    <w:p w14:paraId="1F33899C">
      <w:pPr>
        <w:pStyle w:val="21"/>
        <w:numPr>
          <w:ilvl w:val="0"/>
          <w:numId w:val="3"/>
        </w:numPr>
        <w:snapToGrid w:val="0"/>
        <w:spacing w:before="156" w:beforeLines="50" w:line="300" w:lineRule="auto"/>
        <w:ind w:firstLineChars="0"/>
        <w:jc w:val="left"/>
        <w:rPr>
          <w:rFonts w:eastAsia="华文楷体"/>
          <w:sz w:val="24"/>
        </w:rPr>
      </w:pPr>
      <w:r>
        <w:rPr>
          <w:rFonts w:hint="eastAsia" w:eastAsia="华文楷体"/>
          <w:sz w:val="24"/>
        </w:rPr>
        <w:t>国内外研究现状</w:t>
      </w:r>
    </w:p>
    <w:p w14:paraId="3DD1E137">
      <w:pPr>
        <w:pStyle w:val="21"/>
        <w:numPr>
          <w:ilvl w:val="0"/>
          <w:numId w:val="4"/>
        </w:numPr>
        <w:snapToGrid w:val="0"/>
        <w:spacing w:before="156" w:beforeLines="50" w:line="300" w:lineRule="auto"/>
        <w:ind w:firstLineChars="0"/>
        <w:jc w:val="left"/>
        <w:rPr>
          <w:rFonts w:eastAsia="华文楷体"/>
          <w:sz w:val="24"/>
        </w:rPr>
      </w:pPr>
      <w:r>
        <w:rPr>
          <w:rFonts w:hint="eastAsia" w:eastAsia="华文楷体"/>
          <w:sz w:val="24"/>
        </w:rPr>
        <w:t>信道预测技术的国内外研究现状</w:t>
      </w:r>
    </w:p>
    <w:p w14:paraId="6B12CC6D">
      <w:pPr>
        <w:snapToGrid w:val="0"/>
        <w:spacing w:before="156" w:beforeLines="50" w:line="300" w:lineRule="auto"/>
        <w:ind w:firstLine="420"/>
        <w:jc w:val="left"/>
        <w:rPr>
          <w:rFonts w:eastAsia="华文楷体"/>
          <w:sz w:val="24"/>
        </w:rPr>
      </w:pPr>
      <w:r>
        <w:rPr>
          <w:rFonts w:hint="eastAsia" w:eastAsia="华文楷体"/>
          <w:sz w:val="24"/>
        </w:rPr>
        <w:t>纵观国内外研究进展，无线信道预测技术的发展经历了从基于模型的方法到基于深度学习方法的演进。</w:t>
      </w:r>
    </w:p>
    <w:p w14:paraId="2BBEBE03">
      <w:pPr>
        <w:pStyle w:val="21"/>
        <w:numPr>
          <w:ilvl w:val="0"/>
          <w:numId w:val="5"/>
        </w:numPr>
        <w:snapToGrid w:val="0"/>
        <w:spacing w:before="156" w:beforeLines="50" w:line="300" w:lineRule="auto"/>
        <w:ind w:firstLineChars="0"/>
        <w:jc w:val="left"/>
        <w:rPr>
          <w:rFonts w:eastAsia="华文楷体"/>
          <w:sz w:val="24"/>
        </w:rPr>
      </w:pPr>
      <w:r>
        <w:rPr>
          <w:rFonts w:eastAsia="华文楷体"/>
          <w:sz w:val="24"/>
        </w:rPr>
        <w:t>基于模型的方法</w:t>
      </w:r>
    </w:p>
    <w:p w14:paraId="0D6A1D5C">
      <w:pPr>
        <w:snapToGrid w:val="0"/>
        <w:spacing w:before="156" w:beforeLines="50" w:line="300" w:lineRule="auto"/>
        <w:ind w:firstLine="420"/>
        <w:jc w:val="left"/>
        <w:rPr>
          <w:rFonts w:eastAsia="华文楷体"/>
          <w:sz w:val="24"/>
        </w:rPr>
      </w:pPr>
      <w:r>
        <w:rPr>
          <w:rFonts w:hint="eastAsia" w:eastAsia="华文楷体"/>
          <w:sz w:val="24"/>
        </w:rPr>
        <w:t>基于模型的信道预测主要依赖于数学建模和统计信号的处理。具体来说，基于模型的通道预测首先为通道序列构建参数模型，然后根据过去的通道估计模型的参数，最终它使用已建立的模型来预测未来的频道。例如，自回归（</w:t>
      </w:r>
      <w:r>
        <w:rPr>
          <w:rFonts w:eastAsia="华文楷体"/>
          <w:sz w:val="24"/>
        </w:rPr>
        <w:t>Auto Regression</w:t>
      </w:r>
      <w:r>
        <w:rPr>
          <w:rFonts w:hint="eastAsia" w:eastAsia="华文楷体"/>
          <w:sz w:val="24"/>
        </w:rPr>
        <w:t>,</w:t>
      </w:r>
      <w:r>
        <w:rPr>
          <w:rFonts w:eastAsia="华文楷体"/>
          <w:sz w:val="24"/>
        </w:rPr>
        <w:t xml:space="preserve"> </w:t>
      </w:r>
      <w:r>
        <w:rPr>
          <w:rFonts w:hint="eastAsia" w:eastAsia="华文楷体"/>
          <w:sz w:val="24"/>
        </w:rPr>
        <w:t>AR）</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_Ref217550937 \r \h</w:instrText>
      </w:r>
      <w:r>
        <w:rPr>
          <w:rFonts w:eastAsia="华文楷体"/>
          <w:sz w:val="24"/>
        </w:rPr>
        <w:instrText xml:space="preserve"> </w:instrText>
      </w:r>
      <w:r>
        <w:rPr>
          <w:rFonts w:eastAsia="华文楷体"/>
          <w:sz w:val="24"/>
        </w:rPr>
        <w:fldChar w:fldCharType="separate"/>
      </w:r>
      <w:r>
        <w:rPr>
          <w:rFonts w:eastAsia="华文楷体"/>
          <w:sz w:val="24"/>
        </w:rPr>
        <w:t>[2]</w:t>
      </w:r>
      <w:r>
        <w:rPr>
          <w:rFonts w:eastAsia="华文楷体"/>
          <w:sz w:val="24"/>
        </w:rPr>
        <w:fldChar w:fldCharType="end"/>
      </w:r>
      <w:r>
        <w:rPr>
          <w:rFonts w:hint="eastAsia" w:eastAsia="华文楷体"/>
          <w:sz w:val="24"/>
        </w:rPr>
        <w:t>模型通过将每个通道表示为先前通道的加权和来预测未来的通道，其中权重是根据历史通道估计的</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_Ref217551026 \r \h</w:instrText>
      </w:r>
      <w:r>
        <w:rPr>
          <w:rFonts w:eastAsia="华文楷体"/>
          <w:sz w:val="24"/>
        </w:rPr>
        <w:instrText xml:space="preserve"> </w:instrText>
      </w:r>
      <w:r>
        <w:rPr>
          <w:rFonts w:eastAsia="华文楷体"/>
          <w:sz w:val="24"/>
        </w:rPr>
        <w:fldChar w:fldCharType="separate"/>
      </w:r>
      <w:r>
        <w:rPr>
          <w:rFonts w:eastAsia="华文楷体"/>
          <w:sz w:val="24"/>
        </w:rPr>
        <w:t>[3]</w:t>
      </w:r>
      <w:r>
        <w:rPr>
          <w:rFonts w:eastAsia="华文楷体"/>
          <w:sz w:val="24"/>
        </w:rPr>
        <w:fldChar w:fldCharType="end"/>
      </w:r>
      <w:r>
        <w:rPr>
          <w:rFonts w:hint="eastAsia" w:eastAsia="华文楷体"/>
          <w:sz w:val="24"/>
        </w:rPr>
        <w:t>。维纳滤波器（</w:t>
      </w:r>
      <w:r>
        <w:rPr>
          <w:rFonts w:eastAsia="华文楷体"/>
          <w:sz w:val="24"/>
        </w:rPr>
        <w:t>Wiener filter</w:t>
      </w:r>
      <w:r>
        <w:rPr>
          <w:rFonts w:hint="eastAsia" w:eastAsia="华文楷体"/>
          <w:sz w:val="24"/>
        </w:rPr>
        <w:t>）利用频域分析和统计信道模型来最小化信道的均方预测误差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_Ref217551146 \r \h</w:instrText>
      </w:r>
      <w:r>
        <w:rPr>
          <w:rFonts w:eastAsia="华文楷体"/>
          <w:sz w:val="24"/>
        </w:rPr>
        <w:instrText xml:space="preserve"> </w:instrText>
      </w:r>
      <w:r>
        <w:rPr>
          <w:rFonts w:eastAsia="华文楷体"/>
          <w:sz w:val="24"/>
        </w:rPr>
        <w:fldChar w:fldCharType="separate"/>
      </w:r>
      <w:r>
        <w:rPr>
          <w:rFonts w:eastAsia="华文楷体"/>
          <w:sz w:val="24"/>
        </w:rPr>
        <w:t>[4]</w:t>
      </w:r>
      <w:r>
        <w:rPr>
          <w:rFonts w:eastAsia="华文楷体"/>
          <w:sz w:val="24"/>
        </w:rPr>
        <w:fldChar w:fldCharType="end"/>
      </w:r>
      <w:r>
        <w:rPr>
          <w:rFonts w:eastAsia="华文楷体"/>
          <w:sz w:val="24"/>
        </w:rPr>
        <w:t>。</w:t>
      </w:r>
      <w:r>
        <w:rPr>
          <w:rFonts w:hint="eastAsia" w:eastAsia="华文楷体"/>
          <w:sz w:val="24"/>
        </w:rPr>
        <w:t>卡尔曼滤波器（</w:t>
      </w:r>
      <w:r>
        <w:rPr>
          <w:rFonts w:eastAsia="华文楷体"/>
          <w:sz w:val="24"/>
        </w:rPr>
        <w:t>Kalman filter</w:t>
      </w:r>
      <w:r>
        <w:rPr>
          <w:rFonts w:hint="eastAsia" w:eastAsia="华文楷体"/>
          <w:sz w:val="24"/>
        </w:rPr>
        <w:t>）利用状态空间模型，并通过将模型预测与实时观测融合来递归更新通道预测结果</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_Ref217550781 \r \h</w:instrText>
      </w:r>
      <w:r>
        <w:rPr>
          <w:rFonts w:eastAsia="华文楷体"/>
          <w:sz w:val="24"/>
        </w:rPr>
        <w:instrText xml:space="preserve"> </w:instrText>
      </w:r>
      <w:r>
        <w:rPr>
          <w:rFonts w:eastAsia="华文楷体"/>
          <w:sz w:val="24"/>
        </w:rPr>
        <w:fldChar w:fldCharType="separate"/>
      </w:r>
      <w:r>
        <w:rPr>
          <w:rFonts w:eastAsia="华文楷体"/>
          <w:sz w:val="24"/>
        </w:rPr>
        <w:t>[5]</w:t>
      </w:r>
      <w:r>
        <w:rPr>
          <w:rFonts w:eastAsia="华文楷体"/>
          <w:sz w:val="24"/>
        </w:rPr>
        <w:fldChar w:fldCharType="end"/>
      </w:r>
      <w:r>
        <w:rPr>
          <w:rFonts w:hint="eastAsia" w:eastAsia="华文楷体"/>
          <w:sz w:val="24"/>
        </w:rPr>
        <w:t xml:space="preserve">。 </w:t>
      </w:r>
    </w:p>
    <w:p w14:paraId="773A915E">
      <w:pPr>
        <w:snapToGrid w:val="0"/>
        <w:spacing w:before="156" w:beforeLines="50" w:line="300" w:lineRule="auto"/>
        <w:ind w:firstLine="420"/>
        <w:jc w:val="left"/>
        <w:rPr>
          <w:rFonts w:eastAsia="华文楷体"/>
          <w:sz w:val="24"/>
        </w:rPr>
      </w:pPr>
      <w:r>
        <w:rPr>
          <w:rFonts w:hint="eastAsia" w:eastAsia="华文楷体"/>
          <w:sz w:val="24"/>
        </w:rPr>
        <w:t>然而，基于模型的信道预测方法有两个主要局限性：(i</w:t>
      </w:r>
      <w:r>
        <w:rPr>
          <w:rFonts w:eastAsia="华文楷体"/>
          <w:sz w:val="24"/>
        </w:rPr>
        <w:t>)</w:t>
      </w:r>
      <w:r>
        <w:rPr>
          <w:rFonts w:hint="eastAsia" w:eastAsia="华文楷体"/>
          <w:sz w:val="24"/>
        </w:rPr>
        <w:t>基于模型的信道预测通常依赖于对无线信道时间演化的明确假设，而现实世界的信道通常处于复杂且未知的动态变化，而这些模型无法准确捕获这些动态；(ii)模型参数的估计通常涉及较高的计算复杂度，特别是在具有大型天线阵列的5G和6G系统中。</w:t>
      </w:r>
    </w:p>
    <w:p w14:paraId="54CAAAB2">
      <w:pPr>
        <w:pStyle w:val="21"/>
        <w:numPr>
          <w:ilvl w:val="0"/>
          <w:numId w:val="5"/>
        </w:numPr>
        <w:snapToGrid w:val="0"/>
        <w:spacing w:before="156" w:beforeLines="50" w:line="300" w:lineRule="auto"/>
        <w:ind w:firstLineChars="0"/>
        <w:jc w:val="left"/>
        <w:rPr>
          <w:rFonts w:eastAsia="华文楷体"/>
          <w:sz w:val="24"/>
        </w:rPr>
      </w:pPr>
      <w:r>
        <w:rPr>
          <w:rFonts w:eastAsia="华文楷体"/>
          <w:sz w:val="24"/>
        </w:rPr>
        <w:t>基于深度学习的方法</w:t>
      </w:r>
    </w:p>
    <w:p w14:paraId="17FCB451">
      <w:pPr>
        <w:snapToGrid w:val="0"/>
        <w:spacing w:before="156" w:beforeLines="50" w:line="300" w:lineRule="auto"/>
        <w:ind w:firstLine="480" w:firstLineChars="200"/>
        <w:jc w:val="left"/>
        <w:rPr>
          <w:rFonts w:eastAsia="华文楷体"/>
          <w:sz w:val="24"/>
        </w:rPr>
      </w:pPr>
      <w:r>
        <w:rPr>
          <w:rFonts w:hint="eastAsia" w:eastAsia="华文楷体"/>
          <w:sz w:val="24"/>
        </w:rPr>
        <w:t>基于深度学习的方法通常包含使用时间神经网络来预测通道，特别是循环神经网络（</w:t>
      </w:r>
      <w:r>
        <w:rPr>
          <w:rFonts w:eastAsia="华文楷体"/>
          <w:sz w:val="24"/>
        </w:rPr>
        <w:t>Recurrent Neural Network</w:t>
      </w:r>
      <w:r>
        <w:rPr>
          <w:rFonts w:hint="eastAsia" w:eastAsia="华文楷体"/>
          <w:sz w:val="24"/>
        </w:rPr>
        <w:t>,</w:t>
      </w:r>
      <w:r>
        <w:rPr>
          <w:rFonts w:eastAsia="华文楷体"/>
          <w:sz w:val="24"/>
        </w:rPr>
        <w:t xml:space="preserve"> </w:t>
      </w:r>
      <w:r>
        <w:rPr>
          <w:rFonts w:hint="eastAsia" w:eastAsia="华文楷体"/>
          <w:sz w:val="24"/>
        </w:rPr>
        <w:t>RNN）</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_Ref217551701 \r \h</w:instrText>
      </w:r>
      <w:r>
        <w:rPr>
          <w:rFonts w:eastAsia="华文楷体"/>
          <w:sz w:val="24"/>
        </w:rPr>
        <w:instrText xml:space="preserve"> </w:instrText>
      </w:r>
      <w:r>
        <w:rPr>
          <w:rFonts w:eastAsia="华文楷体"/>
          <w:sz w:val="24"/>
        </w:rPr>
        <w:fldChar w:fldCharType="separate"/>
      </w:r>
      <w:r>
        <w:rPr>
          <w:rFonts w:eastAsia="华文楷体"/>
          <w:sz w:val="24"/>
        </w:rPr>
        <w:t>[6]</w:t>
      </w:r>
      <w:r>
        <w:rPr>
          <w:rFonts w:eastAsia="华文楷体"/>
          <w:sz w:val="24"/>
        </w:rPr>
        <w:fldChar w:fldCharType="end"/>
      </w:r>
      <w:r>
        <w:rPr>
          <w:rFonts w:eastAsia="华文楷体"/>
          <w:sz w:val="24"/>
        </w:rPr>
        <w:t>及其变体</w:t>
      </w:r>
      <w:r>
        <w:rPr>
          <w:rFonts w:hint="eastAsia" w:eastAsia="华文楷体"/>
          <w:sz w:val="24"/>
        </w:rPr>
        <w:t>长短期记忆（</w:t>
      </w:r>
      <w:r>
        <w:rPr>
          <w:rFonts w:eastAsia="华文楷体"/>
          <w:sz w:val="24"/>
        </w:rPr>
        <w:t xml:space="preserve">Long Short-Term Memory, </w:t>
      </w:r>
      <w:r>
        <w:rPr>
          <w:rFonts w:hint="eastAsia" w:eastAsia="华文楷体"/>
          <w:sz w:val="24"/>
        </w:rPr>
        <w:t>LSTM）</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_Ref217551794 \r \h</w:instrText>
      </w:r>
      <w:r>
        <w:rPr>
          <w:rFonts w:eastAsia="华文楷体"/>
          <w:sz w:val="24"/>
        </w:rPr>
        <w:instrText xml:space="preserve"> </w:instrText>
      </w:r>
      <w:r>
        <w:rPr>
          <w:rFonts w:eastAsia="华文楷体"/>
          <w:sz w:val="24"/>
        </w:rPr>
        <w:fldChar w:fldCharType="separate"/>
      </w:r>
      <w:r>
        <w:rPr>
          <w:rFonts w:eastAsia="华文楷体"/>
          <w:sz w:val="24"/>
        </w:rPr>
        <w:t>[7]</w:t>
      </w:r>
      <w:r>
        <w:rPr>
          <w:rFonts w:eastAsia="华文楷体"/>
          <w:sz w:val="24"/>
        </w:rPr>
        <w:fldChar w:fldCharType="end"/>
      </w:r>
      <w:r>
        <w:rPr>
          <w:rFonts w:hint="eastAsia" w:eastAsia="华文楷体"/>
          <w:sz w:val="24"/>
        </w:rPr>
        <w:t>网络和门控循环单元（</w:t>
      </w:r>
      <w:r>
        <w:rPr>
          <w:rFonts w:eastAsia="华文楷体"/>
          <w:sz w:val="24"/>
        </w:rPr>
        <w:t>Gated Recurrent Unit</w:t>
      </w:r>
      <w:r>
        <w:rPr>
          <w:rFonts w:hint="eastAsia" w:eastAsia="华文楷体"/>
          <w:sz w:val="24"/>
        </w:rPr>
        <w:t>,</w:t>
      </w:r>
      <w:r>
        <w:rPr>
          <w:rFonts w:eastAsia="华文楷体"/>
          <w:sz w:val="24"/>
        </w:rPr>
        <w:t xml:space="preserve"> </w:t>
      </w:r>
      <w:r>
        <w:rPr>
          <w:rFonts w:hint="eastAsia" w:eastAsia="华文楷体"/>
          <w:sz w:val="24"/>
        </w:rPr>
        <w:t>GRU）</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_Ref217552339 \r \h</w:instrText>
      </w:r>
      <w:r>
        <w:rPr>
          <w:rFonts w:eastAsia="华文楷体"/>
          <w:sz w:val="24"/>
        </w:rPr>
        <w:instrText xml:space="preserve"> </w:instrText>
      </w:r>
      <w:r>
        <w:rPr>
          <w:rFonts w:eastAsia="华文楷体"/>
          <w:sz w:val="24"/>
        </w:rPr>
        <w:fldChar w:fldCharType="separate"/>
      </w:r>
      <w:r>
        <w:rPr>
          <w:rFonts w:eastAsia="华文楷体"/>
          <w:sz w:val="24"/>
        </w:rPr>
        <w:t>[8]</w:t>
      </w:r>
      <w:r>
        <w:rPr>
          <w:rFonts w:eastAsia="华文楷体"/>
          <w:sz w:val="24"/>
        </w:rPr>
        <w:fldChar w:fldCharType="end"/>
      </w:r>
      <w:r>
        <w:rPr>
          <w:rFonts w:hint="eastAsia" w:eastAsia="华文楷体"/>
          <w:sz w:val="24"/>
        </w:rPr>
        <w:t>，这些网络在捕获时间依赖性和模式方面取得了显着的成功。在研究</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_Ref217552355 \r \h</w:instrText>
      </w:r>
      <w:r>
        <w:rPr>
          <w:rFonts w:eastAsia="华文楷体"/>
          <w:sz w:val="24"/>
        </w:rPr>
        <w:instrText xml:space="preserve"> </w:instrText>
      </w:r>
      <w:r>
        <w:rPr>
          <w:rFonts w:eastAsia="华文楷体"/>
          <w:sz w:val="24"/>
        </w:rPr>
        <w:fldChar w:fldCharType="separate"/>
      </w:r>
      <w:r>
        <w:rPr>
          <w:rFonts w:eastAsia="华文楷体"/>
          <w:sz w:val="24"/>
        </w:rPr>
        <w:t>[9]</w:t>
      </w:r>
      <w:r>
        <w:rPr>
          <w:rFonts w:eastAsia="华文楷体"/>
          <w:sz w:val="24"/>
        </w:rPr>
        <w:fldChar w:fldCharType="end"/>
      </w:r>
      <w:r>
        <w:rPr>
          <w:rFonts w:hint="eastAsia" w:eastAsia="华文楷体"/>
          <w:sz w:val="24"/>
        </w:rPr>
        <w:t>中，作者应用 RNN 构建用于宽带通信的频域信道预测器。在研究</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_Ref217552654 \r \h</w:instrText>
      </w:r>
      <w:r>
        <w:rPr>
          <w:rFonts w:eastAsia="华文楷体"/>
          <w:sz w:val="24"/>
        </w:rPr>
        <w:instrText xml:space="preserve"> </w:instrText>
      </w:r>
      <w:r>
        <w:rPr>
          <w:rFonts w:eastAsia="华文楷体"/>
          <w:sz w:val="24"/>
        </w:rPr>
        <w:fldChar w:fldCharType="separate"/>
      </w:r>
      <w:r>
        <w:rPr>
          <w:rFonts w:eastAsia="华文楷体"/>
          <w:sz w:val="24"/>
        </w:rPr>
        <w:t>[10]</w:t>
      </w:r>
      <w:r>
        <w:rPr>
          <w:rFonts w:eastAsia="华文楷体"/>
          <w:sz w:val="24"/>
        </w:rPr>
        <w:fldChar w:fldCharType="end"/>
      </w:r>
      <w:r>
        <w:rPr>
          <w:rFonts w:hint="eastAsia" w:eastAsia="华文楷体"/>
          <w:sz w:val="24"/>
        </w:rPr>
        <w:t>中，作者提出了一种基于LSTM模型的信道预测方案，以补偿不完善信道的负面影响，可以提高高移动场景下的系统保密性能。然而，受限于循环神经网络固有的自回归特性，模型被迫采用单时间步逐点预测的结构。在推理阶段，由于缺乏真实标签（Ground Truth）的矫正，早期的微小预测偏差往往会在时序演进中被逐层放大，从而导致生成分布与真实分布逐渐背离，引发出严重的误差累积（Error Accumulation）问题。</w:t>
      </w:r>
    </w:p>
    <w:p w14:paraId="4A67A9F0">
      <w:pPr>
        <w:snapToGrid w:val="0"/>
        <w:spacing w:before="156" w:beforeLines="50" w:line="300" w:lineRule="auto"/>
        <w:ind w:firstLine="480" w:firstLineChars="200"/>
        <w:jc w:val="left"/>
        <w:rPr>
          <w:rFonts w:eastAsia="华文楷体"/>
          <w:sz w:val="24"/>
        </w:rPr>
      </w:pPr>
      <w:r>
        <w:rPr>
          <w:rFonts w:hint="eastAsia" w:eastAsia="华文楷体"/>
          <w:sz w:val="24"/>
        </w:rPr>
        <w:t>鉴于 Transformer 架构</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_Ref217553877 \r \h</w:instrText>
      </w:r>
      <w:r>
        <w:rPr>
          <w:rFonts w:eastAsia="华文楷体"/>
          <w:sz w:val="24"/>
        </w:rPr>
        <w:instrText xml:space="preserve"> </w:instrText>
      </w:r>
      <w:r>
        <w:rPr>
          <w:rFonts w:eastAsia="华文楷体"/>
          <w:sz w:val="24"/>
        </w:rPr>
        <w:fldChar w:fldCharType="separate"/>
      </w:r>
      <w:r>
        <w:rPr>
          <w:rFonts w:eastAsia="华文楷体"/>
          <w:sz w:val="24"/>
        </w:rPr>
        <w:t>[11]</w:t>
      </w:r>
      <w:r>
        <w:rPr>
          <w:rFonts w:eastAsia="华文楷体"/>
          <w:sz w:val="24"/>
        </w:rPr>
        <w:fldChar w:fldCharType="end"/>
      </w:r>
      <w:r>
        <w:rPr>
          <w:rFonts w:hint="eastAsia" w:eastAsia="华文楷体"/>
          <w:sz w:val="24"/>
        </w:rPr>
        <w:t>在自然语言处理（</w:t>
      </w:r>
      <w:r>
        <w:rPr>
          <w:rFonts w:eastAsia="华文楷体"/>
          <w:sz w:val="24"/>
        </w:rPr>
        <w:t>Natural Language Processing</w:t>
      </w:r>
      <w:r>
        <w:rPr>
          <w:rFonts w:hint="eastAsia" w:eastAsia="华文楷体"/>
          <w:sz w:val="24"/>
        </w:rPr>
        <w:t>,</w:t>
      </w:r>
      <w:r>
        <w:rPr>
          <w:rFonts w:eastAsia="华文楷体"/>
          <w:sz w:val="24"/>
        </w:rPr>
        <w:t xml:space="preserve"> </w:t>
      </w:r>
      <w:r>
        <w:rPr>
          <w:rFonts w:hint="eastAsia" w:eastAsia="华文楷体"/>
          <w:sz w:val="24"/>
        </w:rPr>
        <w:t>NLP）领域所取得的成功，其核心的自注意力机制（Self-Attention Mechanism</w:t>
      </w:r>
      <w:r>
        <w:rPr>
          <w:rFonts w:eastAsia="华文楷体"/>
          <w:sz w:val="24"/>
        </w:rPr>
        <w:t>, SAM</w:t>
      </w:r>
      <w:r>
        <w:rPr>
          <w:rFonts w:hint="eastAsia" w:eastAsia="华文楷体"/>
          <w:sz w:val="24"/>
        </w:rPr>
        <w:t>）成功打破了传统循环神经网络在时序处理上的串行瓶颈。Transformer凭借其卓越的并行计算能力与对长程依赖特征的捕捉能力迅速被迁移至无线通信领域</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_Ref217553920 \r \h</w:instrText>
      </w:r>
      <w:r>
        <w:rPr>
          <w:rFonts w:eastAsia="华文楷体"/>
          <w:sz w:val="24"/>
        </w:rPr>
        <w:instrText xml:space="preserve"> </w:instrText>
      </w:r>
      <w:r>
        <w:rPr>
          <w:rFonts w:eastAsia="华文楷体"/>
          <w:sz w:val="24"/>
        </w:rPr>
        <w:fldChar w:fldCharType="separate"/>
      </w:r>
      <w:r>
        <w:rPr>
          <w:rFonts w:eastAsia="华文楷体"/>
          <w:sz w:val="24"/>
        </w:rPr>
        <w:t>[12]</w:t>
      </w:r>
      <w:r>
        <w:rPr>
          <w:rFonts w:eastAsia="华文楷体"/>
          <w:sz w:val="24"/>
        </w:rPr>
        <w:fldChar w:fldCharType="end"/>
      </w:r>
      <w:r>
        <w:rPr>
          <w:rFonts w:hint="eastAsia" w:eastAsia="华文楷体"/>
          <w:sz w:val="24"/>
        </w:rPr>
        <w:t>。尽管 Transformer 架构性能优越，但其传统的从头训练（Training from scratch）模式往往对数据量有极高的依赖，且容易导致过拟合。鉴于 GPT 系列</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_Ref217554373 \r \h</w:instrText>
      </w:r>
      <w:r>
        <w:rPr>
          <w:rFonts w:eastAsia="华文楷体"/>
          <w:sz w:val="24"/>
        </w:rPr>
        <w:instrText xml:space="preserve"> </w:instrText>
      </w:r>
      <w:r>
        <w:rPr>
          <w:rFonts w:eastAsia="华文楷体"/>
          <w:sz w:val="24"/>
        </w:rPr>
        <w:fldChar w:fldCharType="separate"/>
      </w:r>
      <w:r>
        <w:rPr>
          <w:rFonts w:eastAsia="华文楷体"/>
          <w:sz w:val="24"/>
        </w:rPr>
        <w:t>[13]</w:t>
      </w:r>
      <w:r>
        <w:rPr>
          <w:rFonts w:eastAsia="华文楷体"/>
          <w:sz w:val="24"/>
        </w:rPr>
        <w:fldChar w:fldCharType="end"/>
      </w:r>
      <w:r>
        <w:rPr>
          <w:rFonts w:hint="eastAsia" w:eastAsia="华文楷体"/>
          <w:sz w:val="24"/>
        </w:rPr>
        <w:t>模型在自然语言处理领域通过大规模预训练配合微调的范式展现出的卓越泛化能力与小样本学习潜力，文献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_Ref217554383 \r \h</w:instrText>
      </w:r>
      <w:r>
        <w:rPr>
          <w:rFonts w:eastAsia="华文楷体"/>
          <w:sz w:val="24"/>
        </w:rPr>
        <w:instrText xml:space="preserve"> </w:instrText>
      </w:r>
      <w:r>
        <w:rPr>
          <w:rFonts w:eastAsia="华文楷体"/>
          <w:sz w:val="24"/>
        </w:rPr>
        <w:fldChar w:fldCharType="separate"/>
      </w:r>
      <w:r>
        <w:rPr>
          <w:rFonts w:eastAsia="华文楷体"/>
          <w:sz w:val="24"/>
        </w:rPr>
        <w:t>[14]</w:t>
      </w:r>
      <w:r>
        <w:rPr>
          <w:rFonts w:eastAsia="华文楷体"/>
          <w:sz w:val="24"/>
        </w:rPr>
        <w:fldChar w:fldCharType="end"/>
      </w:r>
      <w:r>
        <w:rPr>
          <w:rFonts w:hint="eastAsia" w:eastAsia="华文楷体"/>
          <w:sz w:val="24"/>
        </w:rPr>
        <w:t>创新性地引入了预训练的 GPT-2</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_Ref217555341 \r \h</w:instrText>
      </w:r>
      <w:r>
        <w:rPr>
          <w:rFonts w:eastAsia="华文楷体"/>
          <w:sz w:val="24"/>
        </w:rPr>
        <w:instrText xml:space="preserve"> </w:instrText>
      </w:r>
      <w:r>
        <w:rPr>
          <w:rFonts w:eastAsia="华文楷体"/>
          <w:sz w:val="24"/>
        </w:rPr>
        <w:fldChar w:fldCharType="separate"/>
      </w:r>
      <w:r>
        <w:rPr>
          <w:rFonts w:eastAsia="华文楷体"/>
          <w:sz w:val="24"/>
        </w:rPr>
        <w:t>[15]</w:t>
      </w:r>
      <w:r>
        <w:rPr>
          <w:rFonts w:eastAsia="华文楷体"/>
          <w:sz w:val="24"/>
        </w:rPr>
        <w:fldChar w:fldCharType="end"/>
      </w:r>
      <w:r>
        <w:rPr>
          <w:rFonts w:hint="eastAsia" w:eastAsia="华文楷体"/>
          <w:sz w:val="24"/>
        </w:rPr>
        <w:t>模型，将其迁移至无线通信场景，以解决复杂环境下的信道预测问题。然而，这一阶段的方法通常将高维MIMO信道矩阵展平（Flatten），降维为一维数值序列的处理策略，忽略了CSI在天线阵列与频域载波间固有的物理空间拓扑结构，导致模型无法利用信道的结构化稀疏性。因此，模型在处理高维数据时不得不面临严重的参数冗余，且难以有效捕捉和重建复杂的空间、频率相关性。</w:t>
      </w:r>
    </w:p>
    <w:p w14:paraId="796F2CD9">
      <w:pPr>
        <w:snapToGrid w:val="0"/>
        <w:spacing w:before="156" w:beforeLines="50" w:line="300" w:lineRule="auto"/>
        <w:ind w:firstLine="480" w:firstLineChars="200"/>
        <w:jc w:val="left"/>
        <w:rPr>
          <w:rFonts w:eastAsia="华文楷体"/>
          <w:sz w:val="24"/>
        </w:rPr>
      </w:pPr>
      <w:r>
        <w:rPr>
          <w:rFonts w:hint="eastAsia" w:eastAsia="华文楷体"/>
          <w:sz w:val="24"/>
        </w:rPr>
        <w:t>面对空间特征提取的难题，另一条主要的基于深度学习的技术路线是将 CSI 数据进行图像化重构。研究者们发现，CSI 矩阵在时频维度上的幅度波动与其在像素空间中的纹理特征具有极强的物理同构性。因此，借鉴计算机视觉（</w:t>
      </w:r>
      <w:r>
        <w:rPr>
          <w:rFonts w:eastAsia="华文楷体"/>
          <w:sz w:val="24"/>
        </w:rPr>
        <w:t xml:space="preserve">Computer Vision, </w:t>
      </w:r>
      <w:r>
        <w:rPr>
          <w:rFonts w:hint="eastAsia" w:eastAsia="华文楷体"/>
          <w:sz w:val="24"/>
        </w:rPr>
        <w:t>CV）领域的模型，特别是卷积神经网络（</w:t>
      </w:r>
      <w:r>
        <w:rPr>
          <w:rFonts w:eastAsia="华文楷体"/>
          <w:sz w:val="24"/>
        </w:rPr>
        <w:t>Convolutional Neural Network</w:t>
      </w:r>
      <w:r>
        <w:rPr>
          <w:rFonts w:hint="eastAsia" w:eastAsia="华文楷体"/>
          <w:sz w:val="24"/>
        </w:rPr>
        <w:t>,</w:t>
      </w:r>
      <w:r>
        <w:rPr>
          <w:rFonts w:eastAsia="华文楷体"/>
          <w:sz w:val="24"/>
        </w:rPr>
        <w:t xml:space="preserve"> CNN</w:t>
      </w:r>
      <w:r>
        <w:rPr>
          <w:rFonts w:hint="eastAsia" w:eastAsia="华文楷体"/>
          <w:sz w:val="24"/>
        </w:rPr>
        <w:t>）</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_Ref217555370 \r \h</w:instrText>
      </w:r>
      <w:r>
        <w:rPr>
          <w:rFonts w:eastAsia="华文楷体"/>
          <w:sz w:val="24"/>
        </w:rPr>
        <w:instrText xml:space="preserve"> </w:instrText>
      </w:r>
      <w:r>
        <w:rPr>
          <w:rFonts w:eastAsia="华文楷体"/>
          <w:sz w:val="24"/>
        </w:rPr>
        <w:fldChar w:fldCharType="separate"/>
      </w:r>
      <w:r>
        <w:rPr>
          <w:rFonts w:eastAsia="华文楷体"/>
          <w:sz w:val="24"/>
        </w:rPr>
        <w:t>[16]</w:t>
      </w:r>
      <w:r>
        <w:rPr>
          <w:rFonts w:eastAsia="华文楷体"/>
          <w:sz w:val="24"/>
        </w:rPr>
        <w:fldChar w:fldCharType="end"/>
      </w:r>
      <w:r>
        <w:rPr>
          <w:rFonts w:hint="eastAsia" w:eastAsia="华文楷体"/>
          <w:sz w:val="24"/>
        </w:rPr>
        <w:t>例如ResNet</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_Ref217555449 \r \h</w:instrText>
      </w:r>
      <w:r>
        <w:rPr>
          <w:rFonts w:eastAsia="华文楷体"/>
          <w:sz w:val="24"/>
        </w:rPr>
        <w:instrText xml:space="preserve"> </w:instrText>
      </w:r>
      <w:r>
        <w:rPr>
          <w:rFonts w:eastAsia="华文楷体"/>
          <w:sz w:val="24"/>
        </w:rPr>
        <w:fldChar w:fldCharType="separate"/>
      </w:r>
      <w:r>
        <w:rPr>
          <w:rFonts w:eastAsia="华文楷体"/>
          <w:sz w:val="24"/>
        </w:rPr>
        <w:t>[17]</w:t>
      </w:r>
      <w:r>
        <w:rPr>
          <w:rFonts w:eastAsia="华文楷体"/>
          <w:sz w:val="24"/>
        </w:rPr>
        <w:fldChar w:fldCharType="end"/>
      </w:r>
      <w:r>
        <w:rPr>
          <w:rFonts w:eastAsia="华文楷体"/>
          <w:sz w:val="24"/>
        </w:rPr>
        <w:t>，</w:t>
      </w:r>
      <w:r>
        <w:rPr>
          <w:rFonts w:hint="eastAsia" w:eastAsia="华文楷体"/>
          <w:sz w:val="24"/>
        </w:rPr>
        <w:t>国内外学者</w:t>
      </w:r>
      <w:r>
        <w:rPr>
          <w:rFonts w:eastAsia="华文楷体"/>
          <w:sz w:val="24"/>
        </w:rPr>
        <w:t>把研究</w:t>
      </w:r>
      <w:r>
        <w:rPr>
          <w:rFonts w:hint="eastAsia" w:eastAsia="华文楷体"/>
          <w:sz w:val="24"/>
        </w:rPr>
        <w:t>聚焦到将CSI视觉化的图像建模阶段。文献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_Ref217555477 \r \h</w:instrText>
      </w:r>
      <w:r>
        <w:rPr>
          <w:rFonts w:eastAsia="华文楷体"/>
          <w:sz w:val="24"/>
        </w:rPr>
        <w:instrText xml:space="preserve"> </w:instrText>
      </w:r>
      <w:r>
        <w:rPr>
          <w:rFonts w:eastAsia="华文楷体"/>
          <w:sz w:val="24"/>
        </w:rPr>
        <w:fldChar w:fldCharType="separate"/>
      </w:r>
      <w:r>
        <w:rPr>
          <w:rFonts w:eastAsia="华文楷体"/>
          <w:sz w:val="24"/>
        </w:rPr>
        <w:t>[18]</w:t>
      </w:r>
      <w:r>
        <w:rPr>
          <w:rFonts w:eastAsia="华文楷体"/>
          <w:sz w:val="24"/>
        </w:rPr>
        <w:fldChar w:fldCharType="end"/>
      </w:r>
      <w:r>
        <w:rPr>
          <w:rFonts w:hint="eastAsia" w:eastAsia="华文楷体"/>
          <w:sz w:val="24"/>
        </w:rPr>
        <w:t>利用 CNN 强大的空间特征提取能力，有效解决了信道预测中的非线性映射问题。然而，考虑到无线通信信号本质上是复数值（Complex-valued），包含关键的幅度和相位信息，传统的实值卷积神经神经网络往往将其拆分为实部与虚部独立处理，从而损失了信号固有的代数结构。复值卷积神经网络（Complex-valued</w:t>
      </w:r>
      <w:r>
        <w:rPr>
          <w:rFonts w:eastAsia="华文楷体"/>
          <w:sz w:val="24"/>
        </w:rPr>
        <w:t xml:space="preserve"> Convolutional Neural Network</w:t>
      </w:r>
      <w:r>
        <w:rPr>
          <w:rFonts w:hint="eastAsia" w:eastAsia="华文楷体"/>
          <w:sz w:val="24"/>
        </w:rPr>
        <w:t>,</w:t>
      </w:r>
      <w:r>
        <w:rPr>
          <w:rFonts w:eastAsia="华文楷体"/>
          <w:sz w:val="24"/>
        </w:rPr>
        <w:t xml:space="preserve"> CVCNN</w:t>
      </w:r>
      <w:r>
        <w:rPr>
          <w:rFonts w:hint="eastAsia" w:eastAsia="华文楷体"/>
          <w:sz w:val="24"/>
        </w:rPr>
        <w:t>）</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_Ref217568697 \r \h</w:instrText>
      </w:r>
      <w:r>
        <w:rPr>
          <w:rFonts w:eastAsia="华文楷体"/>
          <w:sz w:val="24"/>
        </w:rPr>
        <w:instrText xml:space="preserve"> </w:instrText>
      </w:r>
      <w:r>
        <w:rPr>
          <w:rFonts w:eastAsia="华文楷体"/>
          <w:sz w:val="24"/>
        </w:rPr>
        <w:fldChar w:fldCharType="separate"/>
      </w:r>
      <w:r>
        <w:rPr>
          <w:rFonts w:eastAsia="华文楷体"/>
          <w:sz w:val="24"/>
        </w:rPr>
        <w:t>[19]</w:t>
      </w:r>
      <w:r>
        <w:rPr>
          <w:rFonts w:eastAsia="华文楷体"/>
          <w:sz w:val="24"/>
        </w:rPr>
        <w:fldChar w:fldCharType="end"/>
      </w:r>
      <w:r>
        <w:rPr>
          <w:rFonts w:hint="eastAsia" w:eastAsia="华文楷体"/>
          <w:sz w:val="24"/>
        </w:rPr>
        <w:t>因其能够在复数域内保持相位与幅度的强耦合关系，被广泛应用于无线信号处理任务中</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_Ref217555847 \r \h</w:instrText>
      </w:r>
      <w:r>
        <w:rPr>
          <w:rFonts w:eastAsia="华文楷体"/>
          <w:sz w:val="24"/>
        </w:rPr>
        <w:instrText xml:space="preserve"> </w:instrText>
      </w:r>
      <w:r>
        <w:rPr>
          <w:rFonts w:eastAsia="华文楷体"/>
          <w:sz w:val="24"/>
        </w:rPr>
        <w:fldChar w:fldCharType="separate"/>
      </w:r>
      <w:r>
        <w:rPr>
          <w:rFonts w:eastAsia="华文楷体"/>
          <w:sz w:val="24"/>
        </w:rPr>
        <w:t>[20]</w:t>
      </w:r>
      <w:r>
        <w:rPr>
          <w:rFonts w:eastAsia="华文楷体"/>
          <w:sz w:val="24"/>
        </w:rPr>
        <w:fldChar w:fldCharType="end"/>
      </w:r>
      <w:r>
        <w:rPr>
          <w:rFonts w:eastAsia="华文楷体"/>
          <w:sz w:val="24"/>
        </w:rPr>
        <w:fldChar w:fldCharType="begin"/>
      </w:r>
      <w:r>
        <w:rPr>
          <w:rFonts w:eastAsia="华文楷体"/>
          <w:sz w:val="24"/>
        </w:rPr>
        <w:instrText xml:space="preserve"> REF _Ref217569239 \r \h </w:instrText>
      </w:r>
      <w:r>
        <w:rPr>
          <w:rFonts w:eastAsia="华文楷体"/>
          <w:sz w:val="24"/>
        </w:rPr>
        <w:fldChar w:fldCharType="separate"/>
      </w:r>
      <w:r>
        <w:rPr>
          <w:rFonts w:eastAsia="华文楷体"/>
          <w:sz w:val="24"/>
        </w:rPr>
        <w:t>[21]</w:t>
      </w:r>
      <w:r>
        <w:rPr>
          <w:rFonts w:eastAsia="华文楷体"/>
          <w:sz w:val="24"/>
        </w:rPr>
        <w:fldChar w:fldCharType="end"/>
      </w:r>
      <w:r>
        <w:rPr>
          <w:rFonts w:eastAsia="华文楷体"/>
          <w:sz w:val="24"/>
        </w:rPr>
        <w:fldChar w:fldCharType="begin"/>
      </w:r>
      <w:r>
        <w:rPr>
          <w:rFonts w:eastAsia="华文楷体"/>
          <w:sz w:val="24"/>
        </w:rPr>
        <w:instrText xml:space="preserve"> REF _Ref217569240 \r \h </w:instrText>
      </w:r>
      <w:r>
        <w:rPr>
          <w:rFonts w:eastAsia="华文楷体"/>
          <w:sz w:val="24"/>
        </w:rPr>
        <w:fldChar w:fldCharType="separate"/>
      </w:r>
      <w:r>
        <w:rPr>
          <w:rFonts w:eastAsia="华文楷体"/>
          <w:sz w:val="24"/>
        </w:rPr>
        <w:t>[22]</w:t>
      </w:r>
      <w:r>
        <w:rPr>
          <w:rFonts w:eastAsia="华文楷体"/>
          <w:sz w:val="24"/>
        </w:rPr>
        <w:fldChar w:fldCharType="end"/>
      </w:r>
      <w:r>
        <w:rPr>
          <w:rFonts w:eastAsia="华文楷体"/>
          <w:sz w:val="24"/>
        </w:rPr>
        <w:fldChar w:fldCharType="begin"/>
      </w:r>
      <w:r>
        <w:rPr>
          <w:rFonts w:eastAsia="华文楷体"/>
          <w:sz w:val="24"/>
        </w:rPr>
        <w:instrText xml:space="preserve"> REF _Ref217569242 \r \h </w:instrText>
      </w:r>
      <w:r>
        <w:rPr>
          <w:rFonts w:eastAsia="华文楷体"/>
          <w:sz w:val="24"/>
        </w:rPr>
        <w:fldChar w:fldCharType="separate"/>
      </w:r>
      <w:r>
        <w:rPr>
          <w:rFonts w:eastAsia="华文楷体"/>
          <w:sz w:val="24"/>
        </w:rPr>
        <w:t>[23]</w:t>
      </w:r>
      <w:r>
        <w:rPr>
          <w:rFonts w:eastAsia="华文楷体"/>
          <w:sz w:val="24"/>
        </w:rPr>
        <w:fldChar w:fldCharType="end"/>
      </w:r>
      <w:r>
        <w:rPr>
          <w:rFonts w:hint="eastAsia" w:eastAsia="华文楷体"/>
          <w:sz w:val="24"/>
        </w:rPr>
        <w:t>。</w:t>
      </w:r>
    </w:p>
    <w:p w14:paraId="0FF7D210">
      <w:pPr>
        <w:snapToGrid w:val="0"/>
        <w:spacing w:before="156" w:beforeLines="50" w:line="300" w:lineRule="auto"/>
        <w:ind w:firstLine="480" w:firstLineChars="200"/>
        <w:jc w:val="left"/>
        <w:rPr>
          <w:rFonts w:eastAsia="华文楷体"/>
          <w:sz w:val="24"/>
        </w:rPr>
      </w:pPr>
      <w:r>
        <w:rPr>
          <w:rFonts w:hint="eastAsia" w:eastAsia="华文楷体"/>
          <w:sz w:val="24"/>
        </w:rPr>
        <w:t xml:space="preserve">随着 Vision Transformer (ViT) </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_Ref217569479 \r \h</w:instrText>
      </w:r>
      <w:r>
        <w:rPr>
          <w:rFonts w:eastAsia="华文楷体"/>
          <w:sz w:val="24"/>
        </w:rPr>
        <w:instrText xml:space="preserve"> </w:instrText>
      </w:r>
      <w:r>
        <w:rPr>
          <w:rFonts w:eastAsia="华文楷体"/>
          <w:sz w:val="24"/>
        </w:rPr>
        <w:fldChar w:fldCharType="separate"/>
      </w:r>
      <w:r>
        <w:rPr>
          <w:rFonts w:eastAsia="华文楷体"/>
          <w:sz w:val="24"/>
        </w:rPr>
        <w:t>[24]</w:t>
      </w:r>
      <w:r>
        <w:rPr>
          <w:rFonts w:eastAsia="华文楷体"/>
          <w:sz w:val="24"/>
        </w:rPr>
        <w:fldChar w:fldCharType="end"/>
      </w:r>
      <w:r>
        <w:rPr>
          <w:rFonts w:hint="eastAsia" w:eastAsia="华文楷体"/>
          <w:sz w:val="24"/>
          <w:lang w:val="en-US" w:eastAsia="zh-CN"/>
        </w:rPr>
        <w:t>和Swin Transformer</w:t>
      </w:r>
      <w:r>
        <w:rPr>
          <w:rFonts w:hint="eastAsia" w:eastAsia="华文楷体"/>
          <w:sz w:val="24"/>
          <w:lang w:val="en-US" w:eastAsia="zh-CN"/>
        </w:rPr>
        <w:fldChar w:fldCharType="begin"/>
      </w:r>
      <w:r>
        <w:rPr>
          <w:rFonts w:hint="eastAsia" w:eastAsia="华文楷体"/>
          <w:sz w:val="24"/>
          <w:lang w:val="en-US" w:eastAsia="zh-CN"/>
        </w:rPr>
        <w:instrText xml:space="preserve"> REF _Ref1340240796 \r \h </w:instrText>
      </w:r>
      <w:r>
        <w:rPr>
          <w:rFonts w:hint="eastAsia" w:eastAsia="华文楷体"/>
          <w:sz w:val="24"/>
          <w:lang w:val="en-US" w:eastAsia="zh-CN"/>
        </w:rPr>
        <w:fldChar w:fldCharType="separate"/>
      </w:r>
      <w:r>
        <w:rPr>
          <w:rFonts w:hint="eastAsia" w:eastAsia="华文楷体"/>
          <w:sz w:val="24"/>
          <w:lang w:val="en-US" w:eastAsia="zh-CN"/>
        </w:rPr>
        <w:t>[25]</w:t>
      </w:r>
      <w:r>
        <w:rPr>
          <w:rFonts w:hint="eastAsia" w:eastAsia="华文楷体"/>
          <w:sz w:val="24"/>
          <w:lang w:val="en-US" w:eastAsia="zh-CN"/>
        </w:rPr>
        <w:fldChar w:fldCharType="end"/>
      </w:r>
      <w:r>
        <w:rPr>
          <w:rFonts w:hint="eastAsia" w:eastAsia="华文楷体"/>
          <w:sz w:val="24"/>
        </w:rPr>
        <w:t>在计算机视觉领域的成功，研究</w:t>
      </w:r>
      <w:r>
        <w:rPr>
          <w:rFonts w:eastAsia="华文楷体"/>
          <w:sz w:val="24"/>
        </w:rPr>
        <w:fldChar w:fldCharType="begin"/>
      </w:r>
      <w:r>
        <w:rPr>
          <w:rFonts w:eastAsia="华文楷体"/>
          <w:sz w:val="24"/>
        </w:rPr>
        <w:instrText xml:space="preserve"> REF _Ref217570087 \r \h </w:instrText>
      </w:r>
      <w:r>
        <w:rPr>
          <w:rFonts w:eastAsia="华文楷体"/>
          <w:sz w:val="24"/>
        </w:rPr>
        <w:fldChar w:fldCharType="separate"/>
      </w:r>
      <w:r>
        <w:rPr>
          <w:rFonts w:eastAsia="华文楷体"/>
          <w:sz w:val="24"/>
        </w:rPr>
        <w:t>[26]</w:t>
      </w:r>
      <w:r>
        <w:rPr>
          <w:rFonts w:eastAsia="华文楷体"/>
          <w:sz w:val="24"/>
        </w:rPr>
        <w:fldChar w:fldCharType="end"/>
      </w:r>
      <w:r>
        <w:rPr>
          <w:rFonts w:hint="eastAsia" w:eastAsia="华文楷体"/>
          <w:sz w:val="24"/>
        </w:rPr>
        <w:t>使用Vision</w:t>
      </w:r>
      <w:r>
        <w:rPr>
          <w:rFonts w:eastAsia="华文楷体"/>
          <w:sz w:val="24"/>
        </w:rPr>
        <w:t xml:space="preserve"> Transformer来解决无线信道估计的问题</w:t>
      </w:r>
      <w:r>
        <w:rPr>
          <w:rFonts w:hint="eastAsia" w:eastAsia="华文楷体"/>
          <w:sz w:val="24"/>
          <w:lang w:eastAsia="zh-CN"/>
        </w:rPr>
        <w:t>。</w:t>
      </w:r>
      <w:r>
        <w:rPr>
          <w:rFonts w:hint="eastAsia" w:eastAsia="华文楷体"/>
          <w:sz w:val="24"/>
        </w:rPr>
        <w:t>研究</w:t>
      </w:r>
      <w:r>
        <w:rPr>
          <w:rFonts w:eastAsia="华文楷体"/>
          <w:sz w:val="24"/>
        </w:rPr>
        <w:fldChar w:fldCharType="begin"/>
      </w:r>
      <w:r>
        <w:rPr>
          <w:rFonts w:eastAsia="华文楷体"/>
          <w:sz w:val="24"/>
        </w:rPr>
        <w:instrText xml:space="preserve"> REF _Ref217569501 \r \h </w:instrText>
      </w:r>
      <w:r>
        <w:rPr>
          <w:rFonts w:eastAsia="华文楷体"/>
          <w:sz w:val="24"/>
        </w:rPr>
        <w:fldChar w:fldCharType="separate"/>
      </w:r>
      <w:r>
        <w:rPr>
          <w:rFonts w:eastAsia="华文楷体"/>
          <w:sz w:val="24"/>
        </w:rPr>
        <w:t>[27]</w:t>
      </w:r>
      <w:r>
        <w:rPr>
          <w:rFonts w:eastAsia="华文楷体"/>
          <w:sz w:val="24"/>
        </w:rPr>
        <w:fldChar w:fldCharType="end"/>
      </w:r>
      <w:r>
        <w:rPr>
          <w:rFonts w:hint="eastAsia" w:eastAsia="华文楷体"/>
          <w:sz w:val="24"/>
        </w:rPr>
        <w:t>进一步将具有层级化结构的 Swin Transformer引入无线通信领域。该工作有力证明了，凭借自注意力机制（Self-Attention</w:t>
      </w:r>
      <w:r>
        <w:rPr>
          <w:rFonts w:eastAsia="华文楷体"/>
          <w:sz w:val="24"/>
        </w:rPr>
        <w:t xml:space="preserve"> Mechanism</w:t>
      </w:r>
      <w:r>
        <w:rPr>
          <w:rFonts w:hint="eastAsia" w:eastAsia="华文楷体"/>
          <w:sz w:val="24"/>
        </w:rPr>
        <w:t>）建立全局上下文关联的能力，该模型能有效突破传统 CNN 受限于局部感受野（Local Receptive Field）的瓶颈，从而更精准地捕捉 CSI 中非局部的长距离空间依赖。尽管这一阶段的研究成功解构了信道的深层空间拓扑信息，但由于模型设计多聚焦于空间维度的表征，其在建模长时间跨度下的信道动态演进（Temporal Evolution）方面仍存在显著局限。</w:t>
      </w:r>
    </w:p>
    <w:p w14:paraId="3F2F8F7B">
      <w:pPr>
        <w:snapToGrid w:val="0"/>
        <w:spacing w:before="156" w:beforeLines="50" w:line="300" w:lineRule="auto"/>
        <w:ind w:firstLine="480" w:firstLineChars="200"/>
        <w:jc w:val="left"/>
        <w:rPr>
          <w:rFonts w:eastAsia="华文楷体"/>
          <w:sz w:val="24"/>
        </w:rPr>
      </w:pPr>
      <w:r>
        <w:rPr>
          <w:rFonts w:hint="eastAsia" w:eastAsia="华文楷体"/>
          <w:sz w:val="24"/>
        </w:rPr>
        <w:t>鉴于现有研究往往陷入单一维度建模的痛点，难以有效捕捉射频信号复杂的时空联合分布规律，本项目提出挖掘信号本身的物理构造，同步提取其空间结构与时间逻辑特征。这一方法是对上述单一模态技术路径的整合，目前在国内外相关研究</w:t>
      </w:r>
      <w:r>
        <w:rPr>
          <w:rFonts w:hint="eastAsia" w:eastAsia="华文楷体"/>
          <w:sz w:val="24"/>
          <w:lang w:val="en-US" w:eastAsia="zh-CN"/>
        </w:rPr>
        <w:t>范围内</w:t>
      </w:r>
      <w:r>
        <w:rPr>
          <w:rFonts w:hint="eastAsia" w:eastAsia="华文楷体"/>
          <w:sz w:val="24"/>
        </w:rPr>
        <w:t>仍属空白。</w:t>
      </w:r>
    </w:p>
    <w:p w14:paraId="2A0D009E">
      <w:pPr>
        <w:pStyle w:val="21"/>
        <w:numPr>
          <w:ilvl w:val="0"/>
          <w:numId w:val="4"/>
        </w:numPr>
        <w:snapToGrid w:val="0"/>
        <w:spacing w:before="156" w:beforeLines="50" w:line="300" w:lineRule="auto"/>
        <w:ind w:firstLineChars="0"/>
        <w:jc w:val="left"/>
        <w:rPr>
          <w:rFonts w:eastAsia="华文楷体"/>
          <w:sz w:val="24"/>
        </w:rPr>
      </w:pPr>
      <w:r>
        <w:rPr>
          <w:rFonts w:hint="eastAsia" w:eastAsia="华文楷体"/>
          <w:sz w:val="24"/>
        </w:rPr>
        <w:t>视觉</w:t>
      </w:r>
      <w:r>
        <w:rPr>
          <w:rFonts w:hint="eastAsia" w:eastAsia="华文楷体"/>
          <w:sz w:val="24"/>
          <w:lang w:val="en-US" w:eastAsia="zh-CN"/>
        </w:rPr>
        <w:t>-</w:t>
      </w:r>
      <w:r>
        <w:rPr>
          <w:rFonts w:hint="eastAsia" w:eastAsia="华文楷体"/>
          <w:sz w:val="24"/>
        </w:rPr>
        <w:t>语言模型的国内外研究现状</w:t>
      </w:r>
    </w:p>
    <w:p w14:paraId="77E2339E">
      <w:pPr>
        <w:pStyle w:val="21"/>
        <w:numPr>
          <w:ilvl w:val="0"/>
          <w:numId w:val="6"/>
        </w:numPr>
        <w:snapToGrid w:val="0"/>
        <w:spacing w:before="156" w:beforeLines="50" w:line="300" w:lineRule="auto"/>
        <w:ind w:left="0" w:leftChars="0" w:firstLine="420" w:firstLineChars="0"/>
        <w:jc w:val="left"/>
        <w:rPr>
          <w:rFonts w:hint="eastAsia" w:eastAsia="华文楷体"/>
          <w:sz w:val="24"/>
          <w:lang w:val="en-US" w:eastAsia="zh-CN"/>
        </w:rPr>
      </w:pPr>
      <w:r>
        <w:rPr>
          <w:rFonts w:hint="eastAsia" w:eastAsia="华文楷体"/>
          <w:sz w:val="24"/>
          <w:lang w:val="en-US" w:eastAsia="zh-CN"/>
        </w:rPr>
        <w:t>发展演进</w:t>
      </w:r>
    </w:p>
    <w:p w14:paraId="4F5232CB">
      <w:pPr>
        <w:pStyle w:val="21"/>
        <w:numPr>
          <w:numId w:val="0"/>
        </w:numPr>
        <w:snapToGrid w:val="0"/>
        <w:spacing w:before="156" w:beforeLines="50" w:line="300" w:lineRule="auto"/>
        <w:ind w:firstLine="425" w:firstLineChars="0"/>
        <w:jc w:val="left"/>
        <w:rPr>
          <w:rFonts w:hint="eastAsia" w:eastAsia="华文楷体"/>
          <w:sz w:val="24"/>
          <w:lang w:val="en-US" w:eastAsia="zh-CN"/>
        </w:rPr>
      </w:pPr>
      <w:r>
        <w:rPr>
          <w:rFonts w:hint="eastAsia" w:eastAsia="华文楷体"/>
          <w:sz w:val="24"/>
          <w:lang w:val="en-US" w:eastAsia="zh-CN"/>
        </w:rPr>
        <w:t>视觉-语言模型（Vision-Language Model, VLM）的发展历程大致可划分为三个阶段，其演进与无线 AI 的发展趋势呈现出高度的同构性。</w:t>
      </w:r>
    </w:p>
    <w:p w14:paraId="6088DC55">
      <w:pPr>
        <w:pStyle w:val="21"/>
        <w:numPr>
          <w:numId w:val="0"/>
        </w:numPr>
        <w:snapToGrid w:val="0"/>
        <w:spacing w:before="156" w:beforeLines="50" w:line="300" w:lineRule="auto"/>
        <w:ind w:firstLine="425" w:firstLineChars="0"/>
        <w:jc w:val="left"/>
        <w:rPr>
          <w:rFonts w:hint="eastAsia" w:eastAsia="华文楷体"/>
          <w:sz w:val="24"/>
          <w:lang w:val="en-US" w:eastAsia="zh-CN"/>
        </w:rPr>
      </w:pPr>
      <w:r>
        <w:rPr>
          <w:rFonts w:hint="eastAsia" w:eastAsia="华文楷体"/>
          <w:sz w:val="24"/>
          <w:lang w:val="en-US" w:eastAsia="zh-CN"/>
        </w:rPr>
        <w:t>第一阶段：特定任务的简单耦合（CNN+RNN）。早期的视觉语言研究主要依赖于 CNN 与 RNN 的简单组合，视觉编码器提取图像特征，序列解码器生成文本，两者通过注意力机制耦合。这也对应了早期无线 AI 研究中利用 CNN 处理 CSI 图像或 LSTM 处理时序的尝试。然而，这类模型往往针对特定信道数据集（如单一场景下的 DeepMIMO）训练，缺乏跨场景的泛化能力，难以应对真实通信环境的复杂多变。</w:t>
      </w:r>
    </w:p>
    <w:p w14:paraId="325962AF">
      <w:pPr>
        <w:pStyle w:val="21"/>
        <w:numPr>
          <w:numId w:val="0"/>
        </w:numPr>
        <w:snapToGrid w:val="0"/>
        <w:spacing w:before="156" w:beforeLines="50" w:line="300" w:lineRule="auto"/>
        <w:ind w:firstLine="425" w:firstLineChars="0"/>
        <w:jc w:val="left"/>
        <w:rPr>
          <w:rFonts w:hint="eastAsia" w:eastAsia="华文楷体"/>
          <w:sz w:val="24"/>
          <w:lang w:val="en-US" w:eastAsia="zh-CN"/>
        </w:rPr>
      </w:pPr>
      <w:r>
        <w:rPr>
          <w:rFonts w:hint="eastAsia" w:eastAsia="华文楷体"/>
          <w:sz w:val="24"/>
          <w:lang w:val="en-US" w:eastAsia="zh-CN"/>
        </w:rPr>
        <w:t>第二阶段：大规模自监督对齐（CLIP Era）。 以 CLIP（Contrastive Language-Image Pre-training）的提出为转折点，标志着大规模自监督预训练时代的到来。OpenAI 利用 4 亿对图文数据进行对比学习，成功将图像与文本映射到同一特征空间，展现了惊人的零样本（Zero-shot）迁移能力。这一阶段的突破为本项目提供了核心理论支撑：即射频信号的频域纹理（CFR）与时域逻辑（CIR）本质上也可以通过对比学习映射到统一的物理语义空间，从而实现不同模态间的特征对齐与互补。</w:t>
      </w:r>
    </w:p>
    <w:p w14:paraId="39C54FF1">
      <w:pPr>
        <w:pStyle w:val="21"/>
        <w:numPr>
          <w:numId w:val="0"/>
        </w:numPr>
        <w:snapToGrid w:val="0"/>
        <w:spacing w:before="156" w:beforeLines="50" w:line="300" w:lineRule="auto"/>
        <w:ind w:firstLine="425" w:firstLineChars="0"/>
        <w:jc w:val="left"/>
        <w:rPr>
          <w:rFonts w:hint="eastAsia" w:eastAsia="华文楷体"/>
          <w:sz w:val="24"/>
          <w:lang w:val="en-US" w:eastAsia="zh-CN"/>
        </w:rPr>
      </w:pPr>
      <w:r>
        <w:rPr>
          <w:rFonts w:hint="eastAsia" w:eastAsia="华文楷体"/>
          <w:sz w:val="24"/>
          <w:lang w:val="en-US" w:eastAsia="zh-CN"/>
        </w:rPr>
        <w:t>第三阶段：生成式大模型赋能（GenAI Era）。 随着 GPT-3、LLaMA 等大语言模型的崛起，研究重心转向利用 LLM 强大的世界知识与推理能力来处理视觉任务。Flamingo、BLIP-2 及 LLaVA 等模型的出现，确立了“视觉编码器+跨模态适配器+冻结 LLM”的主流架构。这一范式的出现解决了信道预测中的核心痛点：传统模型只能“记忆”历史数据，而基于 LLM 的架构具备了“推理”能力，能够基于少量的导频观测（Few-shot），利用其强大的序列推演能力预测未来信道状态，为解决高动态场景下的信道老化问题提供了全新的解题思路。</w:t>
      </w:r>
    </w:p>
    <w:p w14:paraId="09D57D2B">
      <w:pPr>
        <w:pStyle w:val="21"/>
        <w:numPr>
          <w:ilvl w:val="0"/>
          <w:numId w:val="6"/>
        </w:numPr>
        <w:snapToGrid w:val="0"/>
        <w:spacing w:before="156" w:beforeLines="50" w:line="300" w:lineRule="auto"/>
        <w:ind w:left="0" w:leftChars="0" w:firstLine="420" w:firstLineChars="0"/>
        <w:jc w:val="left"/>
        <w:rPr>
          <w:rFonts w:hint="default" w:eastAsia="华文楷体"/>
          <w:sz w:val="24"/>
          <w:lang w:val="en-US" w:eastAsia="zh-CN"/>
        </w:rPr>
      </w:pPr>
      <w:r>
        <w:rPr>
          <w:rFonts w:hint="eastAsia" w:eastAsia="华文楷体"/>
          <w:sz w:val="24"/>
          <w:lang w:val="en-US" w:eastAsia="zh-CN"/>
        </w:rPr>
        <w:t>架构设计</w:t>
      </w:r>
    </w:p>
    <w:p w14:paraId="3E27C0E0">
      <w:pPr>
        <w:pStyle w:val="21"/>
        <w:numPr>
          <w:numId w:val="0"/>
        </w:numPr>
        <w:snapToGrid w:val="0"/>
        <w:spacing w:before="156" w:beforeLines="50" w:line="300" w:lineRule="auto"/>
        <w:ind w:firstLine="425" w:firstLineChars="0"/>
        <w:jc w:val="left"/>
        <w:rPr>
          <w:rFonts w:hint="default" w:eastAsia="华文楷体"/>
          <w:sz w:val="24"/>
          <w:lang w:val="en-US" w:eastAsia="zh-CN"/>
        </w:rPr>
      </w:pPr>
      <w:r>
        <w:rPr>
          <w:rFonts w:hint="default" w:eastAsia="华文楷体"/>
          <w:sz w:val="24"/>
          <w:lang w:val="en-US" w:eastAsia="zh-CN"/>
        </w:rPr>
        <w:t>在架构设计上，现有的 VLM 主要呈现出三种主流范式。</w:t>
      </w:r>
      <w:r>
        <w:rPr>
          <w:rFonts w:hint="eastAsia" w:eastAsia="华文楷体"/>
          <w:sz w:val="24"/>
          <w:lang w:val="en-US" w:eastAsia="zh-CN"/>
        </w:rPr>
        <w:t>而</w:t>
      </w:r>
      <w:r>
        <w:rPr>
          <w:rFonts w:hint="default" w:eastAsia="华文楷体"/>
          <w:sz w:val="24"/>
          <w:lang w:val="en-US" w:eastAsia="zh-CN"/>
        </w:rPr>
        <w:t>针对信道预测（Channel Prediction）这一特定任务，我们需要分析各架构的适用性：</w:t>
      </w:r>
    </w:p>
    <w:p w14:paraId="3B1F8B45">
      <w:pPr>
        <w:pStyle w:val="21"/>
        <w:numPr>
          <w:numId w:val="0"/>
        </w:numPr>
        <w:snapToGrid w:val="0"/>
        <w:spacing w:before="156" w:beforeLines="50" w:line="300" w:lineRule="auto"/>
        <w:ind w:firstLine="425" w:firstLineChars="0"/>
        <w:jc w:val="left"/>
        <w:rPr>
          <w:rFonts w:hint="default" w:eastAsia="华文楷体"/>
          <w:sz w:val="24"/>
          <w:lang w:val="en-US" w:eastAsia="zh-CN"/>
        </w:rPr>
      </w:pPr>
      <w:r>
        <w:rPr>
          <w:rFonts w:hint="default" w:eastAsia="华文楷体"/>
          <w:sz w:val="24"/>
          <w:lang w:val="en-US" w:eastAsia="zh-CN"/>
        </w:rPr>
        <w:t>双塔架构（Dual-Encoder）：</w:t>
      </w:r>
      <w:r>
        <w:rPr>
          <w:rFonts w:hint="eastAsia" w:eastAsia="华文楷体"/>
          <w:sz w:val="24"/>
          <w:lang w:val="en-US" w:eastAsia="zh-CN"/>
        </w:rPr>
        <w:t>适用于</w:t>
      </w:r>
      <w:r>
        <w:rPr>
          <w:rFonts w:hint="default" w:eastAsia="华文楷体"/>
          <w:sz w:val="24"/>
          <w:lang w:val="en-US" w:eastAsia="zh-CN"/>
        </w:rPr>
        <w:t>检索</w:t>
      </w:r>
      <w:r>
        <w:rPr>
          <w:rFonts w:hint="eastAsia" w:eastAsia="华文楷体"/>
          <w:sz w:val="24"/>
          <w:lang w:val="en-US" w:eastAsia="zh-CN"/>
        </w:rPr>
        <w:t>而</w:t>
      </w:r>
      <w:r>
        <w:rPr>
          <w:rFonts w:hint="default" w:eastAsia="华文楷体"/>
          <w:sz w:val="24"/>
          <w:lang w:val="en-US" w:eastAsia="zh-CN"/>
        </w:rPr>
        <w:t>非预测。以 CLIP 和 ALIGN 为代表，其特点是视觉与文本分别通过两个独立的编码器进行特征提取，仅在最后的特征空间通过余弦相似度进行对齐。这种架构虽然推理速度快，但本质上适用于“检索匹配”任务（如根据 CSI 检索用户位置），而非生成</w:t>
      </w:r>
      <w:r>
        <w:rPr>
          <w:rFonts w:hint="eastAsia" w:eastAsia="华文楷体"/>
          <w:sz w:val="24"/>
          <w:lang w:val="en-US" w:eastAsia="zh-CN"/>
        </w:rPr>
        <w:t>式</w:t>
      </w:r>
      <w:r>
        <w:rPr>
          <w:rFonts w:hint="default" w:eastAsia="华文楷体"/>
          <w:sz w:val="24"/>
          <w:lang w:val="en-US" w:eastAsia="zh-CN"/>
        </w:rPr>
        <w:t>预测任务。由于缺乏深层的模态交互，双塔架构无法捕捉信道在时间维度上的细粒度演进规律，因此不适用于高精度的信道预测。</w:t>
      </w:r>
      <w:bookmarkStart w:id="44" w:name="_GoBack"/>
      <w:bookmarkEnd w:id="44"/>
    </w:p>
    <w:p w14:paraId="726EA000">
      <w:pPr>
        <w:pStyle w:val="21"/>
        <w:numPr>
          <w:numId w:val="0"/>
        </w:numPr>
        <w:snapToGrid w:val="0"/>
        <w:spacing w:before="156" w:beforeLines="50" w:line="300" w:lineRule="auto"/>
        <w:ind w:firstLine="425" w:firstLineChars="0"/>
        <w:jc w:val="left"/>
        <w:rPr>
          <w:rFonts w:hint="default" w:eastAsia="华文楷体"/>
          <w:sz w:val="24"/>
          <w:lang w:val="en-US" w:eastAsia="zh-CN"/>
        </w:rPr>
      </w:pPr>
      <w:r>
        <w:rPr>
          <w:rFonts w:hint="default" w:eastAsia="华文楷体"/>
          <w:sz w:val="24"/>
          <w:lang w:val="en-US" w:eastAsia="zh-CN"/>
        </w:rPr>
        <w:t>单塔融合架构（Fusion-Encoder）：精度与效率的博弈。 代表性模型如 ViLT、ALBEF 等，通常采用 Cross-Attention 机制将视觉 Patch 与文本 Token 进行深度融合。虽然此类模型在特征融合精度上表现优异，但其计算复杂度随输入序列长度呈二次方增长。在无线通信中，CSI 数据（尤其是大规模 MIMO）具有高维特性，单塔架构的高计算负载难以满足通信系统对低延迟（Low Latency）的苛刻要求，且难以直接扩展至长序列的生成任务。</w:t>
      </w:r>
    </w:p>
    <w:p w14:paraId="4956CB97">
      <w:pPr>
        <w:pStyle w:val="21"/>
        <w:numPr>
          <w:numId w:val="0"/>
        </w:numPr>
        <w:snapToGrid w:val="0"/>
        <w:spacing w:before="156" w:beforeLines="50" w:line="300" w:lineRule="auto"/>
        <w:ind w:firstLine="425" w:firstLineChars="0"/>
        <w:jc w:val="left"/>
        <w:rPr>
          <w:rFonts w:hint="default" w:eastAsia="华文楷体"/>
          <w:sz w:val="24"/>
          <w:lang w:val="en-US" w:eastAsia="zh-CN"/>
        </w:rPr>
      </w:pPr>
      <w:r>
        <w:rPr>
          <w:rFonts w:hint="default" w:eastAsia="华文楷体"/>
          <w:sz w:val="24"/>
          <w:lang w:val="en-US" w:eastAsia="zh-CN"/>
        </w:rPr>
        <w:t>基于 LLM 的生成式架构（LLM-centric Architecture）：本项目的理论基石。 这是当前最前沿的研究方向，也是本项目技术路线的绝对核心。该架构的核心思想是通过适配器将图像转换为 LLM 能够理解的 Token 嵌入。DeepMind 的 Flamingo 通过 Gated Cross-Attention 实现了交错图文理解；Salesforce 的 BLIP-2 引入 Q-Former 降低了训练成本；特别是 LLaVA（Large Language-and-Vision Assistant），进一步简化了这一过程，仅使用简单的线性投影层（Linear Projection）配合视觉指令微调（Visual Instruction Tuning）。</w:t>
      </w:r>
    </w:p>
    <w:p w14:paraId="334FFD6A">
      <w:pPr>
        <w:snapToGrid w:val="0"/>
        <w:spacing w:before="156" w:beforeLines="50" w:line="300" w:lineRule="auto"/>
        <w:ind w:firstLine="480" w:firstLineChars="200"/>
        <w:jc w:val="left"/>
        <w:rPr>
          <w:rFonts w:hint="default" w:eastAsia="华文楷体"/>
          <w:sz w:val="24"/>
          <w:lang w:val="en-US" w:eastAsia="zh-CN"/>
        </w:rPr>
      </w:pPr>
      <w:r>
        <w:rPr>
          <w:rFonts w:hint="eastAsia" w:eastAsia="华文楷体"/>
          <w:sz w:val="24"/>
        </w:rPr>
        <w:t>这种冻结大模型并微调的轻量化模式，适配垂直领域对低算力消耗与高泛化能力的需求</w:t>
      </w:r>
      <w:r>
        <w:rPr>
          <w:rFonts w:hint="default" w:eastAsia="华文楷体"/>
          <w:sz w:val="24"/>
          <w:lang w:val="en-US" w:eastAsia="zh-CN"/>
        </w:rPr>
        <w:t>，</w:t>
      </w:r>
      <w:r>
        <w:rPr>
          <w:rFonts w:hint="eastAsia" w:eastAsia="华文楷体"/>
          <w:sz w:val="24"/>
          <w:lang w:val="en-US" w:eastAsia="zh-CN"/>
        </w:rPr>
        <w:t>特别是</w:t>
      </w:r>
      <w:r>
        <w:rPr>
          <w:rFonts w:hint="default" w:eastAsia="华文楷体"/>
          <w:sz w:val="24"/>
          <w:lang w:val="en-US" w:eastAsia="zh-CN"/>
        </w:rPr>
        <w:t>无线物理层的需求</w:t>
      </w:r>
      <w:r>
        <w:rPr>
          <w:rFonts w:hint="eastAsia" w:eastAsia="华文楷体"/>
          <w:sz w:val="24"/>
          <w:lang w:val="en-US" w:eastAsia="zh-CN"/>
        </w:rPr>
        <w:t>，包括</w:t>
      </w:r>
      <w:r>
        <w:rPr>
          <w:rFonts w:hint="default" w:eastAsia="华文楷体"/>
          <w:sz w:val="24"/>
          <w:lang w:val="en-US" w:eastAsia="zh-CN"/>
        </w:rPr>
        <w:t>：我们无需重新训练庞大的 LLM，只需训练射频投影层（RF Projector），这使得在有限算力下部署成为可能。借用 LLM（如 LLaMA）在处理自然语言长序列上的惊人能力，将其迁移至处理 CIR 时序逻辑上，能够有效捕捉长跨度下的信道老化趋势。 LLaVA 架构能自然地将 CFR 的“视觉特征” 与 CIR 的“语言特征” 在 LLM 的语义空间中对齐，实现真正的时空联合预测。</w:t>
      </w:r>
    </w:p>
    <w:p w14:paraId="631710FB">
      <w:pPr>
        <w:pStyle w:val="21"/>
        <w:numPr>
          <w:ilvl w:val="0"/>
          <w:numId w:val="4"/>
        </w:numPr>
        <w:snapToGrid w:val="0"/>
        <w:spacing w:before="156" w:beforeLines="50" w:line="300" w:lineRule="auto"/>
        <w:ind w:firstLineChars="0"/>
        <w:jc w:val="left"/>
        <w:rPr>
          <w:rFonts w:eastAsia="华文楷体"/>
          <w:sz w:val="24"/>
        </w:rPr>
      </w:pPr>
      <w:r>
        <w:rPr>
          <w:rFonts w:hint="eastAsia" w:eastAsia="华文楷体"/>
          <w:sz w:val="24"/>
        </w:rPr>
        <w:t>大模型在无线通信中的应用现状</w:t>
      </w:r>
    </w:p>
    <w:p w14:paraId="40AD575B">
      <w:pPr>
        <w:pStyle w:val="21"/>
        <w:numPr>
          <w:numId w:val="0"/>
        </w:numPr>
        <w:snapToGrid w:val="0"/>
        <w:spacing w:before="156" w:beforeLines="50" w:line="300" w:lineRule="auto"/>
        <w:ind w:leftChars="0"/>
        <w:jc w:val="left"/>
        <w:rPr>
          <w:rFonts w:eastAsia="华文楷体"/>
          <w:sz w:val="24"/>
        </w:rPr>
      </w:pPr>
    </w:p>
    <w:p w14:paraId="79189C00">
      <w:pPr>
        <w:pStyle w:val="21"/>
        <w:numPr>
          <w:numId w:val="0"/>
        </w:numPr>
        <w:snapToGrid w:val="0"/>
        <w:spacing w:before="156" w:beforeLines="50" w:line="300" w:lineRule="auto"/>
        <w:jc w:val="left"/>
        <w:rPr>
          <w:rFonts w:hint="default" w:eastAsia="华文楷体"/>
          <w:sz w:val="24"/>
          <w:lang w:val="en-US" w:eastAsia="zh-CN"/>
        </w:rPr>
      </w:pPr>
    </w:p>
    <w:p w14:paraId="59B38796">
      <w:pPr>
        <w:snapToGrid w:val="0"/>
        <w:spacing w:before="156" w:beforeLines="50" w:line="300" w:lineRule="auto"/>
        <w:jc w:val="left"/>
        <w:rPr>
          <w:rFonts w:eastAsia="华文楷体"/>
          <w:sz w:val="24"/>
        </w:rPr>
      </w:pPr>
    </w:p>
    <w:permEnd w:id="18"/>
    <w:p w14:paraId="318208A1">
      <w:pPr>
        <w:snapToGrid w:val="0"/>
        <w:ind w:firstLine="480" w:firstLineChars="200"/>
        <w:jc w:val="left"/>
        <w:rPr>
          <w:rFonts w:eastAsia="华文楷体"/>
          <w:sz w:val="24"/>
        </w:rPr>
      </w:pPr>
      <w:r>
        <w:rPr>
          <w:rFonts w:eastAsia="华文楷体"/>
          <w:sz w:val="24"/>
        </w:rPr>
        <w:t>参考文献</w:t>
      </w:r>
      <w:r>
        <w:rPr>
          <w:rFonts w:hint="eastAsia" w:eastAsia="华文楷体"/>
          <w:sz w:val="24"/>
        </w:rPr>
        <w:t xml:space="preserve"> Reference：</w:t>
      </w:r>
    </w:p>
    <w:p w14:paraId="7E912972">
      <w:pPr>
        <w:snapToGrid w:val="0"/>
        <w:jc w:val="left"/>
        <w:rPr>
          <w:rFonts w:eastAsia="华文楷体"/>
          <w:sz w:val="24"/>
        </w:rPr>
      </w:pPr>
      <w:permStart w:id="19" w:edGrp="everyone"/>
    </w:p>
    <w:p w14:paraId="37A26F08">
      <w:pPr>
        <w:numPr>
          <w:ilvl w:val="0"/>
          <w:numId w:val="7"/>
        </w:numPr>
        <w:snapToGrid w:val="0"/>
        <w:jc w:val="left"/>
        <w:rPr>
          <w:rFonts w:eastAsia="华文楷体"/>
          <w:sz w:val="24"/>
        </w:rPr>
      </w:pPr>
      <w:bookmarkStart w:id="4" w:name="_Ref217550470"/>
      <w:bookmarkStart w:id="5" w:name="_Ref217550303"/>
      <w:r>
        <w:rPr>
          <w:rFonts w:eastAsia="华文楷体"/>
          <w:sz w:val="24"/>
        </w:rPr>
        <w:t>BMR Manasa and P Venugopal. 2024. A systematic literature review on channel estimation in mimo-ofdm</w:t>
      </w:r>
      <w:r>
        <w:rPr>
          <w:rFonts w:hint="eastAsia" w:eastAsia="华文楷体"/>
          <w:sz w:val="24"/>
        </w:rPr>
        <w:t xml:space="preserve"> </w:t>
      </w:r>
      <w:r>
        <w:rPr>
          <w:rFonts w:eastAsia="华文楷体"/>
          <w:sz w:val="24"/>
        </w:rPr>
        <w:t>system: Performance analysis and future direction.</w:t>
      </w:r>
      <w:r>
        <w:rPr>
          <w:rFonts w:hint="eastAsia" w:eastAsia="华文楷体"/>
          <w:sz w:val="24"/>
        </w:rPr>
        <w:t xml:space="preserve"> </w:t>
      </w:r>
      <w:r>
        <w:rPr>
          <w:rFonts w:eastAsia="华文楷体"/>
          <w:sz w:val="24"/>
        </w:rPr>
        <w:t>Journal of Optical Communications, 45(3):589–614.</w:t>
      </w:r>
      <w:bookmarkEnd w:id="4"/>
    </w:p>
    <w:p w14:paraId="27AA68C6">
      <w:pPr>
        <w:numPr>
          <w:ilvl w:val="0"/>
          <w:numId w:val="7"/>
        </w:numPr>
        <w:snapToGrid w:val="0"/>
        <w:jc w:val="left"/>
        <w:rPr>
          <w:rFonts w:eastAsia="华文楷体"/>
          <w:sz w:val="24"/>
        </w:rPr>
      </w:pPr>
      <w:bookmarkStart w:id="6" w:name="_Ref217550937"/>
      <w:r>
        <w:rPr>
          <w:rFonts w:hint="eastAsia" w:eastAsia="华文楷体"/>
          <w:sz w:val="24"/>
        </w:rPr>
        <w:t>Kareem E. Baddour and Norman C. Beaulieu, “Autoregressive modeling for fading channel simulation,”IEEE Trans. Wirel. Commun., vol. 4, no.4, pp. 1650–1662, 2005</w:t>
      </w:r>
      <w:r>
        <w:rPr>
          <w:rFonts w:eastAsia="华文楷体"/>
          <w:sz w:val="24"/>
        </w:rPr>
        <w:t>.</w:t>
      </w:r>
      <w:bookmarkEnd w:id="5"/>
      <w:bookmarkEnd w:id="6"/>
    </w:p>
    <w:p w14:paraId="0C9CB696">
      <w:pPr>
        <w:numPr>
          <w:ilvl w:val="0"/>
          <w:numId w:val="7"/>
        </w:numPr>
        <w:snapToGrid w:val="0"/>
        <w:jc w:val="left"/>
        <w:rPr>
          <w:rFonts w:eastAsia="华文楷体"/>
          <w:sz w:val="24"/>
        </w:rPr>
      </w:pPr>
      <w:r>
        <w:rPr>
          <w:rFonts w:eastAsia="华文楷体"/>
          <w:sz w:val="24"/>
        </w:rPr>
        <w:t>Masayoshi Ozawa, Tomoaki Ohtsuki, Wenjie Jiang, and</w:t>
      </w:r>
      <w:r>
        <w:rPr>
          <w:rFonts w:hint="eastAsia" w:eastAsia="华文楷体"/>
          <w:sz w:val="24"/>
        </w:rPr>
        <w:t xml:space="preserve"> </w:t>
      </w:r>
      <w:r>
        <w:rPr>
          <w:rFonts w:eastAsia="华文楷体"/>
          <w:sz w:val="24"/>
        </w:rPr>
        <w:t>Yasushi Takatori. 2015. Interference alignment for</w:t>
      </w:r>
      <w:r>
        <w:rPr>
          <w:rFonts w:hint="eastAsia" w:eastAsia="华文楷体"/>
          <w:sz w:val="24"/>
        </w:rPr>
        <w:t xml:space="preserve"> </w:t>
      </w:r>
      <w:r>
        <w:rPr>
          <w:rFonts w:eastAsia="华文楷体"/>
          <w:sz w:val="24"/>
        </w:rPr>
        <w:t>time-varying channel with channel and weight predictions based on auto regressive model. In 2015 IEEE</w:t>
      </w:r>
      <w:r>
        <w:rPr>
          <w:rFonts w:hint="eastAsia" w:eastAsia="华文楷体"/>
          <w:sz w:val="24"/>
        </w:rPr>
        <w:t xml:space="preserve"> </w:t>
      </w:r>
      <w:r>
        <w:rPr>
          <w:rFonts w:eastAsia="华文楷体"/>
          <w:sz w:val="24"/>
        </w:rPr>
        <w:t>Global Communications Conference (GLOBECOM),</w:t>
      </w:r>
      <w:r>
        <w:rPr>
          <w:rFonts w:hint="eastAsia" w:eastAsia="华文楷体"/>
          <w:sz w:val="24"/>
        </w:rPr>
        <w:t xml:space="preserve"> </w:t>
      </w:r>
      <w:r>
        <w:rPr>
          <w:rFonts w:eastAsia="华文楷体"/>
          <w:sz w:val="24"/>
        </w:rPr>
        <w:t>pages 1–6. IEEE.</w:t>
      </w:r>
    </w:p>
    <w:p w14:paraId="0C699AED">
      <w:pPr>
        <w:numPr>
          <w:ilvl w:val="0"/>
          <w:numId w:val="7"/>
        </w:numPr>
        <w:snapToGrid w:val="0"/>
        <w:jc w:val="left"/>
        <w:rPr>
          <w:rFonts w:eastAsia="华文楷体"/>
          <w:sz w:val="24"/>
        </w:rPr>
      </w:pPr>
      <w:bookmarkStart w:id="7" w:name="_Ref217551146"/>
      <w:r>
        <w:rPr>
          <w:rFonts w:eastAsia="华文楷体"/>
          <w:sz w:val="24"/>
        </w:rPr>
        <w:t>David Löschenbrand, Markus Hofer, and Thomas Zemen. 2023. Spectral efficiency of time-variant massive mimo using wiener prediction. IEEE Communications Letters, 27(4):1225–1229.</w:t>
      </w:r>
      <w:bookmarkEnd w:id="7"/>
    </w:p>
    <w:p w14:paraId="40203982">
      <w:pPr>
        <w:numPr>
          <w:ilvl w:val="0"/>
          <w:numId w:val="7"/>
        </w:numPr>
        <w:snapToGrid w:val="0"/>
        <w:jc w:val="left"/>
        <w:rPr>
          <w:rFonts w:eastAsia="华文楷体"/>
          <w:sz w:val="24"/>
        </w:rPr>
      </w:pPr>
      <w:bookmarkStart w:id="8" w:name="_Ref217550781"/>
      <w:r>
        <w:rPr>
          <w:rFonts w:hint="eastAsia" w:eastAsia="华文楷体"/>
          <w:sz w:val="24"/>
        </w:rPr>
        <w:t>Hwanjin Kim, Sucheol Kim, Hyeongtaek Lee, Chulhee Jang, Yongyun Choi, and Junil Choi, “Massive MIMO channel prediction: Kalman filtering vs. machine learning,” IEEE Trans. Commun., vol. 69, no. 1, pp. 518–528, 2021.</w:t>
      </w:r>
      <w:bookmarkEnd w:id="8"/>
    </w:p>
    <w:p w14:paraId="2298EBEF">
      <w:pPr>
        <w:numPr>
          <w:ilvl w:val="0"/>
          <w:numId w:val="7"/>
        </w:numPr>
        <w:snapToGrid w:val="0"/>
        <w:jc w:val="left"/>
        <w:rPr>
          <w:rFonts w:eastAsia="华文楷体"/>
          <w:sz w:val="24"/>
        </w:rPr>
      </w:pPr>
      <w:bookmarkStart w:id="9" w:name="_Ref217551701"/>
      <w:r>
        <w:rPr>
          <w:rFonts w:eastAsia="华文楷体"/>
          <w:sz w:val="24"/>
        </w:rPr>
        <w:t>Jeffrey L Elman. 1990. Finding structure in time. Cognitive Science, 14(2):179–211.</w:t>
      </w:r>
      <w:bookmarkEnd w:id="9"/>
    </w:p>
    <w:p w14:paraId="6C21639F">
      <w:pPr>
        <w:numPr>
          <w:ilvl w:val="0"/>
          <w:numId w:val="7"/>
        </w:numPr>
        <w:snapToGrid w:val="0"/>
        <w:jc w:val="left"/>
        <w:rPr>
          <w:rFonts w:eastAsia="华文楷体"/>
          <w:sz w:val="24"/>
        </w:rPr>
      </w:pPr>
      <w:bookmarkStart w:id="10" w:name="_Ref217551794"/>
      <w:r>
        <w:rPr>
          <w:rFonts w:eastAsia="华文楷体"/>
          <w:sz w:val="24"/>
        </w:rPr>
        <w:t>Sepp Hochreiter and Jürgen Schmidhuber. 1997. Long</w:t>
      </w:r>
      <w:r>
        <w:rPr>
          <w:rFonts w:hint="eastAsia" w:eastAsia="华文楷体"/>
          <w:sz w:val="24"/>
        </w:rPr>
        <w:t xml:space="preserve"> </w:t>
      </w:r>
      <w:r>
        <w:rPr>
          <w:rFonts w:eastAsia="华文楷体"/>
          <w:sz w:val="24"/>
        </w:rPr>
        <w:t>short-term memory. Neural Computation, 9(8):1735–1780.</w:t>
      </w:r>
      <w:bookmarkEnd w:id="10"/>
    </w:p>
    <w:p w14:paraId="4A026130">
      <w:pPr>
        <w:numPr>
          <w:ilvl w:val="0"/>
          <w:numId w:val="7"/>
        </w:numPr>
        <w:snapToGrid w:val="0"/>
        <w:jc w:val="left"/>
        <w:rPr>
          <w:rFonts w:eastAsia="华文楷体"/>
          <w:sz w:val="24"/>
        </w:rPr>
      </w:pPr>
      <w:bookmarkStart w:id="11" w:name="_Ref217552339"/>
      <w:r>
        <w:rPr>
          <w:rFonts w:eastAsia="华文楷体"/>
          <w:sz w:val="24"/>
        </w:rPr>
        <w:t>Junyoung Chung, C¸ aglar G¨ulc¸ehre, KyungHyun Cho, and Yoshua Bengio, “Empirical evaluation of gated recurrent neural networks on</w:t>
      </w:r>
      <w:r>
        <w:rPr>
          <w:rFonts w:hint="eastAsia" w:eastAsia="华文楷体"/>
          <w:sz w:val="24"/>
        </w:rPr>
        <w:t xml:space="preserve"> </w:t>
      </w:r>
      <w:r>
        <w:rPr>
          <w:rFonts w:eastAsia="华文楷体"/>
          <w:sz w:val="24"/>
        </w:rPr>
        <w:t xml:space="preserve"> sequence modeling,” CoRR, vol. abs/1412.3555, 2014.</w:t>
      </w:r>
      <w:bookmarkEnd w:id="11"/>
    </w:p>
    <w:p w14:paraId="2288AAB9">
      <w:pPr>
        <w:numPr>
          <w:ilvl w:val="0"/>
          <w:numId w:val="7"/>
        </w:numPr>
        <w:snapToGrid w:val="0"/>
        <w:jc w:val="left"/>
        <w:rPr>
          <w:rFonts w:eastAsia="华文楷体"/>
          <w:sz w:val="24"/>
        </w:rPr>
      </w:pPr>
      <w:bookmarkStart w:id="12" w:name="_Ref217552355"/>
      <w:r>
        <w:rPr>
          <w:rFonts w:eastAsia="华文楷体"/>
          <w:sz w:val="24"/>
        </w:rPr>
        <w:t>Wei Jiang and Hans D Schotten. 2019. Recurrent neural</w:t>
      </w:r>
      <w:r>
        <w:rPr>
          <w:rFonts w:hint="eastAsia" w:eastAsia="华文楷体"/>
          <w:sz w:val="24"/>
        </w:rPr>
        <w:t xml:space="preserve"> </w:t>
      </w:r>
      <w:r>
        <w:rPr>
          <w:rFonts w:eastAsia="华文楷体"/>
          <w:sz w:val="24"/>
        </w:rPr>
        <w:t>network-based frequency-domain channel prediction</w:t>
      </w:r>
      <w:r>
        <w:rPr>
          <w:rFonts w:hint="eastAsia" w:eastAsia="华文楷体"/>
          <w:sz w:val="24"/>
        </w:rPr>
        <w:t xml:space="preserve"> </w:t>
      </w:r>
      <w:r>
        <w:rPr>
          <w:rFonts w:eastAsia="华文楷体"/>
          <w:sz w:val="24"/>
        </w:rPr>
        <w:t>for wideband communications. In 2019 IEEE 89th</w:t>
      </w:r>
      <w:r>
        <w:rPr>
          <w:rFonts w:hint="eastAsia" w:eastAsia="华文楷体"/>
          <w:sz w:val="24"/>
        </w:rPr>
        <w:t xml:space="preserve"> </w:t>
      </w:r>
      <w:r>
        <w:rPr>
          <w:rFonts w:eastAsia="华文楷体"/>
          <w:sz w:val="24"/>
        </w:rPr>
        <w:t>vehicular technology conference (VTC2019-Spring),</w:t>
      </w:r>
      <w:r>
        <w:rPr>
          <w:rFonts w:hint="eastAsia" w:eastAsia="华文楷体"/>
          <w:sz w:val="24"/>
        </w:rPr>
        <w:t xml:space="preserve"> </w:t>
      </w:r>
      <w:r>
        <w:rPr>
          <w:rFonts w:eastAsia="华文楷体"/>
          <w:sz w:val="24"/>
        </w:rPr>
        <w:t>pages 1–6. IEEE.</w:t>
      </w:r>
      <w:bookmarkEnd w:id="12"/>
    </w:p>
    <w:p w14:paraId="43089683">
      <w:pPr>
        <w:numPr>
          <w:ilvl w:val="0"/>
          <w:numId w:val="7"/>
        </w:numPr>
        <w:snapToGrid w:val="0"/>
        <w:jc w:val="left"/>
        <w:rPr>
          <w:rFonts w:eastAsia="华文楷体"/>
          <w:sz w:val="24"/>
        </w:rPr>
      </w:pPr>
      <w:bookmarkStart w:id="13" w:name="_Ref217552654"/>
      <w:r>
        <w:rPr>
          <w:rFonts w:eastAsia="华文楷体"/>
          <w:sz w:val="24"/>
        </w:rPr>
        <w:t>Islam Helmy, Pulok Tarafder, and Wooyeol Choi. 2023.Lstm-gru model-based channel prediction for one-bit massive mimo system. IEEE Transactions on</w:t>
      </w:r>
      <w:r>
        <w:rPr>
          <w:rFonts w:hint="eastAsia" w:eastAsia="华文楷体"/>
          <w:sz w:val="24"/>
        </w:rPr>
        <w:t xml:space="preserve"> </w:t>
      </w:r>
      <w:r>
        <w:rPr>
          <w:rFonts w:eastAsia="华文楷体"/>
          <w:sz w:val="24"/>
        </w:rPr>
        <w:t>Vehicular Technology, 72(8):11053–11057.</w:t>
      </w:r>
      <w:bookmarkEnd w:id="13"/>
    </w:p>
    <w:p w14:paraId="7E73D488">
      <w:pPr>
        <w:numPr>
          <w:ilvl w:val="0"/>
          <w:numId w:val="7"/>
        </w:numPr>
        <w:snapToGrid w:val="0"/>
        <w:jc w:val="left"/>
        <w:rPr>
          <w:rFonts w:eastAsia="华文楷体"/>
          <w:sz w:val="24"/>
        </w:rPr>
      </w:pPr>
      <w:bookmarkStart w:id="14" w:name="_Ref217553877"/>
      <w:bookmarkStart w:id="15" w:name="_Ref217552822"/>
      <w:r>
        <w:rPr>
          <w:rFonts w:eastAsia="华文楷体"/>
          <w:sz w:val="24"/>
        </w:rPr>
        <w:t>Ashish Vaswani, Noam Shazeer, Niki Parmar, Jakob Uszkoreit, Llion</w:t>
      </w:r>
      <w:r>
        <w:rPr>
          <w:rFonts w:hint="eastAsia" w:eastAsia="华文楷体"/>
          <w:sz w:val="24"/>
        </w:rPr>
        <w:t xml:space="preserve"> </w:t>
      </w:r>
      <w:r>
        <w:rPr>
          <w:rFonts w:eastAsia="华文楷体"/>
          <w:sz w:val="24"/>
        </w:rPr>
        <w:t>Jones, Aidan N. Gomez, Lukasz Kaiser, and Illia Polosukhin, “Attention is all you need,” in Advances in Neural Information Processing Systems 30: Annual Conference on Neural Information Processing Systems 2017,</w:t>
      </w:r>
      <w:r>
        <w:rPr>
          <w:rFonts w:hint="eastAsia" w:eastAsia="华文楷体"/>
          <w:sz w:val="24"/>
        </w:rPr>
        <w:t xml:space="preserve"> </w:t>
      </w:r>
      <w:r>
        <w:rPr>
          <w:rFonts w:eastAsia="华文楷体"/>
          <w:sz w:val="24"/>
        </w:rPr>
        <w:t>December 4-9, 2017, Long Beach, CA, USA, Isabelle Guyon, Ulrike</w:t>
      </w:r>
      <w:r>
        <w:rPr>
          <w:rFonts w:hint="eastAsia" w:eastAsia="华文楷体"/>
          <w:sz w:val="24"/>
        </w:rPr>
        <w:t xml:space="preserve"> </w:t>
      </w:r>
      <w:r>
        <w:rPr>
          <w:rFonts w:eastAsia="华文楷体"/>
          <w:sz w:val="24"/>
        </w:rPr>
        <w:t>von Luxburg, Samy Bengio, Hanna M. Wallach, Rob Fergus, S. V. N. Vishwanathan, and Roman Garnett, Eds., 2017, pp. 5998–6008.</w:t>
      </w:r>
      <w:bookmarkEnd w:id="14"/>
    </w:p>
    <w:p w14:paraId="35D37132">
      <w:pPr>
        <w:numPr>
          <w:ilvl w:val="0"/>
          <w:numId w:val="7"/>
        </w:numPr>
        <w:snapToGrid w:val="0"/>
        <w:jc w:val="left"/>
        <w:rPr>
          <w:rFonts w:eastAsia="华文楷体"/>
          <w:sz w:val="24"/>
        </w:rPr>
      </w:pPr>
      <w:bookmarkStart w:id="16" w:name="_Ref217553920"/>
      <w:r>
        <w:rPr>
          <w:rFonts w:hint="eastAsia" w:eastAsia="华文楷体"/>
          <w:sz w:val="24"/>
        </w:rPr>
        <w:t>Hao Jiang, Mingyao Cui, Derrick Wing Kwan Ng, and Linglong Dai,“Accurate channel prediction based on transformer: Making mobility negligible,” IEEE J. Sel. Areas Commun., vol. 40, no. 9, pp. 2717–2732, 2022.</w:t>
      </w:r>
      <w:bookmarkEnd w:id="15"/>
      <w:bookmarkEnd w:id="16"/>
    </w:p>
    <w:p w14:paraId="34F86D72">
      <w:pPr>
        <w:numPr>
          <w:ilvl w:val="0"/>
          <w:numId w:val="7"/>
        </w:numPr>
        <w:snapToGrid w:val="0"/>
        <w:jc w:val="left"/>
        <w:rPr>
          <w:rFonts w:eastAsia="华文楷体"/>
          <w:sz w:val="24"/>
        </w:rPr>
      </w:pPr>
      <w:bookmarkStart w:id="17" w:name="_Ref217554373"/>
      <w:r>
        <w:rPr>
          <w:rFonts w:eastAsia="华文楷体"/>
          <w:sz w:val="24"/>
        </w:rPr>
        <w:t>Radford A, Narasimhan K, Salimans T, et al. Improving language understanding by generative pre-training[J]. 2018.</w:t>
      </w:r>
      <w:bookmarkEnd w:id="17"/>
    </w:p>
    <w:p w14:paraId="1C90E9F5">
      <w:pPr>
        <w:numPr>
          <w:ilvl w:val="0"/>
          <w:numId w:val="7"/>
        </w:numPr>
        <w:snapToGrid w:val="0"/>
        <w:jc w:val="left"/>
        <w:rPr>
          <w:rFonts w:eastAsia="华文楷体"/>
          <w:sz w:val="24"/>
        </w:rPr>
      </w:pPr>
      <w:bookmarkStart w:id="18" w:name="_Ref217554383"/>
      <w:r>
        <w:rPr>
          <w:rFonts w:hint="eastAsia" w:eastAsia="华文楷体"/>
          <w:sz w:val="24"/>
        </w:rPr>
        <w:t>Boxun Liu, Xuanyu Liu, Shijian Gao, Xiang Cheng, and Liuqing Yang,“LLM4CP: adapting large language models for channel prediction,” J.Commun. Inf. Networks, vol. 9, no. 2, pp. 113–125, 2024.</w:t>
      </w:r>
      <w:bookmarkEnd w:id="18"/>
    </w:p>
    <w:p w14:paraId="7CCBDDBD">
      <w:pPr>
        <w:numPr>
          <w:ilvl w:val="0"/>
          <w:numId w:val="7"/>
        </w:numPr>
        <w:snapToGrid w:val="0"/>
        <w:jc w:val="left"/>
        <w:rPr>
          <w:rFonts w:eastAsia="华文楷体"/>
          <w:sz w:val="24"/>
        </w:rPr>
      </w:pPr>
      <w:bookmarkStart w:id="19" w:name="_Ref217555341"/>
      <w:r>
        <w:rPr>
          <w:rFonts w:eastAsia="华文楷体"/>
          <w:sz w:val="24"/>
        </w:rPr>
        <w:t>Radford A, Wu J, Child R, et al. Language models are unsupervised multitask learners[J]. OpenAI blog, 2019, 1(8): 9.</w:t>
      </w:r>
      <w:bookmarkEnd w:id="19"/>
    </w:p>
    <w:p w14:paraId="7290BEE3">
      <w:pPr>
        <w:numPr>
          <w:ilvl w:val="0"/>
          <w:numId w:val="7"/>
        </w:numPr>
        <w:snapToGrid w:val="0"/>
        <w:jc w:val="left"/>
        <w:rPr>
          <w:rFonts w:eastAsia="华文楷体"/>
          <w:sz w:val="24"/>
        </w:rPr>
      </w:pPr>
      <w:bookmarkStart w:id="20" w:name="_Ref217555370"/>
      <w:r>
        <w:rPr>
          <w:rFonts w:eastAsia="华文楷体"/>
          <w:sz w:val="24"/>
        </w:rPr>
        <w:t>LeCun Y, Bottou L, Bengio Y, et al. Gradient-based learning applied to document recognition[J]. Proceedings of the IEEE, 2002, 86(11): 2278-2324.</w:t>
      </w:r>
      <w:bookmarkEnd w:id="20"/>
    </w:p>
    <w:p w14:paraId="72C9B263">
      <w:pPr>
        <w:numPr>
          <w:ilvl w:val="0"/>
          <w:numId w:val="7"/>
        </w:numPr>
        <w:snapToGrid w:val="0"/>
        <w:jc w:val="left"/>
        <w:rPr>
          <w:rFonts w:eastAsia="华文楷体"/>
          <w:sz w:val="24"/>
        </w:rPr>
      </w:pPr>
      <w:bookmarkStart w:id="21" w:name="_Ref217555449"/>
      <w:r>
        <w:rPr>
          <w:rFonts w:eastAsia="华文楷体"/>
          <w:sz w:val="24"/>
        </w:rPr>
        <w:t>He K, Zhang X, Ren S, et al. Deep residual learning for image recognition[C]//Proceedings of the IEEE conference on computer vision and pattern recognition. 2016: 770-778.</w:t>
      </w:r>
      <w:bookmarkEnd w:id="21"/>
    </w:p>
    <w:p w14:paraId="25F68EE7">
      <w:pPr>
        <w:numPr>
          <w:ilvl w:val="0"/>
          <w:numId w:val="7"/>
        </w:numPr>
        <w:snapToGrid w:val="0"/>
        <w:jc w:val="left"/>
        <w:rPr>
          <w:rFonts w:eastAsia="华文楷体"/>
          <w:sz w:val="24"/>
        </w:rPr>
      </w:pPr>
      <w:bookmarkStart w:id="22" w:name="_Ref217555477"/>
      <w:r>
        <w:rPr>
          <w:rFonts w:hint="eastAsia" w:eastAsia="华文楷体"/>
          <w:sz w:val="24"/>
        </w:rPr>
        <w:t>Jie Wang, Ying Ding, Shujie Bian, Yang Peng, Miao Liu, and Guan Gui,“UL-CSI data driven deep learning for predicting DL-CSI in cellular FDD systems,” IEEE Access, vol. 7, pp. 96105–96112, 2019.</w:t>
      </w:r>
      <w:bookmarkEnd w:id="22"/>
    </w:p>
    <w:p w14:paraId="730B6EEA">
      <w:pPr>
        <w:numPr>
          <w:ilvl w:val="0"/>
          <w:numId w:val="7"/>
        </w:numPr>
        <w:snapToGrid w:val="0"/>
        <w:jc w:val="left"/>
        <w:rPr>
          <w:rFonts w:eastAsia="华文楷体"/>
          <w:sz w:val="24"/>
        </w:rPr>
      </w:pPr>
      <w:bookmarkStart w:id="23" w:name="_Ref217568697"/>
      <w:r>
        <w:rPr>
          <w:rFonts w:eastAsia="华文楷体"/>
          <w:sz w:val="24"/>
        </w:rPr>
        <w:t>Trabelsi C, Bilaniuk O, Zhang Y, et al. Deep complex networks[J]. arXiv preprint arXiv:1705.09792, 2017.</w:t>
      </w:r>
      <w:bookmarkEnd w:id="23"/>
    </w:p>
    <w:p w14:paraId="4D9A6E82">
      <w:pPr>
        <w:numPr>
          <w:ilvl w:val="0"/>
          <w:numId w:val="7"/>
        </w:numPr>
        <w:snapToGrid w:val="0"/>
        <w:jc w:val="left"/>
        <w:rPr>
          <w:rFonts w:eastAsia="华文楷体"/>
          <w:sz w:val="24"/>
        </w:rPr>
      </w:pPr>
      <w:bookmarkStart w:id="24" w:name="_Ref217555847"/>
      <w:r>
        <w:rPr>
          <w:rFonts w:hint="eastAsia" w:eastAsia="华文楷体"/>
          <w:sz w:val="24"/>
        </w:rPr>
        <w:t>Chi Wu, Xinping Yi, Yiming Zhu, Wenjin Wang, Li You, and Xiqi Gao, “Channel prediction in high-mobility massive MIMO: from spatio-temporal autoregression to deep learning,” IEEE J. Sel. Areas Commun.,vol. 39, no. 7, pp. 1915–1930, 2021.</w:t>
      </w:r>
      <w:bookmarkEnd w:id="24"/>
    </w:p>
    <w:p w14:paraId="41AFF3BF">
      <w:pPr>
        <w:numPr>
          <w:ilvl w:val="0"/>
          <w:numId w:val="7"/>
        </w:numPr>
        <w:snapToGrid w:val="0"/>
        <w:jc w:val="left"/>
        <w:rPr>
          <w:rFonts w:eastAsia="华文楷体"/>
          <w:sz w:val="24"/>
        </w:rPr>
      </w:pPr>
      <w:bookmarkStart w:id="25" w:name="_Ref217569239"/>
      <w:r>
        <w:rPr>
          <w:rFonts w:eastAsia="华文楷体"/>
          <w:sz w:val="24"/>
        </w:rPr>
        <w:t>Ji S, Li M. CLNet: Complex input lightweight neural network designed for massive MIMO CSI feedback[J]. IEEE Wireless Communications Letters, 2021, 10(10): 2318-2322.</w:t>
      </w:r>
      <w:bookmarkEnd w:id="25"/>
    </w:p>
    <w:p w14:paraId="244D0841">
      <w:pPr>
        <w:numPr>
          <w:ilvl w:val="0"/>
          <w:numId w:val="7"/>
        </w:numPr>
        <w:snapToGrid w:val="0"/>
        <w:jc w:val="left"/>
        <w:rPr>
          <w:rFonts w:eastAsia="华文楷体"/>
          <w:sz w:val="24"/>
        </w:rPr>
      </w:pPr>
      <w:bookmarkStart w:id="26" w:name="_Ref217569240"/>
      <w:r>
        <w:rPr>
          <w:rFonts w:eastAsia="华文楷体"/>
          <w:sz w:val="24"/>
        </w:rPr>
        <w:t>Li H, Zhang B, Chang H, et al. CVLNet: A complex-valued lightweight network for CSI feedback[J]. IEEE Wireless Communications Letters, 2022, 11(5): 1092-1096.</w:t>
      </w:r>
      <w:bookmarkEnd w:id="26"/>
    </w:p>
    <w:p w14:paraId="4BDCCFEA">
      <w:pPr>
        <w:numPr>
          <w:ilvl w:val="0"/>
          <w:numId w:val="7"/>
        </w:numPr>
        <w:snapToGrid w:val="0"/>
        <w:jc w:val="left"/>
        <w:rPr>
          <w:rFonts w:eastAsia="华文楷体"/>
          <w:sz w:val="24"/>
        </w:rPr>
      </w:pPr>
      <w:bookmarkStart w:id="27" w:name="_Ref217569242"/>
      <w:r>
        <w:rPr>
          <w:rFonts w:eastAsia="华文楷体"/>
          <w:sz w:val="24"/>
        </w:rPr>
        <w:t>Zhang Y, Wang J, Sun J, et al. CV-3DCNN: Complex-valued deep learning for CSI prediction in FDD massive MIMO systems[J]. IEEE Wireless Communications Letters, 2020, 10(2): 266-270</w:t>
      </w:r>
      <w:bookmarkEnd w:id="27"/>
    </w:p>
    <w:p w14:paraId="3B9F4F4B">
      <w:pPr>
        <w:numPr>
          <w:ilvl w:val="0"/>
          <w:numId w:val="7"/>
        </w:numPr>
        <w:snapToGrid w:val="0"/>
        <w:jc w:val="left"/>
        <w:rPr>
          <w:rFonts w:eastAsia="华文楷体"/>
          <w:sz w:val="24"/>
        </w:rPr>
      </w:pPr>
      <w:bookmarkStart w:id="28" w:name="_Ref217569479"/>
      <w:r>
        <w:rPr>
          <w:rFonts w:hint="eastAsia" w:eastAsia="华文楷体"/>
          <w:sz w:val="24"/>
        </w:rPr>
        <w:t>Alexey Dosovitskiy, Lucas Beyer, Alexander Kolesnikov, Dirk Weis-senborn, Xiaohua Zhai, Thomas Unterthiner, Mostafa Dehghani, Matthias Minderer, Georg Heigold, Sylvain Gelly, Jakob Uszkoreit, and Neil Houlsby, “An image is worth 16x16 words: Transformers for image recognition at scale,” in 9th International Conference on Learning Representations, ICLR 2021, Virtual Event, Austria, May 3-7, 2021. 2021, OpenReview.net.</w:t>
      </w:r>
      <w:bookmarkEnd w:id="28"/>
    </w:p>
    <w:p w14:paraId="58C84899">
      <w:pPr>
        <w:numPr>
          <w:ilvl w:val="0"/>
          <w:numId w:val="7"/>
        </w:numPr>
        <w:snapToGrid w:val="0"/>
        <w:jc w:val="left"/>
        <w:rPr>
          <w:rFonts w:eastAsia="华文楷体"/>
          <w:sz w:val="24"/>
        </w:rPr>
      </w:pPr>
      <w:bookmarkStart w:id="29" w:name="_Ref1340240796"/>
      <w:r>
        <w:rPr>
          <w:rFonts w:hint="eastAsia" w:eastAsia="华文楷体"/>
          <w:sz w:val="24"/>
        </w:rPr>
        <w:t>Liu Z, Lin Y, Cao Y, et al. Swin transformer: Hierarchical vision transformer using shifted windows[C]//Proceedings of the IEEE/CVF international conference on computer vision. 2021: 10012-10022.</w:t>
      </w:r>
      <w:bookmarkEnd w:id="29"/>
    </w:p>
    <w:p w14:paraId="1B006FB4">
      <w:pPr>
        <w:numPr>
          <w:ilvl w:val="0"/>
          <w:numId w:val="7"/>
        </w:numPr>
        <w:snapToGrid w:val="0"/>
        <w:jc w:val="left"/>
        <w:rPr>
          <w:rFonts w:eastAsia="华文楷体"/>
          <w:sz w:val="24"/>
        </w:rPr>
      </w:pPr>
      <w:bookmarkStart w:id="30" w:name="_Ref217570087"/>
      <w:r>
        <w:rPr>
          <w:rFonts w:eastAsia="华文楷体"/>
          <w:sz w:val="24"/>
        </w:rPr>
        <w:t>Liu F, Zhang J, Jiang P, et al. CE-ViT: A robust channel estimator based on vision transformer for OFDM systems[C]//GLOBECOM 2023-2023 IEEE Global Communications Conference. IEEE, 2023: 4798-4803.</w:t>
      </w:r>
      <w:bookmarkEnd w:id="30"/>
    </w:p>
    <w:p w14:paraId="4D36A0E1">
      <w:pPr>
        <w:numPr>
          <w:ilvl w:val="0"/>
          <w:numId w:val="7"/>
        </w:numPr>
        <w:snapToGrid w:val="0"/>
        <w:jc w:val="left"/>
        <w:rPr>
          <w:rFonts w:eastAsia="华文楷体"/>
          <w:sz w:val="24"/>
        </w:rPr>
      </w:pPr>
      <w:bookmarkStart w:id="31" w:name="_Ref217569501"/>
      <w:r>
        <w:rPr>
          <w:rFonts w:hint="eastAsia" w:eastAsia="华文楷体"/>
          <w:sz w:val="24"/>
        </w:rPr>
        <w:t>Jiaming Cheng, Wei Chen, Jialong Xu, Yiran Guo, Lun Li, and Bo Ai,“Swin transformer-based CSI feedback for massive MIMO,” in 23rd IEEE International Conference on Communication Technology, ICCT 2023, Wuxi, China, October 20-22, 2023. 2023, pp. 809–814, IEEE.</w:t>
      </w:r>
      <w:bookmarkEnd w:id="31"/>
    </w:p>
    <w:p w14:paraId="55A03CC0">
      <w:pPr>
        <w:numPr>
          <w:ilvl w:val="0"/>
          <w:numId w:val="7"/>
        </w:numPr>
        <w:snapToGrid w:val="0"/>
        <w:jc w:val="left"/>
        <w:rPr>
          <w:rFonts w:eastAsia="华文楷体"/>
          <w:sz w:val="24"/>
        </w:rPr>
      </w:pPr>
    </w:p>
    <w:p w14:paraId="39D61C03">
      <w:pPr>
        <w:snapToGrid w:val="0"/>
        <w:rPr>
          <w:rFonts w:ascii="仿宋_GB2312" w:eastAsia="仿宋_GB2312"/>
          <w:sz w:val="10"/>
        </w:rPr>
      </w:pPr>
    </w:p>
    <w:permEnd w:id="19"/>
    <w:p w14:paraId="4603B3FC">
      <w:pPr>
        <w:numPr>
          <w:ilvl w:val="0"/>
          <w:numId w:val="2"/>
        </w:numPr>
        <w:spacing w:before="240" w:after="240"/>
        <w:jc w:val="left"/>
        <w:rPr>
          <w:rFonts w:eastAsia="仿宋_GB2312"/>
          <w:b/>
          <w:sz w:val="24"/>
        </w:rPr>
      </w:pPr>
      <w:r>
        <w:rPr>
          <w:rFonts w:hint="eastAsia" w:ascii="仿宋_GB2312" w:eastAsia="仿宋_GB2312"/>
          <w:b/>
          <w:sz w:val="24"/>
        </w:rPr>
        <w:t>课题研究目标、主要研究内容和拟解决的关键问题。</w:t>
      </w:r>
      <w:r>
        <w:rPr>
          <w:rFonts w:eastAsia="仿宋_GB2312"/>
          <w:b/>
          <w:sz w:val="24"/>
        </w:rPr>
        <w:t xml:space="preserve"> Research objectives, main contents and key issues to be solved.</w:t>
      </w:r>
    </w:p>
    <w:p w14:paraId="72DFE5C2">
      <w:pPr>
        <w:snapToGrid w:val="0"/>
        <w:spacing w:before="156" w:beforeLines="50" w:line="300" w:lineRule="auto"/>
        <w:ind w:firstLine="425"/>
        <w:jc w:val="left"/>
        <w:rPr>
          <w:rFonts w:eastAsia="华文楷体"/>
          <w:sz w:val="24"/>
        </w:rPr>
      </w:pPr>
      <w:permStart w:id="20" w:edGrp="everyone"/>
    </w:p>
    <w:p w14:paraId="70D44508">
      <w:pPr>
        <w:numPr>
          <w:ilvl w:val="0"/>
          <w:numId w:val="8"/>
        </w:numPr>
        <w:snapToGrid w:val="0"/>
        <w:spacing w:before="156" w:beforeLines="50" w:line="300" w:lineRule="auto"/>
        <w:jc w:val="left"/>
        <w:rPr>
          <w:rFonts w:eastAsia="华文楷体"/>
          <w:sz w:val="24"/>
        </w:rPr>
      </w:pPr>
      <w:r>
        <w:rPr>
          <w:rFonts w:hint="eastAsia" w:eastAsia="华文楷体"/>
          <w:sz w:val="24"/>
        </w:rPr>
        <w:t>研究目标</w:t>
      </w:r>
    </w:p>
    <w:p w14:paraId="6BAF1668">
      <w:pPr>
        <w:snapToGrid w:val="0"/>
        <w:spacing w:before="156" w:beforeLines="50" w:line="300" w:lineRule="auto"/>
        <w:ind w:firstLine="425"/>
        <w:jc w:val="left"/>
        <w:rPr>
          <w:rFonts w:eastAsia="华文楷体"/>
          <w:sz w:val="24"/>
        </w:rPr>
      </w:pPr>
      <w:r>
        <w:rPr>
          <w:rFonts w:hint="eastAsia" w:eastAsia="华文楷体"/>
          <w:sz w:val="24"/>
        </w:rPr>
        <w:t>本项目旨在针对高移动性通信系统中信道状态信息（</w:t>
      </w:r>
      <w:r>
        <w:rPr>
          <w:rFonts w:eastAsia="华文楷体"/>
          <w:sz w:val="24"/>
        </w:rPr>
        <w:t xml:space="preserve">Channel State Information, </w:t>
      </w:r>
      <w:r>
        <w:rPr>
          <w:rFonts w:hint="eastAsia" w:eastAsia="华文楷体"/>
          <w:sz w:val="24"/>
        </w:rPr>
        <w:t>CSI）极易老化且难以精准建模的痛点，构建一套基于视觉-语言大模型的双重引导（Dual-Guided VLM）时空信道预测框架。该框架突破现有模型仅将射频信号视为单纯数值序列或者单纯空间结构特征的局限性，验证利用冻结的VLM解决无线通信领域问题的可行性。目标是实现对大规模MIMO复杂信道在时、频、空多尺度上的高精度预测，显著降低导频开销，提升波束赋形的鲁棒性。</w:t>
      </w:r>
    </w:p>
    <w:p w14:paraId="179F3DAF">
      <w:pPr>
        <w:numPr>
          <w:ilvl w:val="0"/>
          <w:numId w:val="8"/>
        </w:numPr>
        <w:snapToGrid w:val="0"/>
        <w:spacing w:before="156" w:beforeLines="50" w:line="300" w:lineRule="auto"/>
        <w:jc w:val="left"/>
        <w:rPr>
          <w:rFonts w:eastAsia="华文楷体"/>
          <w:sz w:val="24"/>
        </w:rPr>
      </w:pPr>
      <w:r>
        <w:rPr>
          <w:rFonts w:hint="eastAsia" w:eastAsia="华文楷体"/>
          <w:sz w:val="24"/>
        </w:rPr>
        <w:t>研究内容</w:t>
      </w:r>
    </w:p>
    <w:p w14:paraId="347258D3">
      <w:pPr>
        <w:snapToGrid w:val="0"/>
        <w:spacing w:before="156" w:beforeLines="50" w:line="300" w:lineRule="auto"/>
        <w:ind w:firstLine="425"/>
        <w:jc w:val="left"/>
        <w:rPr>
          <w:rFonts w:eastAsia="华文楷体"/>
          <w:sz w:val="24"/>
        </w:rPr>
      </w:pPr>
      <w:r>
        <w:rPr>
          <w:rFonts w:hint="eastAsia" w:eastAsia="华文楷体"/>
          <w:sz w:val="24"/>
        </w:rPr>
        <w:t>（一）、研究面向VLM的CSI跨模态表征与映射机制。这包括探索如何将复数域的高维CSI张量重构为适配Vision Encoder输入的伪视觉体征，以此来保留CSI的空间特征；同时研究如何将CSI序列离散化为适配LLM输入的Token信号，以此来建模信道的时序依赖。无线信道状态信息（CSI）本质上是描述电磁波在复数域传播特性的高维张量，具有显著的幅相波动性、多径稀疏性以及非欧几里得几何特征；而现有的视觉-语言大模型（VLM）则是基于自然RGB图像与人类自然语言文本训练的。两者在数据分布、特征流形及物理含义上存在巨大的“异构鸿沟”。因此，本研究将深入探索如何将抽象的射频信号映射到VLM能够理解的语义空间。</w:t>
      </w:r>
    </w:p>
    <w:p w14:paraId="091B430E">
      <w:pPr>
        <w:snapToGrid w:val="0"/>
        <w:spacing w:before="156" w:beforeLines="50" w:line="300" w:lineRule="auto"/>
        <w:ind w:firstLine="425"/>
        <w:jc w:val="left"/>
        <w:rPr>
          <w:rFonts w:eastAsia="华文楷体"/>
          <w:sz w:val="24"/>
        </w:rPr>
      </w:pPr>
      <w:r>
        <w:rPr>
          <w:rFonts w:hint="eastAsia" w:eastAsia="华文楷体"/>
          <w:sz w:val="24"/>
        </w:rPr>
        <w:t>在空间维度上，我们将研究伪视觉化特征重构技术。鉴于大规模MIMO天线阵列采集的CSI矩阵在角域和频域上呈现出特定的纹理图案，我们将探索利用幅度-相位解耦、极坐标变换或伪彩色编码等手段，将复数域的CSI张量（天线×载波×时间）重构为适配Vision Encoder输入的三维伪视觉特征。这种重构并非简单的格式转换，而是旨在通过保留天线阵列的空间相关性与波束的几何结构，从而能够被视觉模型卷积层捕捉到其非局部（Non-local）的空间特征。</w:t>
      </w:r>
    </w:p>
    <w:p w14:paraId="1DE3B4FB">
      <w:pPr>
        <w:snapToGrid w:val="0"/>
        <w:spacing w:before="156" w:beforeLines="50" w:line="300" w:lineRule="auto"/>
        <w:ind w:firstLine="425"/>
        <w:jc w:val="left"/>
        <w:rPr>
          <w:rFonts w:eastAsia="华文楷体"/>
          <w:sz w:val="24"/>
        </w:rPr>
      </w:pPr>
      <w:r>
        <w:rPr>
          <w:rFonts w:hint="eastAsia" w:eastAsia="华文楷体"/>
          <w:sz w:val="24"/>
        </w:rPr>
        <w:t>在时间维度上，我们将研究CSI序列的语义离散化与Token化策略。大语言模型（LLM）擅长处理离散的符号序列，而CSI是连续变化的模拟信号。我们将设计专门的线性嵌入层（Linear Embedding）或矢量量化变分自编码器（VQ-VAE），将连续的时间切片CSI信号映射为高维潜在空间中的离散向量。这些向量将被视为一种特殊的信号词元（Signal Tokens），它们不仅承载了当前时刻的信道状态，还隐含了信道随时间演进的马尔可夫性质。</w:t>
      </w:r>
    </w:p>
    <w:p w14:paraId="1857A376">
      <w:pPr>
        <w:snapToGrid w:val="0"/>
        <w:spacing w:before="156" w:beforeLines="50" w:line="300" w:lineRule="auto"/>
        <w:ind w:firstLine="480" w:firstLineChars="200"/>
        <w:jc w:val="left"/>
        <w:rPr>
          <w:rFonts w:eastAsia="华文楷体"/>
          <w:sz w:val="24"/>
        </w:rPr>
      </w:pPr>
      <w:r>
        <w:rPr>
          <w:rFonts w:hint="eastAsia" w:eastAsia="华文楷体"/>
          <w:sz w:val="24"/>
        </w:rPr>
        <w:t>（二）、研究构建基于冻结预训练的VLM的空间引导预测模型架构。重点研究在保持VLM预训练参数冻结的前提下，如何利用轻量级的Q-Former架构，将信道的先验知识和统计特征转化为提示词（Prompt）来激发Vision Encoder对信道空间结构的特征提取能力。即如何在不进行全量参数微调（Full Fine-tuning）的高昂成本下，高效地将通用视觉模型的感知能力迁移到无线通信领域。我们将构建一种基于冻结预训练VLM的空间引导预测架构，其核心创新在于引入并改良了Q-Former（Querying Transformer）作为跨模态特征对齐的轻量级桥梁。</w:t>
      </w:r>
    </w:p>
    <w:p w14:paraId="711D45E6">
      <w:pPr>
        <w:snapToGrid w:val="0"/>
        <w:spacing w:before="156" w:beforeLines="50" w:line="300" w:lineRule="auto"/>
        <w:ind w:firstLine="480" w:firstLineChars="200"/>
        <w:jc w:val="left"/>
        <w:rPr>
          <w:rFonts w:eastAsia="华文楷体"/>
          <w:sz w:val="24"/>
        </w:rPr>
      </w:pPr>
      <w:r>
        <w:rPr>
          <w:rFonts w:hint="eastAsia" w:eastAsia="华文楷体"/>
          <w:sz w:val="24"/>
        </w:rPr>
        <w:t>我们将重点研究基于先验知识的查询向量（Learnable Queries）初始化与交互机制。传统的Vision Encoder（如CLIP的ViT部分）是在自然图像上预训练的，对无线信号的波束纹理缺乏敏感度。为了解决这一问题，我们将保持Vision Encoder参数完全冻结，利用其强大的底层纹理提取能力；同时，在Q-Former中引入一组可学习的Query向量。这些Query向量不仅仅是随机初始化的参数，我们将探索如何将信道的物理先验知识（如信道的稀疏度、角度域的簇分布统计特征）作为提示（Prompt）指导Query向量。</w:t>
      </w:r>
    </w:p>
    <w:p w14:paraId="4EDC3F20">
      <w:pPr>
        <w:snapToGrid w:val="0"/>
        <w:spacing w:before="156" w:beforeLines="50" w:line="300" w:lineRule="auto"/>
        <w:ind w:firstLine="480" w:firstLineChars="200"/>
        <w:jc w:val="left"/>
        <w:rPr>
          <w:rFonts w:eastAsia="华文楷体"/>
          <w:sz w:val="24"/>
        </w:rPr>
      </w:pPr>
      <w:r>
        <w:rPr>
          <w:rFonts w:hint="eastAsia" w:eastAsia="华文楷体"/>
          <w:sz w:val="24"/>
        </w:rPr>
        <w:t>在模型前向传播过程中，这些承载了物理先验的Query将通过交叉注意力机制（Cross-Attention）与Vision Encoder输出的密集特征图进行深层交互。这一过程类似于知识蒸馏的过程：Query向量主动地从通用的视觉特征中筛选、聚合出对信道预测最有用的空间结构信息（如波束的方向、多径的强度），并将其压缩为大语言模型能够理解的视觉软提示（Visual Soft Prompts）。这种设计既避免了从零训练大模型的算力消耗，又巧妙地利用了通用模型的泛化特征，极大提升了模型在少样本场景下的空间建模能力。</w:t>
      </w:r>
    </w:p>
    <w:p w14:paraId="088A6D77">
      <w:pPr>
        <w:snapToGrid w:val="0"/>
        <w:spacing w:before="156" w:beforeLines="50" w:line="300" w:lineRule="auto"/>
        <w:ind w:firstLine="480" w:firstLineChars="200"/>
        <w:jc w:val="left"/>
        <w:rPr>
          <w:rFonts w:eastAsia="华文楷体"/>
          <w:sz w:val="24"/>
        </w:rPr>
      </w:pPr>
      <w:r>
        <w:rPr>
          <w:rFonts w:hint="eastAsia" w:eastAsia="华文楷体"/>
          <w:sz w:val="24"/>
        </w:rPr>
        <w:t>（三）、研究构建基于冻结预训练的VLM的时间引导预测模型架构。重点设计物理约束下的相干性嵌入向量（Coherence Embedding）策略。我们将设计一个专门的时间编码模块，用于显式地捕捉信道在时间维度上的相关性衰减趋势。该模块将计算历史CSI序列的差分特征，将其映射为高维的Coherence Embedding。这个向量将作为一种强约束信号，与Q-Former输出的空间视觉Prompt进行拼接，共同构成LLM的上下文输入（Context），一起引导大模型输出符合物理规律的预测结果，并在公开的信道数据集上进行验证。我们还将设计包NMSE误差、重建回高维数据的复合损失函数，反向指导Q-Former与嵌入层的参数更新。最终，该架构将在公开的信道数据集、仿真场景以及真实测量场景中进行验证。</w:t>
      </w:r>
    </w:p>
    <w:p w14:paraId="562C5AB8">
      <w:pPr>
        <w:snapToGrid w:val="0"/>
        <w:spacing w:before="156" w:beforeLines="50" w:line="300" w:lineRule="auto"/>
        <w:jc w:val="left"/>
        <w:rPr>
          <w:rFonts w:eastAsia="华文楷体"/>
          <w:sz w:val="24"/>
        </w:rPr>
      </w:pPr>
    </w:p>
    <w:permEnd w:id="20"/>
    <w:p w14:paraId="3C5590AD">
      <w:pPr>
        <w:numPr>
          <w:ilvl w:val="0"/>
          <w:numId w:val="2"/>
        </w:numPr>
        <w:spacing w:before="240" w:after="240"/>
        <w:rPr>
          <w:rFonts w:eastAsia="仿宋_GB2312"/>
          <w:b/>
          <w:sz w:val="24"/>
        </w:rPr>
      </w:pPr>
      <w:r>
        <w:rPr>
          <w:rFonts w:eastAsia="仿宋_GB2312"/>
          <w:b/>
          <w:sz w:val="24"/>
        </w:rPr>
        <w:t>拟采取的研究方法、</w:t>
      </w:r>
      <w:bookmarkStart w:id="32" w:name="OLE_LINK7"/>
      <w:bookmarkStart w:id="33" w:name="OLE_LINK8"/>
      <w:r>
        <w:rPr>
          <w:rFonts w:hint="eastAsia" w:eastAsia="仿宋_GB2312"/>
          <w:b/>
          <w:sz w:val="24"/>
        </w:rPr>
        <w:t>研究</w:t>
      </w:r>
      <w:r>
        <w:rPr>
          <w:rFonts w:eastAsia="仿宋_GB2312"/>
          <w:b/>
          <w:sz w:val="24"/>
        </w:rPr>
        <w:t>方案</w:t>
      </w:r>
      <w:bookmarkEnd w:id="32"/>
      <w:bookmarkEnd w:id="33"/>
      <w:r>
        <w:rPr>
          <w:rFonts w:eastAsia="仿宋_GB2312"/>
          <w:b/>
          <w:sz w:val="24"/>
        </w:rPr>
        <w:t>及其可行性分析</w:t>
      </w:r>
      <w:r>
        <w:rPr>
          <w:rFonts w:hint="eastAsia" w:eastAsia="仿宋_GB2312"/>
          <w:b/>
          <w:sz w:val="24"/>
        </w:rPr>
        <w:t>。</w:t>
      </w:r>
      <w:r>
        <w:rPr>
          <w:rFonts w:eastAsia="仿宋_GB2312"/>
          <w:b/>
          <w:sz w:val="24"/>
        </w:rPr>
        <w:t>Research methods and research scheme to be adopted and feasibility analysis.</w:t>
      </w:r>
    </w:p>
    <w:p w14:paraId="6568374E">
      <w:pPr>
        <w:snapToGrid w:val="0"/>
        <w:spacing w:before="156" w:beforeLines="50" w:line="300" w:lineRule="auto"/>
        <w:ind w:firstLine="480" w:firstLineChars="200"/>
        <w:jc w:val="left"/>
        <w:rPr>
          <w:rFonts w:eastAsia="华文楷体"/>
          <w:sz w:val="24"/>
        </w:rPr>
      </w:pPr>
      <w:permStart w:id="21" w:edGrp="everyone"/>
    </w:p>
    <w:p w14:paraId="7A086483">
      <w:pPr>
        <w:snapToGrid w:val="0"/>
        <w:spacing w:before="156" w:beforeLines="50" w:line="300" w:lineRule="auto"/>
        <w:rPr>
          <w:rFonts w:eastAsia="华文楷体"/>
          <w:sz w:val="24"/>
        </w:rPr>
      </w:pPr>
    </w:p>
    <w:p w14:paraId="07D0E2C8">
      <w:pPr>
        <w:snapToGrid w:val="0"/>
        <w:spacing w:before="156" w:beforeLines="50" w:line="300" w:lineRule="auto"/>
        <w:jc w:val="left"/>
        <w:rPr>
          <w:rFonts w:eastAsia="华文楷体"/>
          <w:sz w:val="24"/>
        </w:rPr>
      </w:pPr>
    </w:p>
    <w:p w14:paraId="3FDDBCDF">
      <w:pPr>
        <w:snapToGrid w:val="0"/>
        <w:rPr>
          <w:rFonts w:ascii="仿宋_GB2312" w:eastAsia="仿宋_GB2312"/>
          <w:sz w:val="24"/>
          <w:szCs w:val="24"/>
        </w:rPr>
      </w:pPr>
    </w:p>
    <w:permEnd w:id="21"/>
    <w:p w14:paraId="09AED8D8">
      <w:pPr>
        <w:numPr>
          <w:ilvl w:val="0"/>
          <w:numId w:val="2"/>
        </w:numPr>
        <w:spacing w:before="240" w:after="240"/>
        <w:rPr>
          <w:rFonts w:eastAsia="仿宋_GB2312"/>
          <w:b/>
          <w:sz w:val="24"/>
        </w:rPr>
      </w:pPr>
      <w:r>
        <w:rPr>
          <w:rFonts w:hint="eastAsia" w:eastAsia="仿宋_GB2312"/>
          <w:b/>
          <w:sz w:val="24"/>
        </w:rPr>
        <w:t xml:space="preserve">课题的创新点 </w:t>
      </w:r>
      <w:r>
        <w:rPr>
          <w:rFonts w:eastAsia="仿宋_GB2312"/>
          <w:b/>
          <w:sz w:val="24"/>
        </w:rPr>
        <w:t>Novelties of the proposed topic.</w:t>
      </w:r>
    </w:p>
    <w:p w14:paraId="1AEBBF79">
      <w:pPr>
        <w:snapToGrid w:val="0"/>
        <w:spacing w:before="156" w:beforeLines="50" w:line="300" w:lineRule="auto"/>
        <w:ind w:firstLine="480" w:firstLineChars="200"/>
        <w:jc w:val="left"/>
        <w:rPr>
          <w:rFonts w:eastAsia="华文楷体"/>
          <w:sz w:val="24"/>
        </w:rPr>
      </w:pPr>
      <w:permStart w:id="22" w:edGrp="everyone"/>
    </w:p>
    <w:p w14:paraId="55290A6D">
      <w:pPr>
        <w:snapToGrid w:val="0"/>
        <w:spacing w:before="156" w:beforeLines="50" w:line="300" w:lineRule="auto"/>
        <w:ind w:firstLine="480" w:firstLineChars="200"/>
        <w:jc w:val="left"/>
        <w:rPr>
          <w:rFonts w:eastAsia="华文楷体"/>
          <w:sz w:val="24"/>
        </w:rPr>
      </w:pPr>
    </w:p>
    <w:p w14:paraId="12526251">
      <w:pPr>
        <w:snapToGrid w:val="0"/>
        <w:spacing w:before="156" w:beforeLines="50" w:line="300" w:lineRule="auto"/>
        <w:ind w:firstLine="480" w:firstLineChars="200"/>
        <w:jc w:val="left"/>
        <w:rPr>
          <w:rFonts w:eastAsia="华文楷体"/>
          <w:sz w:val="24"/>
        </w:rPr>
      </w:pPr>
    </w:p>
    <w:permEnd w:id="22"/>
    <w:p w14:paraId="59B38CAD">
      <w:pPr>
        <w:numPr>
          <w:ilvl w:val="0"/>
          <w:numId w:val="2"/>
        </w:numPr>
        <w:spacing w:before="240" w:after="240"/>
        <w:rPr>
          <w:rFonts w:eastAsia="仿宋_GB2312"/>
          <w:b/>
          <w:sz w:val="24"/>
        </w:rPr>
      </w:pPr>
      <w:bookmarkStart w:id="34" w:name="OLE_LINK9"/>
      <w:bookmarkStart w:id="35" w:name="OLE_LINK10"/>
      <w:r>
        <w:rPr>
          <w:rFonts w:hint="eastAsia" w:eastAsia="仿宋_GB2312"/>
          <w:b/>
          <w:sz w:val="24"/>
        </w:rPr>
        <w:t>计划进度</w:t>
      </w:r>
      <w:bookmarkEnd w:id="34"/>
      <w:bookmarkEnd w:id="35"/>
      <w:r>
        <w:rPr>
          <w:rFonts w:hint="eastAsia" w:eastAsia="仿宋_GB2312"/>
          <w:b/>
          <w:sz w:val="24"/>
        </w:rPr>
        <w:t>、预期成果</w:t>
      </w:r>
      <w:r>
        <w:rPr>
          <w:rFonts w:eastAsia="仿宋_GB2312"/>
          <w:b/>
          <w:sz w:val="24"/>
        </w:rPr>
        <w:t xml:space="preserve"> Research schedule, and expected outcomes</w:t>
      </w:r>
    </w:p>
    <w:p w14:paraId="52837BE0">
      <w:pPr>
        <w:snapToGrid w:val="0"/>
        <w:spacing w:before="156" w:beforeLines="50" w:line="300" w:lineRule="auto"/>
        <w:ind w:firstLine="480" w:firstLineChars="200"/>
        <w:jc w:val="left"/>
        <w:rPr>
          <w:rFonts w:eastAsia="华文楷体"/>
          <w:sz w:val="24"/>
        </w:rPr>
      </w:pPr>
      <w:permStart w:id="23" w:edGrp="everyone"/>
    </w:p>
    <w:p w14:paraId="3BF61E1E">
      <w:pPr>
        <w:pStyle w:val="21"/>
        <w:numPr>
          <w:ilvl w:val="0"/>
          <w:numId w:val="9"/>
        </w:numPr>
        <w:snapToGrid w:val="0"/>
        <w:spacing w:before="156" w:beforeLines="50" w:line="300" w:lineRule="auto"/>
        <w:ind w:firstLineChars="0"/>
        <w:jc w:val="left"/>
        <w:rPr>
          <w:rFonts w:eastAsia="华文楷体"/>
          <w:sz w:val="24"/>
        </w:rPr>
      </w:pPr>
      <w:r>
        <w:rPr>
          <w:rFonts w:hint="eastAsia" w:eastAsia="华文楷体"/>
          <w:sz w:val="24"/>
        </w:rPr>
        <w:t>计划进度：</w:t>
      </w:r>
    </w:p>
    <w:p w14:paraId="1192CC6F">
      <w:pPr>
        <w:pStyle w:val="21"/>
        <w:snapToGrid w:val="0"/>
        <w:spacing w:before="156" w:beforeLines="50" w:line="300" w:lineRule="auto"/>
        <w:ind w:left="440" w:firstLine="0" w:firstLineChars="0"/>
        <w:jc w:val="left"/>
        <w:rPr>
          <w:rFonts w:eastAsia="华文楷体"/>
          <w:sz w:val="24"/>
        </w:rPr>
      </w:pPr>
      <w:r>
        <w:rPr>
          <w:rFonts w:eastAsia="华文楷体"/>
          <w:sz w:val="24"/>
        </w:rPr>
        <w:t>第一阶段：</w:t>
      </w:r>
      <w:r>
        <w:rPr>
          <w:rFonts w:hint="eastAsia" w:eastAsia="华文楷体"/>
          <w:sz w:val="24"/>
        </w:rPr>
        <w:t>文献调研（第1-2个月）</w:t>
      </w:r>
    </w:p>
    <w:p w14:paraId="3B0D728B">
      <w:pPr>
        <w:snapToGrid w:val="0"/>
        <w:spacing w:before="156" w:beforeLines="50" w:line="300" w:lineRule="auto"/>
        <w:ind w:firstLine="480" w:firstLineChars="200"/>
        <w:jc w:val="left"/>
        <w:rPr>
          <w:rFonts w:eastAsia="华文楷体"/>
          <w:sz w:val="24"/>
        </w:rPr>
      </w:pPr>
      <w:r>
        <w:rPr>
          <w:rFonts w:hint="eastAsia" w:eastAsia="华文楷体"/>
          <w:sz w:val="24"/>
        </w:rPr>
        <w:t>系统开展信道预测领域的文献调研，梳理从传统统计模型到深度学习方法的技术演进，深刻剖析现有方法在处理高动态、长时序场景下的性能瓶颈，以此精准界定本课题的研究方向与核心科学问题。同时，紧跟人工智能前沿，重点调研大语言模型（LLM）与视觉-语言模型（VLM）在多模态表征、序列推理等方面的最新突破，分析其在无线通信物理层的应用潜力。</w:t>
      </w:r>
    </w:p>
    <w:p w14:paraId="36BFC199">
      <w:pPr>
        <w:snapToGrid w:val="0"/>
        <w:spacing w:before="156" w:beforeLines="50" w:line="300" w:lineRule="auto"/>
        <w:ind w:firstLine="480" w:firstLineChars="200"/>
        <w:jc w:val="left"/>
        <w:rPr>
          <w:rFonts w:eastAsia="华文楷体"/>
          <w:sz w:val="24"/>
        </w:rPr>
      </w:pPr>
      <w:r>
        <w:rPr>
          <w:rFonts w:eastAsia="华文楷体"/>
          <w:sz w:val="24"/>
        </w:rPr>
        <w:t>第二阶段：数据收集（第</w:t>
      </w:r>
      <w:r>
        <w:rPr>
          <w:rFonts w:hint="eastAsia" w:eastAsia="华文楷体"/>
          <w:sz w:val="24"/>
        </w:rPr>
        <w:t>3</w:t>
      </w:r>
      <w:r>
        <w:rPr>
          <w:rFonts w:eastAsia="华文楷体"/>
          <w:sz w:val="24"/>
        </w:rPr>
        <w:t>-4个月）</w:t>
      </w:r>
    </w:p>
    <w:p w14:paraId="527AC89A">
      <w:pPr>
        <w:snapToGrid w:val="0"/>
        <w:spacing w:before="156" w:beforeLines="50" w:line="300" w:lineRule="auto"/>
        <w:ind w:firstLine="480" w:firstLineChars="200"/>
        <w:jc w:val="left"/>
        <w:rPr>
          <w:rFonts w:eastAsia="华文楷体"/>
          <w:sz w:val="24"/>
        </w:rPr>
      </w:pPr>
      <w:r>
        <w:rPr>
          <w:rFonts w:hint="eastAsia" w:eastAsia="华文楷体"/>
          <w:sz w:val="24"/>
        </w:rPr>
        <w:t>我们将整合基于FPGA采集的实测数据、业界公认的开源基准数据集，以及高保真仿真数据，从而覆盖从室内静止到室外高速移动的复杂信道环境。在此基础上，建立严格的数据清洗与预处理流水线，通过滤波算法去除环境噪声与异常值，并针对载波频率偏移（CFO）与采样频率偏移（SFO）进行校准。最后，采用标准化（Standardization）与归一化（Normalization）策略将数据映射到统一区间，为后续模型的稳定收敛提供保障。</w:t>
      </w:r>
    </w:p>
    <w:p w14:paraId="11E7FA67">
      <w:pPr>
        <w:snapToGrid w:val="0"/>
        <w:spacing w:before="156" w:beforeLines="50" w:line="300" w:lineRule="auto"/>
        <w:ind w:firstLine="480" w:firstLineChars="200"/>
        <w:jc w:val="left"/>
        <w:rPr>
          <w:rFonts w:eastAsia="华文楷体"/>
          <w:sz w:val="24"/>
        </w:rPr>
      </w:pPr>
      <w:r>
        <w:rPr>
          <w:rFonts w:eastAsia="华文楷体"/>
          <w:sz w:val="24"/>
        </w:rPr>
        <w:t>第三阶段：模型设计与实验（第5-10个月）</w:t>
      </w:r>
    </w:p>
    <w:p w14:paraId="08C5F0A7">
      <w:pPr>
        <w:snapToGrid w:val="0"/>
        <w:spacing w:before="156" w:beforeLines="50" w:line="300" w:lineRule="auto"/>
        <w:ind w:firstLine="480" w:firstLineChars="200"/>
        <w:jc w:val="left"/>
        <w:rPr>
          <w:rFonts w:eastAsia="华文楷体"/>
          <w:sz w:val="24"/>
        </w:rPr>
      </w:pPr>
    </w:p>
    <w:p w14:paraId="0509AC6B">
      <w:pPr>
        <w:snapToGrid w:val="0"/>
        <w:spacing w:before="156" w:beforeLines="50" w:line="300" w:lineRule="auto"/>
        <w:ind w:firstLine="480" w:firstLineChars="200"/>
        <w:jc w:val="left"/>
        <w:rPr>
          <w:rFonts w:eastAsia="华文楷体"/>
          <w:sz w:val="24"/>
        </w:rPr>
      </w:pPr>
      <w:r>
        <w:rPr>
          <w:rFonts w:eastAsia="华文楷体"/>
          <w:sz w:val="24"/>
        </w:rPr>
        <w:t>第四阶段：论文撰写（第</w:t>
      </w:r>
      <w:r>
        <w:rPr>
          <w:rFonts w:hint="eastAsia" w:eastAsia="华文楷体"/>
          <w:sz w:val="24"/>
        </w:rPr>
        <w:t>1</w:t>
      </w:r>
      <w:r>
        <w:rPr>
          <w:rFonts w:eastAsia="华文楷体"/>
          <w:sz w:val="24"/>
        </w:rPr>
        <w:t>1-12个月）</w:t>
      </w:r>
    </w:p>
    <w:p w14:paraId="66A717C3">
      <w:pPr>
        <w:snapToGrid w:val="0"/>
        <w:spacing w:before="156" w:beforeLines="50" w:line="300" w:lineRule="auto"/>
        <w:ind w:firstLine="480" w:firstLineChars="200"/>
        <w:jc w:val="left"/>
        <w:rPr>
          <w:rFonts w:eastAsia="华文楷体"/>
          <w:sz w:val="24"/>
        </w:rPr>
      </w:pPr>
      <w:r>
        <w:rPr>
          <w:rFonts w:hint="eastAsia" w:eastAsia="华文楷体"/>
          <w:sz w:val="24"/>
        </w:rPr>
        <w:t>基于前期的理论分析与实验验证，系统梳理项目创新成果。围绕核心贡献，开展高质量学术会议的论文章节构思与撰写工作。计划完成从实验数据清洗、核心算法框图绘制、全文逻辑构建到最终润色定稿的全流程工作。拟通过多轮针对性修改，确保论文质量达到通信</w:t>
      </w:r>
      <w:r>
        <w:rPr>
          <w:rFonts w:eastAsia="华文楷体"/>
          <w:sz w:val="24"/>
        </w:rPr>
        <w:t>/</w:t>
      </w:r>
      <w:r>
        <w:rPr>
          <w:rFonts w:hint="eastAsia" w:eastAsia="华文楷体"/>
          <w:sz w:val="24"/>
        </w:rPr>
        <w:t>AI领域国际会议的录用标准，并按计划完成会议投稿与硕士答辩流程。</w:t>
      </w:r>
    </w:p>
    <w:p w14:paraId="6842A20B">
      <w:pPr>
        <w:pStyle w:val="21"/>
        <w:numPr>
          <w:ilvl w:val="0"/>
          <w:numId w:val="9"/>
        </w:numPr>
        <w:snapToGrid w:val="0"/>
        <w:spacing w:before="156" w:beforeLines="50" w:line="300" w:lineRule="auto"/>
        <w:ind w:firstLineChars="0"/>
        <w:jc w:val="left"/>
        <w:rPr>
          <w:rFonts w:eastAsia="华文楷体"/>
          <w:sz w:val="24"/>
        </w:rPr>
      </w:pPr>
      <w:r>
        <w:rPr>
          <w:rFonts w:eastAsia="华文楷体"/>
          <w:sz w:val="24"/>
        </w:rPr>
        <w:t>预期成果：</w:t>
      </w:r>
    </w:p>
    <w:p w14:paraId="4020EEF9">
      <w:pPr>
        <w:snapToGrid w:val="0"/>
        <w:spacing w:before="156" w:beforeLines="50" w:line="300" w:lineRule="auto"/>
        <w:ind w:firstLine="390"/>
        <w:jc w:val="left"/>
        <w:rPr>
          <w:rFonts w:eastAsia="华文楷体"/>
          <w:sz w:val="24"/>
        </w:rPr>
      </w:pPr>
      <w:r>
        <w:rPr>
          <w:rFonts w:hint="eastAsia" w:eastAsia="华文楷体"/>
          <w:sz w:val="24"/>
        </w:rPr>
        <w:t xml:space="preserve">开发基于预训练 VLM 的信道预测模型，实现射频信号双模态特征的高效解耦与利用，显著提升预测精度。 </w:t>
      </w:r>
    </w:p>
    <w:p w14:paraId="1822FDCD">
      <w:pPr>
        <w:snapToGrid w:val="0"/>
        <w:spacing w:before="156" w:beforeLines="50" w:line="300" w:lineRule="auto"/>
        <w:ind w:firstLine="390"/>
        <w:jc w:val="left"/>
        <w:rPr>
          <w:rFonts w:eastAsia="华文楷体"/>
          <w:sz w:val="24"/>
        </w:rPr>
      </w:pPr>
      <w:r>
        <w:rPr>
          <w:rFonts w:hint="eastAsia" w:eastAsia="华文楷体"/>
          <w:sz w:val="24"/>
        </w:rPr>
        <w:t>在通信或者AI领域的国际会议上发表或录用1</w:t>
      </w:r>
      <w:r>
        <w:rPr>
          <w:rFonts w:eastAsia="华文楷体"/>
          <w:sz w:val="24"/>
        </w:rPr>
        <w:t>-2</w:t>
      </w:r>
      <w:r>
        <w:rPr>
          <w:rFonts w:hint="eastAsia" w:eastAsia="华文楷体"/>
          <w:sz w:val="24"/>
        </w:rPr>
        <w:t>篇论文，展示跨模态物理层AI的最新研究进展。</w:t>
      </w:r>
    </w:p>
    <w:p w14:paraId="050CF730">
      <w:pPr>
        <w:snapToGrid w:val="0"/>
        <w:spacing w:before="156" w:beforeLines="50" w:line="300" w:lineRule="auto"/>
        <w:ind w:firstLine="390"/>
        <w:jc w:val="left"/>
        <w:rPr>
          <w:rFonts w:eastAsia="华文楷体"/>
          <w:sz w:val="24"/>
        </w:rPr>
      </w:pPr>
      <w:r>
        <w:rPr>
          <w:rFonts w:hint="eastAsia" w:eastAsia="华文楷体"/>
          <w:sz w:val="24"/>
        </w:rPr>
        <w:t>提交内容完整、数据详实的课题研究报告，包含算法原理、仿真对比分析及实验结论，形成完整的技术闭环。</w:t>
      </w:r>
    </w:p>
    <w:p w14:paraId="0EF0C227">
      <w:pPr>
        <w:snapToGrid w:val="0"/>
        <w:spacing w:before="156" w:beforeLines="50" w:line="300" w:lineRule="auto"/>
        <w:jc w:val="left"/>
        <w:rPr>
          <w:rFonts w:eastAsia="华文楷体"/>
          <w:sz w:val="24"/>
        </w:rPr>
      </w:pPr>
    </w:p>
    <w:permEnd w:id="23"/>
    <w:p w14:paraId="6C15A0C2">
      <w:pPr>
        <w:numPr>
          <w:ilvl w:val="0"/>
          <w:numId w:val="2"/>
        </w:numPr>
        <w:spacing w:before="240" w:after="240"/>
        <w:rPr>
          <w:rFonts w:eastAsia="仿宋_GB2312"/>
          <w:b/>
          <w:sz w:val="24"/>
        </w:rPr>
      </w:pPr>
      <w:r>
        <w:rPr>
          <w:rFonts w:hint="eastAsia" w:eastAsia="仿宋_GB2312"/>
          <w:b/>
          <w:sz w:val="24"/>
        </w:rPr>
        <w:t>与本课题有关的工作积累、</w:t>
      </w:r>
      <w:bookmarkStart w:id="36" w:name="OLE_LINK13"/>
      <w:bookmarkStart w:id="37" w:name="OLE_LINK12"/>
      <w:r>
        <w:rPr>
          <w:rFonts w:hint="eastAsia" w:eastAsia="仿宋_GB2312"/>
          <w:b/>
          <w:sz w:val="24"/>
        </w:rPr>
        <w:t>已有的研究工作</w:t>
      </w:r>
      <w:bookmarkEnd w:id="36"/>
      <w:bookmarkEnd w:id="37"/>
      <w:r>
        <w:rPr>
          <w:rFonts w:hint="eastAsia" w:eastAsia="仿宋_GB2312"/>
          <w:b/>
          <w:sz w:val="24"/>
        </w:rPr>
        <w:t>成绩。</w:t>
      </w:r>
      <w:r>
        <w:rPr>
          <w:rFonts w:eastAsia="仿宋_GB2312"/>
          <w:b/>
          <w:sz w:val="24"/>
        </w:rPr>
        <w:t>Prior experience and accomplished achievements related to the proposed topic.</w:t>
      </w:r>
    </w:p>
    <w:p w14:paraId="3EAE38BA">
      <w:pPr>
        <w:snapToGrid w:val="0"/>
        <w:spacing w:before="156" w:beforeLines="50" w:line="300" w:lineRule="auto"/>
        <w:ind w:firstLine="480" w:firstLineChars="200"/>
        <w:jc w:val="left"/>
        <w:rPr>
          <w:rFonts w:eastAsia="华文楷体"/>
          <w:sz w:val="24"/>
        </w:rPr>
      </w:pPr>
      <w:permStart w:id="24" w:edGrp="everyone"/>
    </w:p>
    <w:p w14:paraId="339141B0">
      <w:pPr>
        <w:pStyle w:val="21"/>
        <w:numPr>
          <w:ilvl w:val="0"/>
          <w:numId w:val="10"/>
        </w:numPr>
        <w:snapToGrid w:val="0"/>
        <w:spacing w:before="156" w:beforeLines="50" w:line="300" w:lineRule="auto"/>
        <w:ind w:firstLineChars="0"/>
        <w:jc w:val="left"/>
        <w:rPr>
          <w:rFonts w:eastAsia="华文楷体"/>
          <w:sz w:val="24"/>
        </w:rPr>
      </w:pPr>
      <w:r>
        <w:rPr>
          <w:rFonts w:hint="eastAsia" w:eastAsia="华文楷体"/>
          <w:sz w:val="24"/>
        </w:rPr>
        <w:t>工作积累</w:t>
      </w:r>
    </w:p>
    <w:p w14:paraId="334415A2">
      <w:pPr>
        <w:snapToGrid w:val="0"/>
        <w:spacing w:before="156" w:beforeLines="50" w:line="300" w:lineRule="auto"/>
        <w:ind w:firstLine="420"/>
        <w:jc w:val="left"/>
        <w:rPr>
          <w:rFonts w:eastAsia="华文楷体"/>
          <w:sz w:val="24"/>
        </w:rPr>
      </w:pPr>
      <w:r>
        <w:rPr>
          <w:rFonts w:hint="eastAsia" w:eastAsia="华文楷体"/>
          <w:sz w:val="24"/>
        </w:rPr>
        <w:t>在射频感知与数据采集方面，实验室已依托软件无线电（USRP），搭建了覆盖多源异构场景的实测验证平台。前期已成功开展了包括无人机低空探测、复杂环境目标识别等多项实验任务，构建了包含海量实测样本的信道状态信息（CSI）数据库。在信道预测算法研究方面，实验室已构建起从经典统计信号处理到前沿深度学习架构的完整知识体系。团队不仅熟悉基于自回归与卡尔曼滤波的传统建模理论，更在长短时记忆网络（LSTM）、Transformer 和GPT</w:t>
      </w:r>
      <w:r>
        <w:rPr>
          <w:rFonts w:eastAsia="华文楷体"/>
          <w:sz w:val="24"/>
        </w:rPr>
        <w:t>-2</w:t>
      </w:r>
      <w:r>
        <w:rPr>
          <w:rFonts w:hint="eastAsia" w:eastAsia="华文楷体"/>
          <w:sz w:val="24"/>
        </w:rPr>
        <w:t>等数据驱动型深度学习预测算法上拥有扎实的理论基础与丰富的调试经验。</w:t>
      </w:r>
    </w:p>
    <w:p w14:paraId="50D1FCCC">
      <w:pPr>
        <w:pStyle w:val="21"/>
        <w:numPr>
          <w:ilvl w:val="0"/>
          <w:numId w:val="10"/>
        </w:numPr>
        <w:snapToGrid w:val="0"/>
        <w:spacing w:before="156" w:beforeLines="50" w:line="300" w:lineRule="auto"/>
        <w:ind w:firstLineChars="0"/>
        <w:jc w:val="left"/>
        <w:rPr>
          <w:rFonts w:eastAsia="华文楷体"/>
          <w:sz w:val="24"/>
        </w:rPr>
      </w:pPr>
      <w:r>
        <w:rPr>
          <w:rFonts w:hint="eastAsia" w:eastAsia="华文楷体"/>
          <w:sz w:val="24"/>
        </w:rPr>
        <w:t>已有的研究工作成绩</w:t>
      </w:r>
    </w:p>
    <w:p w14:paraId="08547725">
      <w:pPr>
        <w:snapToGrid w:val="0"/>
        <w:spacing w:before="156" w:beforeLines="50" w:line="300" w:lineRule="auto"/>
        <w:ind w:firstLine="480" w:firstLineChars="200"/>
        <w:jc w:val="left"/>
        <w:rPr>
          <w:rFonts w:eastAsia="华文楷体"/>
          <w:sz w:val="24"/>
        </w:rPr>
      </w:pPr>
      <w:r>
        <w:rPr>
          <w:rFonts w:hint="eastAsia" w:eastAsia="华文楷体"/>
          <w:sz w:val="24"/>
        </w:rPr>
        <w:t>实验室团队已在前期与工业界合作伙伴的联合研发项目中，完成了现有深度学习信道预测算法的端到端闭环验证，并输出了详尽的技术验证报告。该先导性工作为本课题提供了宝贵的工程经验与算法基线（Baseline）。因此，本实验室能够有效支持本课题的实施。</w:t>
      </w:r>
    </w:p>
    <w:p w14:paraId="3300363B">
      <w:pPr>
        <w:snapToGrid w:val="0"/>
        <w:rPr>
          <w:rFonts w:ascii="仿宋_GB2312" w:eastAsia="仿宋_GB2312"/>
        </w:rPr>
      </w:pPr>
    </w:p>
    <w:permEnd w:id="24"/>
    <w:p w14:paraId="1A37EBD7">
      <w:pPr>
        <w:snapToGrid w:val="0"/>
        <w:spacing w:before="12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开题报告中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38" w:name="OLE_LINK22"/>
      <w:bookmarkStart w:id="39" w:name="OLE_LINK23"/>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38"/>
      <w:bookmarkEnd w:id="39"/>
      <w:r>
        <w:rPr>
          <w:rFonts w:eastAsia="仿宋_GB2312"/>
          <w:b/>
          <w:sz w:val="24"/>
        </w:rPr>
        <w:t xml:space="preserve"> </w:t>
      </w:r>
      <w:bookmarkStart w:id="40" w:name="OLE_LINK18"/>
      <w:bookmarkStart w:id="41" w:name="OLE_LINK19"/>
      <w:bookmarkStart w:id="42" w:name="OLE_LINK20"/>
      <w:bookmarkStart w:id="43" w:name="OLE_LINK21"/>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0"/>
      <w:bookmarkEnd w:id="41"/>
      <w:r>
        <w:rPr>
          <w:rFonts w:eastAsia="仿宋_GB2312"/>
          <w:b/>
          <w:sz w:val="24"/>
        </w:rPr>
        <w:t>.</w:t>
      </w:r>
      <w:bookmarkEnd w:id="42"/>
      <w:bookmarkEnd w:id="43"/>
    </w:p>
    <w:p w14:paraId="4CA14D83">
      <w:pPr>
        <w:snapToGrid w:val="0"/>
        <w:spacing w:before="120"/>
        <w:rPr>
          <w:rFonts w:ascii="仿宋_GB2312" w:eastAsia="仿宋_GB2312"/>
          <w:b/>
          <w:sz w:val="24"/>
        </w:rPr>
      </w:pPr>
    </w:p>
    <w:p w14:paraId="35C77B82">
      <w:pPr>
        <w:snapToGrid w:val="0"/>
        <w:spacing w:before="120"/>
        <w:rPr>
          <w:rFonts w:eastAsia="仿宋_GB2312"/>
          <w:b/>
          <w:sz w:val="24"/>
        </w:rPr>
      </w:pPr>
      <w:r>
        <w:rPr>
          <w:rFonts w:eastAsia="仿宋_GB2312"/>
          <w:b/>
          <w:sz w:val="24"/>
        </w:rPr>
        <w:t xml:space="preserve">学生签字/Signature of Student： </w:t>
      </w:r>
      <w:permStart w:id="25" w:edGrp="everyone"/>
      <w:r>
        <w:rPr>
          <w:rFonts w:eastAsia="仿宋_GB2312"/>
          <w:b/>
          <w:sz w:val="24"/>
        </w:rPr>
        <w:t xml:space="preserve">             </w:t>
      </w:r>
      <w:permEnd w:id="25"/>
      <w:r>
        <w:rPr>
          <w:rFonts w:eastAsia="仿宋_GB2312"/>
          <w:b/>
          <w:sz w:val="24"/>
        </w:rPr>
        <w:t xml:space="preserve"> 日期/Date：</w:t>
      </w:r>
      <w:permStart w:id="26" w:edGrp="everyone"/>
      <w:r>
        <w:rPr>
          <w:rFonts w:hint="eastAsia" w:eastAsia="仿宋_GB2312"/>
          <w:b/>
          <w:sz w:val="24"/>
        </w:rPr>
        <w:t xml:space="preserve"> </w:t>
      </w:r>
      <w:r>
        <w:rPr>
          <w:rFonts w:eastAsia="仿宋_GB2312"/>
          <w:sz w:val="24"/>
        </w:rPr>
        <w:fldChar w:fldCharType="begin"/>
      </w:r>
      <w:r>
        <w:rPr>
          <w:rFonts w:eastAsia="仿宋_GB2312"/>
          <w:sz w:val="24"/>
        </w:rPr>
        <w:instrText xml:space="preserve"> DATE \@ "yyyy-MM-dd" </w:instrText>
      </w:r>
      <w:r>
        <w:rPr>
          <w:rFonts w:eastAsia="仿宋_GB2312"/>
          <w:sz w:val="24"/>
        </w:rPr>
        <w:fldChar w:fldCharType="separate"/>
      </w:r>
      <w:r>
        <w:rPr>
          <w:rFonts w:eastAsia="仿宋_GB2312"/>
          <w:sz w:val="24"/>
        </w:rPr>
        <w:t>2025-12-25</w:t>
      </w:r>
      <w:r>
        <w:rPr>
          <w:rFonts w:eastAsia="仿宋_GB2312"/>
          <w:sz w:val="24"/>
        </w:rPr>
        <w:fldChar w:fldCharType="end"/>
      </w:r>
      <w:r>
        <w:rPr>
          <w:rFonts w:eastAsia="仿宋_GB2312"/>
          <w:sz w:val="24"/>
        </w:rPr>
        <w:t xml:space="preserve"> </w:t>
      </w:r>
      <w:permEnd w:id="26"/>
    </w:p>
    <w:sectPr>
      <w:footerReference r:id="rId7" w:type="first"/>
      <w:footerReference r:id="rId6" w:type="default"/>
      <w:pgSz w:w="11906" w:h="16838"/>
      <w:pgMar w:top="1418" w:right="1588" w:bottom="1418" w:left="1588" w:header="851" w:footer="851"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仿宋_GB2312">
    <w:altName w:val="方正仿宋_GBK"/>
    <w:panose1 w:val="00000000000000000000"/>
    <w:charset w:val="86"/>
    <w:family w:val="modern"/>
    <w:pitch w:val="default"/>
    <w:sig w:usb0="00000000" w:usb1="00000000" w:usb2="00000000" w:usb3="00000000" w:csb0="00040000" w:csb1="00000000"/>
  </w:font>
  <w:font w:name="MS Gothic">
    <w:altName w:val="Hiragino Sans"/>
    <w:panose1 w:val="020B0609070205080204"/>
    <w:charset w:val="80"/>
    <w:family w:val="modern"/>
    <w:pitch w:val="default"/>
    <w:sig w:usb0="00000000" w:usb1="00000000" w:usb2="08000012" w:usb3="00000000" w:csb0="0002009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CAAC8">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81EBB">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532C8F6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BE2F2">
    <w:pPr>
      <w:pStyle w:val="5"/>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C1818">
    <w:pPr>
      <w:pStyle w:val="5"/>
      <w:jc w:val="center"/>
    </w:pPr>
    <w:r>
      <w:rPr>
        <w:b/>
        <w:bCs/>
      </w:rPr>
      <w:fldChar w:fldCharType="begin"/>
    </w:r>
    <w:r>
      <w:rPr>
        <w:b/>
        <w:bCs/>
      </w:rPr>
      <w:instrText xml:space="preserve">PAGE  \* Arabic  \* MERGEFORMAT</w:instrText>
    </w:r>
    <w:r>
      <w:rPr>
        <w:b/>
        <w:bCs/>
      </w:rPr>
      <w:fldChar w:fldCharType="separate"/>
    </w:r>
    <w:r>
      <w:rPr>
        <w:b/>
        <w:bCs/>
        <w:lang w:val="zh-CN"/>
      </w:rPr>
      <w:t>11</w:t>
    </w:r>
    <w:r>
      <w:rP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0CCD7">
    <w:pPr>
      <w:pStyle w:val="5"/>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6812A"/>
    <w:multiLevelType w:val="singleLevel"/>
    <w:tmpl w:val="ABD6812A"/>
    <w:lvl w:ilvl="0" w:tentative="0">
      <w:start w:val="1"/>
      <w:numFmt w:val="upperLetter"/>
      <w:lvlText w:val="%1."/>
      <w:lvlJc w:val="left"/>
      <w:pPr>
        <w:ind w:left="425" w:hanging="425"/>
      </w:pPr>
      <w:rPr>
        <w:rFonts w:hint="default"/>
      </w:rPr>
    </w:lvl>
  </w:abstractNum>
  <w:abstractNum w:abstractNumId="1">
    <w:nsid w:val="0D6F0E6F"/>
    <w:multiLevelType w:val="multilevel"/>
    <w:tmpl w:val="0D6F0E6F"/>
    <w:lvl w:ilvl="0" w:tentative="0">
      <w:start w:val="1"/>
      <w:numFmt w:val="upperLetter"/>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4037055"/>
    <w:multiLevelType w:val="multilevel"/>
    <w:tmpl w:val="44037055"/>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5DB0538"/>
    <w:multiLevelType w:val="multilevel"/>
    <w:tmpl w:val="55DB0538"/>
    <w:lvl w:ilvl="0" w:tentative="0">
      <w:start w:val="1"/>
      <w:numFmt w:val="chineseCountingThousand"/>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809187E"/>
    <w:multiLevelType w:val="multilevel"/>
    <w:tmpl w:val="5809187E"/>
    <w:lvl w:ilvl="0" w:tentative="0">
      <w:start w:val="1"/>
      <w:numFmt w:val="upperLetter"/>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C071C12"/>
    <w:multiLevelType w:val="multilevel"/>
    <w:tmpl w:val="6C071C12"/>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3DF195E"/>
    <w:multiLevelType w:val="singleLevel"/>
    <w:tmpl w:val="73DF195E"/>
    <w:lvl w:ilvl="0" w:tentative="0">
      <w:start w:val="1"/>
      <w:numFmt w:val="chineseCounting"/>
      <w:suff w:val="nothing"/>
      <w:lvlText w:val="（%1）"/>
      <w:lvlJc w:val="left"/>
      <w:pPr>
        <w:ind w:left="0" w:firstLine="420"/>
      </w:pPr>
      <w:rPr>
        <w:rFonts w:hint="eastAsia"/>
      </w:rPr>
    </w:lvl>
  </w:abstractNum>
  <w:abstractNum w:abstractNumId="9">
    <w:nsid w:val="7B4A1088"/>
    <w:multiLevelType w:val="multilevel"/>
    <w:tmpl w:val="7B4A1088"/>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7"/>
  </w:num>
  <w:num w:numId="2">
    <w:abstractNumId w:val="5"/>
  </w:num>
  <w:num w:numId="3">
    <w:abstractNumId w:val="1"/>
  </w:num>
  <w:num w:numId="4">
    <w:abstractNumId w:val="6"/>
  </w:num>
  <w:num w:numId="5">
    <w:abstractNumId w:val="3"/>
  </w:num>
  <w:num w:numId="6">
    <w:abstractNumId w:val="8"/>
  </w:num>
  <w:num w:numId="7">
    <w:abstractNumId w:val="9"/>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9B1129"/>
    <w:rsid w:val="0000153C"/>
    <w:rsid w:val="00004747"/>
    <w:rsid w:val="00016786"/>
    <w:rsid w:val="00023C10"/>
    <w:rsid w:val="0002431A"/>
    <w:rsid w:val="000351C6"/>
    <w:rsid w:val="0004010B"/>
    <w:rsid w:val="00040831"/>
    <w:rsid w:val="00045026"/>
    <w:rsid w:val="000559E6"/>
    <w:rsid w:val="00060773"/>
    <w:rsid w:val="00060892"/>
    <w:rsid w:val="00060AAD"/>
    <w:rsid w:val="0006423E"/>
    <w:rsid w:val="000828CA"/>
    <w:rsid w:val="00082BB5"/>
    <w:rsid w:val="0008580D"/>
    <w:rsid w:val="00087EB8"/>
    <w:rsid w:val="0009080F"/>
    <w:rsid w:val="0009356A"/>
    <w:rsid w:val="00094852"/>
    <w:rsid w:val="00095D36"/>
    <w:rsid w:val="000A271D"/>
    <w:rsid w:val="000B081C"/>
    <w:rsid w:val="000B41CA"/>
    <w:rsid w:val="000B556F"/>
    <w:rsid w:val="000C373D"/>
    <w:rsid w:val="000C5088"/>
    <w:rsid w:val="000D11C7"/>
    <w:rsid w:val="000E201F"/>
    <w:rsid w:val="000E2D8F"/>
    <w:rsid w:val="000F4B73"/>
    <w:rsid w:val="000F59A8"/>
    <w:rsid w:val="000F6821"/>
    <w:rsid w:val="001007AB"/>
    <w:rsid w:val="001013DC"/>
    <w:rsid w:val="00104B3B"/>
    <w:rsid w:val="00105B80"/>
    <w:rsid w:val="0011124E"/>
    <w:rsid w:val="001319B9"/>
    <w:rsid w:val="001326FF"/>
    <w:rsid w:val="0013523E"/>
    <w:rsid w:val="00143630"/>
    <w:rsid w:val="00144D49"/>
    <w:rsid w:val="00151B26"/>
    <w:rsid w:val="00153C40"/>
    <w:rsid w:val="001606D9"/>
    <w:rsid w:val="00170CAA"/>
    <w:rsid w:val="001823F8"/>
    <w:rsid w:val="00186391"/>
    <w:rsid w:val="001A2D52"/>
    <w:rsid w:val="001B2CC0"/>
    <w:rsid w:val="001B456B"/>
    <w:rsid w:val="001C2CE5"/>
    <w:rsid w:val="001D0CCD"/>
    <w:rsid w:val="001D3230"/>
    <w:rsid w:val="001D5C5A"/>
    <w:rsid w:val="002033F3"/>
    <w:rsid w:val="00206CD6"/>
    <w:rsid w:val="002136CF"/>
    <w:rsid w:val="00223EF9"/>
    <w:rsid w:val="00224023"/>
    <w:rsid w:val="00225D08"/>
    <w:rsid w:val="00232224"/>
    <w:rsid w:val="002338BF"/>
    <w:rsid w:val="0024294B"/>
    <w:rsid w:val="00253E61"/>
    <w:rsid w:val="0027238D"/>
    <w:rsid w:val="002765BF"/>
    <w:rsid w:val="00281A24"/>
    <w:rsid w:val="00283412"/>
    <w:rsid w:val="00285C68"/>
    <w:rsid w:val="002A47F9"/>
    <w:rsid w:val="002A65E5"/>
    <w:rsid w:val="002B6911"/>
    <w:rsid w:val="002C345C"/>
    <w:rsid w:val="002D5C52"/>
    <w:rsid w:val="002D5F22"/>
    <w:rsid w:val="002E0571"/>
    <w:rsid w:val="002E0C2B"/>
    <w:rsid w:val="00300758"/>
    <w:rsid w:val="0030107D"/>
    <w:rsid w:val="00310A91"/>
    <w:rsid w:val="00310DF8"/>
    <w:rsid w:val="00325AF8"/>
    <w:rsid w:val="00330969"/>
    <w:rsid w:val="00337A91"/>
    <w:rsid w:val="00356F02"/>
    <w:rsid w:val="00360E44"/>
    <w:rsid w:val="00372AA6"/>
    <w:rsid w:val="0037637C"/>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217C"/>
    <w:rsid w:val="00443D9C"/>
    <w:rsid w:val="00451C99"/>
    <w:rsid w:val="0045597C"/>
    <w:rsid w:val="00455F9E"/>
    <w:rsid w:val="00457F89"/>
    <w:rsid w:val="0046791D"/>
    <w:rsid w:val="00467E1F"/>
    <w:rsid w:val="0047071D"/>
    <w:rsid w:val="00471C38"/>
    <w:rsid w:val="00477FAE"/>
    <w:rsid w:val="004810A3"/>
    <w:rsid w:val="00482F63"/>
    <w:rsid w:val="004862BE"/>
    <w:rsid w:val="00491BA2"/>
    <w:rsid w:val="004932EE"/>
    <w:rsid w:val="00493F0A"/>
    <w:rsid w:val="004942BC"/>
    <w:rsid w:val="004B35BD"/>
    <w:rsid w:val="004B5AD7"/>
    <w:rsid w:val="004C2C02"/>
    <w:rsid w:val="004C42B2"/>
    <w:rsid w:val="004D1A61"/>
    <w:rsid w:val="004D2790"/>
    <w:rsid w:val="004D5DA8"/>
    <w:rsid w:val="004D7214"/>
    <w:rsid w:val="004E5218"/>
    <w:rsid w:val="004F4F40"/>
    <w:rsid w:val="004F5915"/>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15A7"/>
    <w:rsid w:val="00596283"/>
    <w:rsid w:val="00596722"/>
    <w:rsid w:val="005A2D57"/>
    <w:rsid w:val="005A49B0"/>
    <w:rsid w:val="005C5688"/>
    <w:rsid w:val="005D0533"/>
    <w:rsid w:val="005D1BBA"/>
    <w:rsid w:val="005D714C"/>
    <w:rsid w:val="005F2D7C"/>
    <w:rsid w:val="00603634"/>
    <w:rsid w:val="00615C20"/>
    <w:rsid w:val="006246E9"/>
    <w:rsid w:val="006249AF"/>
    <w:rsid w:val="0063033D"/>
    <w:rsid w:val="00631653"/>
    <w:rsid w:val="00641940"/>
    <w:rsid w:val="006500BE"/>
    <w:rsid w:val="00654BC4"/>
    <w:rsid w:val="00655979"/>
    <w:rsid w:val="006571CC"/>
    <w:rsid w:val="00677481"/>
    <w:rsid w:val="00687079"/>
    <w:rsid w:val="00693B58"/>
    <w:rsid w:val="00693BB0"/>
    <w:rsid w:val="006A6B81"/>
    <w:rsid w:val="006B4E54"/>
    <w:rsid w:val="006B7B46"/>
    <w:rsid w:val="006B7E2B"/>
    <w:rsid w:val="006C3E2F"/>
    <w:rsid w:val="006D2633"/>
    <w:rsid w:val="006D2937"/>
    <w:rsid w:val="006D643A"/>
    <w:rsid w:val="006E01F6"/>
    <w:rsid w:val="006F4949"/>
    <w:rsid w:val="00705FD7"/>
    <w:rsid w:val="00707BED"/>
    <w:rsid w:val="00714BA9"/>
    <w:rsid w:val="0073395F"/>
    <w:rsid w:val="00734C83"/>
    <w:rsid w:val="00744C9E"/>
    <w:rsid w:val="00751C9D"/>
    <w:rsid w:val="00763452"/>
    <w:rsid w:val="00770241"/>
    <w:rsid w:val="00771B3D"/>
    <w:rsid w:val="00774FF8"/>
    <w:rsid w:val="00776F14"/>
    <w:rsid w:val="00797155"/>
    <w:rsid w:val="007C0D28"/>
    <w:rsid w:val="007C2A68"/>
    <w:rsid w:val="007C2DE2"/>
    <w:rsid w:val="007D53A5"/>
    <w:rsid w:val="007E4FF9"/>
    <w:rsid w:val="007F141D"/>
    <w:rsid w:val="007F15CE"/>
    <w:rsid w:val="007F52D9"/>
    <w:rsid w:val="008001C8"/>
    <w:rsid w:val="008010BD"/>
    <w:rsid w:val="00802F48"/>
    <w:rsid w:val="008061D4"/>
    <w:rsid w:val="008151AD"/>
    <w:rsid w:val="00815E9A"/>
    <w:rsid w:val="00827F44"/>
    <w:rsid w:val="00835D87"/>
    <w:rsid w:val="00844780"/>
    <w:rsid w:val="00847D47"/>
    <w:rsid w:val="008515A4"/>
    <w:rsid w:val="008562F1"/>
    <w:rsid w:val="00857A4D"/>
    <w:rsid w:val="008672F1"/>
    <w:rsid w:val="00872CFC"/>
    <w:rsid w:val="00872FD0"/>
    <w:rsid w:val="008731D1"/>
    <w:rsid w:val="008804C8"/>
    <w:rsid w:val="008818F7"/>
    <w:rsid w:val="008B5C0F"/>
    <w:rsid w:val="008C274A"/>
    <w:rsid w:val="008C47ED"/>
    <w:rsid w:val="008D114F"/>
    <w:rsid w:val="008D1AA1"/>
    <w:rsid w:val="008D3B3C"/>
    <w:rsid w:val="008D77FA"/>
    <w:rsid w:val="008E1640"/>
    <w:rsid w:val="008E4606"/>
    <w:rsid w:val="008F15F9"/>
    <w:rsid w:val="00901053"/>
    <w:rsid w:val="009022EE"/>
    <w:rsid w:val="00905E12"/>
    <w:rsid w:val="00906F6B"/>
    <w:rsid w:val="00907F22"/>
    <w:rsid w:val="009106E5"/>
    <w:rsid w:val="00911F43"/>
    <w:rsid w:val="00915BFB"/>
    <w:rsid w:val="00936B61"/>
    <w:rsid w:val="00936C68"/>
    <w:rsid w:val="00945A3F"/>
    <w:rsid w:val="00976509"/>
    <w:rsid w:val="00983F3F"/>
    <w:rsid w:val="00985400"/>
    <w:rsid w:val="0099248C"/>
    <w:rsid w:val="00996DEC"/>
    <w:rsid w:val="00997F23"/>
    <w:rsid w:val="009A3A5D"/>
    <w:rsid w:val="009A5308"/>
    <w:rsid w:val="009A7EAF"/>
    <w:rsid w:val="009B1129"/>
    <w:rsid w:val="009B3C39"/>
    <w:rsid w:val="009D3E86"/>
    <w:rsid w:val="009D5FE9"/>
    <w:rsid w:val="009F5A0F"/>
    <w:rsid w:val="00A071DA"/>
    <w:rsid w:val="00A20EFC"/>
    <w:rsid w:val="00A227EF"/>
    <w:rsid w:val="00A24BFC"/>
    <w:rsid w:val="00A3384C"/>
    <w:rsid w:val="00A47BBE"/>
    <w:rsid w:val="00A54A69"/>
    <w:rsid w:val="00A57AD0"/>
    <w:rsid w:val="00A743DD"/>
    <w:rsid w:val="00A76D96"/>
    <w:rsid w:val="00A77AEB"/>
    <w:rsid w:val="00A77EE2"/>
    <w:rsid w:val="00A8151D"/>
    <w:rsid w:val="00A860C9"/>
    <w:rsid w:val="00AA3996"/>
    <w:rsid w:val="00AB26D0"/>
    <w:rsid w:val="00AB4B37"/>
    <w:rsid w:val="00AC43DC"/>
    <w:rsid w:val="00AC7A47"/>
    <w:rsid w:val="00AD1341"/>
    <w:rsid w:val="00AD1D55"/>
    <w:rsid w:val="00AD3A46"/>
    <w:rsid w:val="00AD6FF7"/>
    <w:rsid w:val="00AF2F00"/>
    <w:rsid w:val="00AF37F9"/>
    <w:rsid w:val="00AF517A"/>
    <w:rsid w:val="00AF715B"/>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4A54"/>
    <w:rsid w:val="00B95697"/>
    <w:rsid w:val="00BB2478"/>
    <w:rsid w:val="00BB27DA"/>
    <w:rsid w:val="00BB39E8"/>
    <w:rsid w:val="00BB44E9"/>
    <w:rsid w:val="00BC7EA2"/>
    <w:rsid w:val="00BD236C"/>
    <w:rsid w:val="00BE2750"/>
    <w:rsid w:val="00BE40D1"/>
    <w:rsid w:val="00BE5F48"/>
    <w:rsid w:val="00BE78EB"/>
    <w:rsid w:val="00BF5358"/>
    <w:rsid w:val="00BF53DC"/>
    <w:rsid w:val="00BF610A"/>
    <w:rsid w:val="00BF66BB"/>
    <w:rsid w:val="00BF6AA8"/>
    <w:rsid w:val="00C03625"/>
    <w:rsid w:val="00C07ED2"/>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93F1D"/>
    <w:rsid w:val="00C94C11"/>
    <w:rsid w:val="00CA36F5"/>
    <w:rsid w:val="00CA409D"/>
    <w:rsid w:val="00CC75B7"/>
    <w:rsid w:val="00CC775A"/>
    <w:rsid w:val="00CD26CF"/>
    <w:rsid w:val="00CD35C7"/>
    <w:rsid w:val="00CD63BF"/>
    <w:rsid w:val="00CE5AD6"/>
    <w:rsid w:val="00CE6A58"/>
    <w:rsid w:val="00CF6706"/>
    <w:rsid w:val="00D2413D"/>
    <w:rsid w:val="00D2414E"/>
    <w:rsid w:val="00D25DBF"/>
    <w:rsid w:val="00D32705"/>
    <w:rsid w:val="00D35DFE"/>
    <w:rsid w:val="00D37599"/>
    <w:rsid w:val="00D376CD"/>
    <w:rsid w:val="00D41F33"/>
    <w:rsid w:val="00D41F4C"/>
    <w:rsid w:val="00D43DDB"/>
    <w:rsid w:val="00D44B01"/>
    <w:rsid w:val="00D5224C"/>
    <w:rsid w:val="00D5564E"/>
    <w:rsid w:val="00D62C3F"/>
    <w:rsid w:val="00D63BEF"/>
    <w:rsid w:val="00D7142E"/>
    <w:rsid w:val="00D740A7"/>
    <w:rsid w:val="00D84E35"/>
    <w:rsid w:val="00D87D37"/>
    <w:rsid w:val="00D9261A"/>
    <w:rsid w:val="00D94902"/>
    <w:rsid w:val="00DA17DE"/>
    <w:rsid w:val="00DA53E4"/>
    <w:rsid w:val="00DB1D5F"/>
    <w:rsid w:val="00DB31E2"/>
    <w:rsid w:val="00DC2DCD"/>
    <w:rsid w:val="00DC3553"/>
    <w:rsid w:val="00DC5510"/>
    <w:rsid w:val="00DD0CD6"/>
    <w:rsid w:val="00DE2BC2"/>
    <w:rsid w:val="00DE74CB"/>
    <w:rsid w:val="00DF39B0"/>
    <w:rsid w:val="00E035BC"/>
    <w:rsid w:val="00E03E28"/>
    <w:rsid w:val="00E0753F"/>
    <w:rsid w:val="00E0797D"/>
    <w:rsid w:val="00E15A63"/>
    <w:rsid w:val="00E215CB"/>
    <w:rsid w:val="00E22C4B"/>
    <w:rsid w:val="00E22FF6"/>
    <w:rsid w:val="00E32F01"/>
    <w:rsid w:val="00E41690"/>
    <w:rsid w:val="00E537B8"/>
    <w:rsid w:val="00E60439"/>
    <w:rsid w:val="00E613BB"/>
    <w:rsid w:val="00E65C58"/>
    <w:rsid w:val="00E66B7D"/>
    <w:rsid w:val="00E746C6"/>
    <w:rsid w:val="00E76BCA"/>
    <w:rsid w:val="00E81417"/>
    <w:rsid w:val="00E81E50"/>
    <w:rsid w:val="00E8501F"/>
    <w:rsid w:val="00E8669D"/>
    <w:rsid w:val="00EA02DC"/>
    <w:rsid w:val="00EB4881"/>
    <w:rsid w:val="00EC0474"/>
    <w:rsid w:val="00EC15F1"/>
    <w:rsid w:val="00EC35FF"/>
    <w:rsid w:val="00EE220F"/>
    <w:rsid w:val="00EE3E40"/>
    <w:rsid w:val="00EE4CC1"/>
    <w:rsid w:val="00EF0DBB"/>
    <w:rsid w:val="00EF6D6B"/>
    <w:rsid w:val="00F00878"/>
    <w:rsid w:val="00F113A7"/>
    <w:rsid w:val="00F146F8"/>
    <w:rsid w:val="00F275C7"/>
    <w:rsid w:val="00F33FD0"/>
    <w:rsid w:val="00F351A9"/>
    <w:rsid w:val="00F40004"/>
    <w:rsid w:val="00F45660"/>
    <w:rsid w:val="00F52F0A"/>
    <w:rsid w:val="00F74B6A"/>
    <w:rsid w:val="00F77C82"/>
    <w:rsid w:val="00F948FE"/>
    <w:rsid w:val="00F94A0F"/>
    <w:rsid w:val="00FB3464"/>
    <w:rsid w:val="00FB3ADE"/>
    <w:rsid w:val="00FB4A89"/>
    <w:rsid w:val="00FD3782"/>
    <w:rsid w:val="00FE551C"/>
    <w:rsid w:val="077D4EB0"/>
    <w:rsid w:val="0FF904B5"/>
    <w:rsid w:val="0FFD39A7"/>
    <w:rsid w:val="0FFD5690"/>
    <w:rsid w:val="0FFFED8E"/>
    <w:rsid w:val="137FB65B"/>
    <w:rsid w:val="16FF5AF3"/>
    <w:rsid w:val="17FE0DF0"/>
    <w:rsid w:val="186BECF2"/>
    <w:rsid w:val="1F2F17D3"/>
    <w:rsid w:val="1FBDDA8C"/>
    <w:rsid w:val="1FCF373F"/>
    <w:rsid w:val="20FDDD94"/>
    <w:rsid w:val="237361AB"/>
    <w:rsid w:val="25F6CEE9"/>
    <w:rsid w:val="2BAF8BFB"/>
    <w:rsid w:val="2BF7C802"/>
    <w:rsid w:val="2BF9B94B"/>
    <w:rsid w:val="2EFFA498"/>
    <w:rsid w:val="2F7FA720"/>
    <w:rsid w:val="2FFD569C"/>
    <w:rsid w:val="31BD6717"/>
    <w:rsid w:val="33FE12DC"/>
    <w:rsid w:val="36BDF426"/>
    <w:rsid w:val="36E7CA47"/>
    <w:rsid w:val="377ECB26"/>
    <w:rsid w:val="37D4FDFE"/>
    <w:rsid w:val="3886B1B6"/>
    <w:rsid w:val="3BF5E2AE"/>
    <w:rsid w:val="3CFFF2FE"/>
    <w:rsid w:val="3D9FA0D9"/>
    <w:rsid w:val="3DDD6141"/>
    <w:rsid w:val="3DE93F6D"/>
    <w:rsid w:val="3DEDCD38"/>
    <w:rsid w:val="3DEFE729"/>
    <w:rsid w:val="3E4FE369"/>
    <w:rsid w:val="3EFC1BF4"/>
    <w:rsid w:val="3F7F7B2E"/>
    <w:rsid w:val="3FE34C12"/>
    <w:rsid w:val="3FEF1550"/>
    <w:rsid w:val="3FFF8F1B"/>
    <w:rsid w:val="46FF0AE5"/>
    <w:rsid w:val="487E2522"/>
    <w:rsid w:val="4DD3287D"/>
    <w:rsid w:val="4FDFC5B2"/>
    <w:rsid w:val="4FFE453F"/>
    <w:rsid w:val="536F99A9"/>
    <w:rsid w:val="54FFF5E4"/>
    <w:rsid w:val="55DFB488"/>
    <w:rsid w:val="56FFDB0D"/>
    <w:rsid w:val="57AEF49B"/>
    <w:rsid w:val="58055111"/>
    <w:rsid w:val="5AA97D97"/>
    <w:rsid w:val="5AFDB330"/>
    <w:rsid w:val="5CFFDE04"/>
    <w:rsid w:val="5CFFF57A"/>
    <w:rsid w:val="5DBF7E22"/>
    <w:rsid w:val="5DDE31F3"/>
    <w:rsid w:val="5E7D1040"/>
    <w:rsid w:val="5EFE7CC8"/>
    <w:rsid w:val="5EFF1EC2"/>
    <w:rsid w:val="5EFF6B9E"/>
    <w:rsid w:val="5F7FC1EB"/>
    <w:rsid w:val="5F9DB362"/>
    <w:rsid w:val="5FBFEAA6"/>
    <w:rsid w:val="5FDF75F0"/>
    <w:rsid w:val="5FF99AD9"/>
    <w:rsid w:val="61E713B5"/>
    <w:rsid w:val="69FF9A5B"/>
    <w:rsid w:val="6B3DF7CF"/>
    <w:rsid w:val="6B732628"/>
    <w:rsid w:val="6BBB1E4F"/>
    <w:rsid w:val="6BBF7BDE"/>
    <w:rsid w:val="6DBFC29F"/>
    <w:rsid w:val="6E6F0692"/>
    <w:rsid w:val="6EEF067E"/>
    <w:rsid w:val="6EFEE0CB"/>
    <w:rsid w:val="6F7E3C8C"/>
    <w:rsid w:val="6F839037"/>
    <w:rsid w:val="6F97C985"/>
    <w:rsid w:val="6FA3EDA9"/>
    <w:rsid w:val="6FA94D46"/>
    <w:rsid w:val="6FEF003C"/>
    <w:rsid w:val="6FF236EE"/>
    <w:rsid w:val="6FF7C12B"/>
    <w:rsid w:val="6FFB9D7F"/>
    <w:rsid w:val="6FFE6E96"/>
    <w:rsid w:val="703F7734"/>
    <w:rsid w:val="735BD87E"/>
    <w:rsid w:val="737DF9D2"/>
    <w:rsid w:val="73BB530C"/>
    <w:rsid w:val="73BF883F"/>
    <w:rsid w:val="73D70600"/>
    <w:rsid w:val="73FFE643"/>
    <w:rsid w:val="74B7750F"/>
    <w:rsid w:val="75B33F4E"/>
    <w:rsid w:val="75FD3744"/>
    <w:rsid w:val="76EF0160"/>
    <w:rsid w:val="770FD871"/>
    <w:rsid w:val="777F5C0D"/>
    <w:rsid w:val="779BE9A5"/>
    <w:rsid w:val="77C796C8"/>
    <w:rsid w:val="77CC3748"/>
    <w:rsid w:val="77FAC94A"/>
    <w:rsid w:val="797E801A"/>
    <w:rsid w:val="79A6EB32"/>
    <w:rsid w:val="7B3FB9F6"/>
    <w:rsid w:val="7BDB465B"/>
    <w:rsid w:val="7BDC0AB3"/>
    <w:rsid w:val="7BEB87C0"/>
    <w:rsid w:val="7D7C4272"/>
    <w:rsid w:val="7DCADB31"/>
    <w:rsid w:val="7DCFF45A"/>
    <w:rsid w:val="7DDD116E"/>
    <w:rsid w:val="7DF00E46"/>
    <w:rsid w:val="7DFDB247"/>
    <w:rsid w:val="7E7562DF"/>
    <w:rsid w:val="7EC91AA1"/>
    <w:rsid w:val="7EDE8A7E"/>
    <w:rsid w:val="7EEDE1F0"/>
    <w:rsid w:val="7EFD2A7C"/>
    <w:rsid w:val="7EFDD436"/>
    <w:rsid w:val="7EFE33CB"/>
    <w:rsid w:val="7F1F0AE8"/>
    <w:rsid w:val="7F375928"/>
    <w:rsid w:val="7F3D7CCC"/>
    <w:rsid w:val="7F4F4939"/>
    <w:rsid w:val="7F6623EE"/>
    <w:rsid w:val="7F6F5F8A"/>
    <w:rsid w:val="7F7B5991"/>
    <w:rsid w:val="7F8F8E44"/>
    <w:rsid w:val="7FA7EAAD"/>
    <w:rsid w:val="7FC6AF85"/>
    <w:rsid w:val="7FD3989D"/>
    <w:rsid w:val="7FD424DA"/>
    <w:rsid w:val="7FDB4294"/>
    <w:rsid w:val="7FDD930E"/>
    <w:rsid w:val="7FE1ECEB"/>
    <w:rsid w:val="7FE5EDB6"/>
    <w:rsid w:val="7FEA2116"/>
    <w:rsid w:val="7FEFDD20"/>
    <w:rsid w:val="7FF608CE"/>
    <w:rsid w:val="7FF70B4B"/>
    <w:rsid w:val="7FF7D8E4"/>
    <w:rsid w:val="7FFAD166"/>
    <w:rsid w:val="7FFB9774"/>
    <w:rsid w:val="7FFBB0C5"/>
    <w:rsid w:val="7FFD7131"/>
    <w:rsid w:val="7FFF45C3"/>
    <w:rsid w:val="7FFFDEC9"/>
    <w:rsid w:val="7FFFDF88"/>
    <w:rsid w:val="8EFD7F8F"/>
    <w:rsid w:val="93DFE97F"/>
    <w:rsid w:val="96F2C8CF"/>
    <w:rsid w:val="9BE686D7"/>
    <w:rsid w:val="9EF79C2A"/>
    <w:rsid w:val="9F3360B3"/>
    <w:rsid w:val="9F5A8CE7"/>
    <w:rsid w:val="9FEF9AA0"/>
    <w:rsid w:val="9FF693DD"/>
    <w:rsid w:val="A6FD74C2"/>
    <w:rsid w:val="AB5CE113"/>
    <w:rsid w:val="AD7F6C10"/>
    <w:rsid w:val="AF5D63A8"/>
    <w:rsid w:val="AFCC7779"/>
    <w:rsid w:val="AFFF2E8E"/>
    <w:rsid w:val="B8A50A9C"/>
    <w:rsid w:val="BB3F2114"/>
    <w:rsid w:val="BBA383EB"/>
    <w:rsid w:val="BBCAF7AA"/>
    <w:rsid w:val="BBFFA8A7"/>
    <w:rsid w:val="BCFFEF0E"/>
    <w:rsid w:val="BDADC63C"/>
    <w:rsid w:val="BDBBC149"/>
    <w:rsid w:val="BDDDEEAD"/>
    <w:rsid w:val="BEF7C64F"/>
    <w:rsid w:val="BF7D1C82"/>
    <w:rsid w:val="BFB53FB9"/>
    <w:rsid w:val="BFB9ADA3"/>
    <w:rsid w:val="BFF7E407"/>
    <w:rsid w:val="BFFEF206"/>
    <w:rsid w:val="BFFF64DF"/>
    <w:rsid w:val="BFFF9530"/>
    <w:rsid w:val="C2FD2BCC"/>
    <w:rsid w:val="C4E54633"/>
    <w:rsid w:val="C68D98BC"/>
    <w:rsid w:val="CDF73667"/>
    <w:rsid w:val="CECF14F7"/>
    <w:rsid w:val="CFF78BD3"/>
    <w:rsid w:val="D23D63E9"/>
    <w:rsid w:val="D27A444A"/>
    <w:rsid w:val="D7BFF2AF"/>
    <w:rsid w:val="D7DEDF46"/>
    <w:rsid w:val="DADDE32C"/>
    <w:rsid w:val="DBEF2120"/>
    <w:rsid w:val="DD4E2F10"/>
    <w:rsid w:val="DD639CF8"/>
    <w:rsid w:val="DD6FAE13"/>
    <w:rsid w:val="DDFF44CF"/>
    <w:rsid w:val="DE9B73B6"/>
    <w:rsid w:val="DEDF6AA5"/>
    <w:rsid w:val="DEF9494D"/>
    <w:rsid w:val="DF73B6BF"/>
    <w:rsid w:val="DF9F6EDE"/>
    <w:rsid w:val="DFCFE13D"/>
    <w:rsid w:val="DFD78DF5"/>
    <w:rsid w:val="DFF29C56"/>
    <w:rsid w:val="DFFA6C05"/>
    <w:rsid w:val="DFFDB013"/>
    <w:rsid w:val="E5D72FA0"/>
    <w:rsid w:val="E5FED075"/>
    <w:rsid w:val="E7CAA7C1"/>
    <w:rsid w:val="E7E727A4"/>
    <w:rsid w:val="E7FD5A12"/>
    <w:rsid w:val="EAEBDA09"/>
    <w:rsid w:val="ED76480E"/>
    <w:rsid w:val="EEF7062D"/>
    <w:rsid w:val="EF9FFA15"/>
    <w:rsid w:val="EFFEB48A"/>
    <w:rsid w:val="F5DF6F8A"/>
    <w:rsid w:val="F5DFF75C"/>
    <w:rsid w:val="F7745D00"/>
    <w:rsid w:val="F7796B9C"/>
    <w:rsid w:val="F77FA422"/>
    <w:rsid w:val="F77FDF7E"/>
    <w:rsid w:val="F7A5CF28"/>
    <w:rsid w:val="F7BF2CA4"/>
    <w:rsid w:val="F7DB6DDC"/>
    <w:rsid w:val="F7F96395"/>
    <w:rsid w:val="F7FFC6AE"/>
    <w:rsid w:val="FAD1B444"/>
    <w:rsid w:val="FAF7F7BE"/>
    <w:rsid w:val="FB4C2400"/>
    <w:rsid w:val="FB78BE48"/>
    <w:rsid w:val="FBBE7DF5"/>
    <w:rsid w:val="FBBFD2F9"/>
    <w:rsid w:val="FBDE3265"/>
    <w:rsid w:val="FBDFB883"/>
    <w:rsid w:val="FBEF70EC"/>
    <w:rsid w:val="FBFB0FBE"/>
    <w:rsid w:val="FC6F8A3A"/>
    <w:rsid w:val="FCDE263D"/>
    <w:rsid w:val="FDB7DF91"/>
    <w:rsid w:val="FDBBEAE2"/>
    <w:rsid w:val="FDBE9952"/>
    <w:rsid w:val="FDE7558D"/>
    <w:rsid w:val="FDEFD043"/>
    <w:rsid w:val="FDFBE1AC"/>
    <w:rsid w:val="FE6ECA9C"/>
    <w:rsid w:val="FEBEF27D"/>
    <w:rsid w:val="FEC75DF1"/>
    <w:rsid w:val="FEDB42F7"/>
    <w:rsid w:val="FEDEFA97"/>
    <w:rsid w:val="FEDF4300"/>
    <w:rsid w:val="FEFF9DF3"/>
    <w:rsid w:val="FF1F7693"/>
    <w:rsid w:val="FF45B79C"/>
    <w:rsid w:val="FF6F2CE2"/>
    <w:rsid w:val="FFA9DB58"/>
    <w:rsid w:val="FFAF5A10"/>
    <w:rsid w:val="FFAF938C"/>
    <w:rsid w:val="FFB7AFCD"/>
    <w:rsid w:val="FFBBDC14"/>
    <w:rsid w:val="FFBE0EAE"/>
    <w:rsid w:val="FFBF4757"/>
    <w:rsid w:val="FFBFCE1B"/>
    <w:rsid w:val="FFE74000"/>
    <w:rsid w:val="FFF6A53B"/>
    <w:rsid w:val="FFFD33D4"/>
    <w:rsid w:val="FFFD892D"/>
    <w:rsid w:val="FFFDA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uiPriority w:val="0"/>
    <w:pPr>
      <w:jc w:val="left"/>
    </w:pPr>
  </w:style>
  <w:style w:type="paragraph" w:styleId="3">
    <w:name w:val="Block Text"/>
    <w:basedOn w:val="1"/>
    <w:qFormat/>
    <w:uiPriority w:val="0"/>
    <w:pPr>
      <w:ind w:left="600" w:right="631" w:firstLine="460"/>
    </w:pPr>
    <w:rPr>
      <w:sz w:val="24"/>
    </w:rPr>
  </w:style>
  <w:style w:type="paragraph" w:styleId="4">
    <w:name w:val="Balloon Text"/>
    <w:basedOn w:val="1"/>
    <w:link w:val="18"/>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rPr>
  </w:style>
  <w:style w:type="paragraph" w:styleId="7">
    <w:name w:val="footnote text"/>
    <w:basedOn w:val="1"/>
    <w:link w:val="22"/>
    <w:uiPriority w:val="0"/>
    <w:pPr>
      <w:snapToGrid w:val="0"/>
      <w:jc w:val="left"/>
    </w:pPr>
    <w:rPr>
      <w:sz w:val="18"/>
      <w:szCs w:val="18"/>
    </w:rPr>
  </w:style>
  <w:style w:type="paragraph" w:styleId="8">
    <w:name w:val="annotation subject"/>
    <w:basedOn w:val="2"/>
    <w:next w:val="2"/>
    <w:link w:val="17"/>
    <w:uiPriority w:val="0"/>
    <w:rPr>
      <w:b/>
      <w:bCs/>
    </w:rPr>
  </w:style>
  <w:style w:type="table" w:styleId="10">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iPriority w:val="0"/>
  </w:style>
  <w:style w:type="character" w:styleId="13">
    <w:name w:val="Hyperlink"/>
    <w:uiPriority w:val="0"/>
    <w:rPr>
      <w:color w:val="0000FF"/>
      <w:u w:val="single"/>
    </w:rPr>
  </w:style>
  <w:style w:type="character" w:styleId="14">
    <w:name w:val="annotation reference"/>
    <w:uiPriority w:val="0"/>
    <w:rPr>
      <w:sz w:val="21"/>
      <w:szCs w:val="21"/>
    </w:rPr>
  </w:style>
  <w:style w:type="character" w:styleId="15">
    <w:name w:val="footnote reference"/>
    <w:basedOn w:val="11"/>
    <w:uiPriority w:val="0"/>
    <w:rPr>
      <w:vertAlign w:val="superscript"/>
    </w:rPr>
  </w:style>
  <w:style w:type="character" w:customStyle="1" w:styleId="16">
    <w:name w:val="批注文字 Char"/>
    <w:link w:val="2"/>
    <w:uiPriority w:val="0"/>
    <w:rPr>
      <w:kern w:val="2"/>
      <w:sz w:val="21"/>
    </w:rPr>
  </w:style>
  <w:style w:type="character" w:customStyle="1" w:styleId="17">
    <w:name w:val="批注主题 Char"/>
    <w:link w:val="8"/>
    <w:uiPriority w:val="0"/>
    <w:rPr>
      <w:b/>
      <w:bCs/>
      <w:kern w:val="2"/>
      <w:sz w:val="21"/>
    </w:rPr>
  </w:style>
  <w:style w:type="character" w:customStyle="1" w:styleId="18">
    <w:name w:val="批注框文本 Char"/>
    <w:link w:val="4"/>
    <w:qFormat/>
    <w:uiPriority w:val="0"/>
    <w:rPr>
      <w:kern w:val="2"/>
      <w:sz w:val="18"/>
      <w:szCs w:val="18"/>
    </w:rPr>
  </w:style>
  <w:style w:type="paragraph" w:customStyle="1" w:styleId="19">
    <w:name w:val="修订1"/>
    <w:hidden/>
    <w:semiHidden/>
    <w:uiPriority w:val="99"/>
    <w:rPr>
      <w:rFonts w:ascii="Times New Roman" w:hAnsi="Times New Roman" w:eastAsia="宋体" w:cs="Times New Roman"/>
      <w:kern w:val="2"/>
      <w:sz w:val="21"/>
      <w:lang w:val="en-US" w:eastAsia="zh-CN" w:bidi="ar-SA"/>
    </w:rPr>
  </w:style>
  <w:style w:type="character" w:styleId="20">
    <w:name w:val="Placeholder Text"/>
    <w:basedOn w:val="11"/>
    <w:semiHidden/>
    <w:qFormat/>
    <w:uiPriority w:val="99"/>
    <w:rPr>
      <w:color w:val="808080"/>
    </w:rPr>
  </w:style>
  <w:style w:type="paragraph" w:styleId="21">
    <w:name w:val="List Paragraph"/>
    <w:basedOn w:val="1"/>
    <w:qFormat/>
    <w:uiPriority w:val="34"/>
    <w:pPr>
      <w:ind w:firstLine="420" w:firstLineChars="200"/>
    </w:pPr>
  </w:style>
  <w:style w:type="character" w:customStyle="1" w:styleId="22">
    <w:name w:val="脚注文本 Char"/>
    <w:basedOn w:val="11"/>
    <w:link w:val="7"/>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78F97715-55B8-409B-9D36-D3EDCF754A0C}"/>
      </w:docPartPr>
      <w:docPartBody>
        <w:p w14:paraId="4BAB6E31">
          <w:r>
            <w:rPr>
              <w:rStyle w:val="4"/>
              <w:rFonts w:hint="eastAsia"/>
            </w:rPr>
            <w:t>选择一项。</w:t>
          </w:r>
        </w:p>
      </w:docPartBody>
    </w:docPart>
    <w:docPart>
      <w:docPartPr>
        <w:name w:val="92FF123C7D9343D4908226538DDC15EF"/>
        <w:style w:val=""/>
        <w:category>
          <w:name w:val="常规"/>
          <w:gallery w:val="placeholder"/>
        </w:category>
        <w:types>
          <w:type w:val="bbPlcHdr"/>
        </w:types>
        <w:behaviors>
          <w:behavior w:val="content"/>
        </w:behaviors>
        <w:description w:val=""/>
        <w:guid w:val="{3A94D0A7-C6F5-4EF1-B788-E86217411C95}"/>
      </w:docPartPr>
      <w:docPartBody>
        <w:p w14:paraId="1296E523">
          <w:pPr>
            <w:pStyle w:val="5"/>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880"/>
    <w:rsid w:val="000D47E8"/>
    <w:rsid w:val="001931F9"/>
    <w:rsid w:val="00226851"/>
    <w:rsid w:val="003D4624"/>
    <w:rsid w:val="004A4DE0"/>
    <w:rsid w:val="00546E28"/>
    <w:rsid w:val="00676425"/>
    <w:rsid w:val="006871FD"/>
    <w:rsid w:val="006E343A"/>
    <w:rsid w:val="008363FA"/>
    <w:rsid w:val="008F6474"/>
    <w:rsid w:val="00981CDF"/>
    <w:rsid w:val="009825B2"/>
    <w:rsid w:val="009C128C"/>
    <w:rsid w:val="00B60880"/>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2FF123C7D9343D4908226538DDC15EF"/>
    <w:qFormat/>
    <w:uiPriority w:val="0"/>
    <w:pPr>
      <w:widowControl w:val="0"/>
      <w:jc w:val="both"/>
    </w:pPr>
    <w:rPr>
      <w:rFonts w:ascii="Times New Roman" w:hAnsi="Times New Roman" w:eastAsia="宋体" w:cs="Times New Roman"/>
      <w:kern w:val="2"/>
      <w:sz w:val="21"/>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上海交通大学研究生院</Company>
  <Pages>14</Pages>
  <Words>2597</Words>
  <Characters>14805</Characters>
  <Lines>123</Lines>
  <Paragraphs>34</Paragraphs>
  <TotalTime>5</TotalTime>
  <ScaleCrop>false</ScaleCrop>
  <LinksUpToDate>false</LinksUpToDate>
  <CharactersWithSpaces>17368</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2020-12-22T12:28:00Z</dcterms:created>
  <dc:creator>hc</dc:creator>
  <cp:lastModifiedBy>吴伯涛</cp:lastModifiedBy>
  <cp:lastPrinted>2017-11-11T16:39:00Z</cp:lastPrinted>
  <dcterms:modified xsi:type="dcterms:W3CDTF">2025-12-25T22:39:35Z</dcterms:modified>
  <dc:title>学科代码</dc:title>
  <cp:revision>132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E8DACCA52D31517B70584369D3429C3E_43</vt:lpwstr>
  </property>
</Properties>
</file>