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6BBDF">
      <w:pPr>
        <w:snapToGrid w:val="0"/>
        <w:spacing w:line="600" w:lineRule="exact"/>
        <w:ind w:right="840" w:rightChars="400"/>
        <w:rPr>
          <w:rFonts w:ascii="黑体" w:hAnsi="黑体" w:eastAsia="黑体" w:cs="黑体"/>
          <w:spacing w:val="-6"/>
          <w:sz w:val="32"/>
          <w:szCs w:val="32"/>
        </w:rPr>
      </w:pPr>
      <w:r>
        <w:rPr>
          <w:rFonts w:hint="eastAsia" w:ascii="黑体" w:hAnsi="黑体" w:eastAsia="黑体" w:cs="黑体"/>
          <w:spacing w:val="-6"/>
          <w:sz w:val="32"/>
          <w:szCs w:val="32"/>
        </w:rPr>
        <w:t>附件</w:t>
      </w:r>
    </w:p>
    <w:p w14:paraId="612606D7">
      <w:pPr>
        <w:snapToGrid w:val="0"/>
        <w:spacing w:line="600" w:lineRule="exact"/>
        <w:ind w:right="840" w:rightChars="400"/>
        <w:rPr>
          <w:rFonts w:ascii="黑体" w:hAnsi="黑体" w:eastAsia="黑体" w:cs="黑体"/>
          <w:spacing w:val="-6"/>
          <w:sz w:val="32"/>
          <w:szCs w:val="32"/>
        </w:rPr>
      </w:pPr>
    </w:p>
    <w:p w14:paraId="1190FEA9">
      <w:pPr>
        <w:snapToGrid w:val="0"/>
        <w:spacing w:line="600" w:lineRule="exact"/>
        <w:jc w:val="center"/>
        <w:rPr>
          <w:rFonts w:ascii="方正公文小标宋" w:hAnsi="方正公文小标宋" w:eastAsia="方正公文小标宋" w:cs="方正公文小标宋"/>
          <w:bCs/>
          <w:sz w:val="44"/>
          <w:szCs w:val="44"/>
        </w:rPr>
      </w:pPr>
      <w:r>
        <w:rPr>
          <w:rFonts w:hint="eastAsia" w:ascii="方正公文小标宋" w:hAnsi="方正公文小标宋" w:eastAsia="方正公文小标宋" w:cs="方正公文小标宋"/>
          <w:bCs/>
          <w:sz w:val="44"/>
          <w:szCs w:val="44"/>
        </w:rPr>
        <w:t>上海市</w:t>
      </w:r>
      <w:r>
        <w:rPr>
          <w:rFonts w:ascii="Times New Roman" w:hAnsi="Times New Roman" w:eastAsia="方正公文小标宋" w:cs="Times New Roman"/>
          <w:b/>
          <w:sz w:val="44"/>
          <w:szCs w:val="44"/>
        </w:rPr>
        <w:t>6G</w:t>
      </w:r>
      <w:r>
        <w:rPr>
          <w:rFonts w:hint="eastAsia" w:ascii="方正公文小标宋" w:hAnsi="方正公文小标宋" w:eastAsia="方正公文小标宋" w:cs="方正公文小标宋"/>
          <w:bCs/>
          <w:sz w:val="44"/>
          <w:szCs w:val="44"/>
        </w:rPr>
        <w:t>科技创新专项项目</w:t>
      </w:r>
    </w:p>
    <w:p w14:paraId="330442C9">
      <w:pPr>
        <w:snapToGrid w:val="0"/>
        <w:spacing w:line="600" w:lineRule="exact"/>
        <w:jc w:val="center"/>
        <w:rPr>
          <w:rFonts w:ascii="方正公文小标宋" w:hAnsi="方正公文小标宋" w:eastAsia="方正公文小标宋" w:cs="方正公文小标宋"/>
          <w:bCs/>
          <w:sz w:val="44"/>
          <w:szCs w:val="44"/>
        </w:rPr>
      </w:pPr>
      <w:r>
        <w:rPr>
          <w:rFonts w:hint="eastAsia" w:ascii="方正公文小标宋" w:hAnsi="方正公文小标宋" w:eastAsia="方正公文小标宋" w:cs="方正公文小标宋"/>
          <w:bCs/>
          <w:sz w:val="44"/>
          <w:szCs w:val="44"/>
        </w:rPr>
        <w:t>信息征集表</w:t>
      </w:r>
    </w:p>
    <w:p w14:paraId="027DE921">
      <w:pPr>
        <w:snapToGrid w:val="0"/>
        <w:spacing w:line="600" w:lineRule="exact"/>
        <w:jc w:val="center"/>
        <w:rPr>
          <w:rFonts w:ascii="方正公文小标宋" w:hAnsi="方正公文小标宋" w:eastAsia="方正公文小标宋" w:cs="方正公文小标宋"/>
          <w:bCs/>
          <w:sz w:val="44"/>
          <w:szCs w:val="44"/>
        </w:rPr>
      </w:pPr>
    </w:p>
    <w:p w14:paraId="76C6E899">
      <w:pPr>
        <w:topLinePunct/>
        <w:adjustRightInd w:val="0"/>
        <w:snapToGrid w:val="0"/>
        <w:spacing w:line="600" w:lineRule="exact"/>
        <w:rPr>
          <w:rFonts w:ascii="仿宋" w:hAnsi="仿宋" w:eastAsia="仿宋" w:cs="仿宋"/>
          <w:spacing w:val="-6"/>
          <w:sz w:val="32"/>
          <w:szCs w:val="32"/>
        </w:rPr>
      </w:pPr>
      <w:r>
        <w:rPr>
          <w:rFonts w:hint="eastAsia" w:ascii="仿宋" w:hAnsi="仿宋" w:eastAsia="仿宋" w:cs="仿宋"/>
          <w:spacing w:val="-6"/>
          <w:sz w:val="32"/>
          <w:szCs w:val="32"/>
        </w:rPr>
        <w:t>提交单位（公章）:</w:t>
      </w:r>
    </w:p>
    <w:p w14:paraId="49262F8A">
      <w:pPr>
        <w:topLinePunct/>
        <w:adjustRightInd w:val="0"/>
        <w:snapToGrid w:val="0"/>
        <w:spacing w:line="600" w:lineRule="exact"/>
        <w:rPr>
          <w:rFonts w:ascii="仿宋" w:hAnsi="仿宋" w:eastAsia="仿宋" w:cs="仿宋"/>
          <w:spacing w:val="-6"/>
          <w:sz w:val="32"/>
          <w:szCs w:val="32"/>
        </w:rPr>
      </w:pPr>
    </w:p>
    <w:p w14:paraId="73661C9F">
      <w:pPr>
        <w:topLinePunct/>
        <w:adjustRightInd w:val="0"/>
        <w:snapToGrid w:val="0"/>
        <w:spacing w:line="600" w:lineRule="exact"/>
        <w:rPr>
          <w:rFonts w:ascii="仿宋" w:hAnsi="仿宋" w:eastAsia="仿宋" w:cs="仿宋"/>
          <w:spacing w:val="-6"/>
          <w:sz w:val="32"/>
          <w:szCs w:val="32"/>
        </w:rPr>
      </w:pPr>
      <w:r>
        <w:rPr>
          <w:rFonts w:hint="eastAsia" w:ascii="仿宋" w:hAnsi="仿宋" w:eastAsia="仿宋" w:cs="仿宋"/>
          <w:spacing w:val="-6"/>
          <w:sz w:val="32"/>
          <w:szCs w:val="32"/>
        </w:rPr>
        <w:t>联 系 人：</w:t>
      </w:r>
    </w:p>
    <w:p w14:paraId="16E8B056">
      <w:pPr>
        <w:topLinePunct/>
        <w:adjustRightInd w:val="0"/>
        <w:snapToGrid w:val="0"/>
        <w:spacing w:line="600" w:lineRule="exact"/>
        <w:rPr>
          <w:rFonts w:ascii="仿宋" w:hAnsi="仿宋" w:eastAsia="仿宋" w:cs="仿宋"/>
          <w:spacing w:val="-6"/>
          <w:sz w:val="32"/>
          <w:szCs w:val="32"/>
        </w:rPr>
      </w:pPr>
    </w:p>
    <w:p w14:paraId="5E3BB92C">
      <w:pPr>
        <w:topLinePunct/>
        <w:adjustRightInd w:val="0"/>
        <w:snapToGrid w:val="0"/>
        <w:spacing w:line="600" w:lineRule="exact"/>
        <w:rPr>
          <w:rFonts w:ascii="仿宋" w:hAnsi="仿宋" w:eastAsia="仿宋" w:cs="仿宋"/>
          <w:spacing w:val="-6"/>
          <w:sz w:val="32"/>
          <w:szCs w:val="32"/>
        </w:rPr>
      </w:pPr>
      <w:r>
        <w:rPr>
          <w:rFonts w:hint="eastAsia" w:ascii="仿宋" w:hAnsi="仿宋" w:eastAsia="仿宋" w:cs="仿宋"/>
          <w:spacing w:val="-6"/>
          <w:sz w:val="32"/>
          <w:szCs w:val="32"/>
        </w:rPr>
        <w:t>移动电话：</w:t>
      </w:r>
    </w:p>
    <w:p w14:paraId="3D616898">
      <w:pPr>
        <w:topLinePunct/>
        <w:adjustRightInd w:val="0"/>
        <w:snapToGrid w:val="0"/>
        <w:spacing w:line="600" w:lineRule="exact"/>
        <w:rPr>
          <w:rFonts w:ascii="仿宋" w:hAnsi="仿宋" w:eastAsia="仿宋" w:cs="仿宋"/>
          <w:spacing w:val="-6"/>
          <w:sz w:val="32"/>
          <w:szCs w:val="32"/>
        </w:rPr>
      </w:pPr>
    </w:p>
    <w:p w14:paraId="17EF6A9F">
      <w:pPr>
        <w:topLinePunct/>
        <w:adjustRightInd w:val="0"/>
        <w:snapToGrid w:val="0"/>
        <w:spacing w:line="600" w:lineRule="exact"/>
        <w:rPr>
          <w:rFonts w:ascii="仿宋" w:hAnsi="仿宋" w:eastAsia="仿宋" w:cs="仿宋"/>
          <w:spacing w:val="-6"/>
          <w:sz w:val="32"/>
          <w:szCs w:val="32"/>
        </w:rPr>
      </w:pPr>
      <w:r>
        <w:rPr>
          <w:rFonts w:hint="eastAsia" w:ascii="仿宋" w:hAnsi="仿宋" w:eastAsia="仿宋" w:cs="仿宋"/>
          <w:spacing w:val="-6"/>
          <w:sz w:val="32"/>
          <w:szCs w:val="32"/>
        </w:rPr>
        <w:t>项目建议方向：</w:t>
      </w:r>
    </w:p>
    <w:p w14:paraId="3B51D434">
      <w:pPr>
        <w:topLinePunct/>
        <w:adjustRightInd w:val="0"/>
        <w:snapToGrid w:val="0"/>
        <w:spacing w:line="520" w:lineRule="exact"/>
        <w:ind w:left="630" w:leftChars="300"/>
        <w:rPr>
          <w:rFonts w:ascii="仿宋_GB2312" w:hAnsi="仿宋_GB2312" w:eastAsia="仿宋_GB2312" w:cs="仿宋_GB2312"/>
          <w:sz w:val="28"/>
          <w:szCs w:val="28"/>
        </w:rPr>
      </w:pPr>
      <w:r>
        <w:rPr>
          <w:rFonts w:hint="eastAsia" w:ascii="仿宋" w:hAnsi="仿宋" w:eastAsia="仿宋" w:cs="仿宋"/>
          <w:spacing w:val="-6"/>
          <w:sz w:val="28"/>
          <w:szCs w:val="28"/>
        </w:rPr>
        <w:sym w:font="Wingdings 2" w:char="F02A"/>
      </w:r>
      <w:r>
        <w:rPr>
          <w:rFonts w:hint="eastAsia" w:ascii="仿宋" w:hAnsi="仿宋" w:eastAsia="仿宋" w:cs="仿宋"/>
          <w:spacing w:val="-6"/>
          <w:sz w:val="28"/>
          <w:szCs w:val="28"/>
        </w:rPr>
        <w:t>方向1：</w:t>
      </w:r>
      <w:r>
        <w:rPr>
          <w:rFonts w:hint="eastAsia" w:ascii="仿宋_GB2312" w:hAnsi="仿宋_GB2312" w:eastAsia="仿宋_GB2312" w:cs="仿宋_GB2312"/>
          <w:sz w:val="28"/>
          <w:szCs w:val="28"/>
        </w:rPr>
        <w:t>6G前瞻性创新技术和技术标准研究</w:t>
      </w:r>
    </w:p>
    <w:p w14:paraId="230F060E">
      <w:pPr>
        <w:topLinePunct/>
        <w:adjustRightInd w:val="0"/>
        <w:snapToGrid w:val="0"/>
        <w:spacing w:line="520" w:lineRule="exact"/>
        <w:ind w:left="630" w:leftChars="300"/>
        <w:rPr>
          <w:rFonts w:ascii="仿宋_GB2312" w:hAnsi="仿宋_GB2312" w:eastAsia="仿宋_GB2312" w:cs="仿宋_GB2312"/>
          <w:sz w:val="28"/>
          <w:szCs w:val="28"/>
        </w:rPr>
      </w:pPr>
      <w:r>
        <w:rPr>
          <w:rFonts w:hint="eastAsia" w:ascii="仿宋" w:hAnsi="仿宋" w:eastAsia="仿宋" w:cs="仿宋"/>
          <w:spacing w:val="-6"/>
          <w:sz w:val="28"/>
          <w:szCs w:val="28"/>
        </w:rPr>
        <w:sym w:font="Wingdings 2" w:char="F02A"/>
      </w:r>
      <w:r>
        <w:rPr>
          <w:rFonts w:hint="eastAsia" w:ascii="仿宋" w:hAnsi="仿宋" w:eastAsia="仿宋" w:cs="仿宋"/>
          <w:spacing w:val="-6"/>
          <w:sz w:val="28"/>
          <w:szCs w:val="28"/>
        </w:rPr>
        <w:t>方向2：</w:t>
      </w:r>
      <w:r>
        <w:rPr>
          <w:rFonts w:hint="eastAsia" w:ascii="仿宋_GB2312" w:hAnsi="仿宋_GB2312" w:eastAsia="仿宋_GB2312" w:cs="仿宋_GB2312"/>
          <w:sz w:val="28"/>
          <w:szCs w:val="28"/>
        </w:rPr>
        <w:t>高端芯片和基础器件</w:t>
      </w:r>
    </w:p>
    <w:p w14:paraId="26A2B281">
      <w:pPr>
        <w:topLinePunct/>
        <w:adjustRightInd w:val="0"/>
        <w:snapToGrid w:val="0"/>
        <w:spacing w:line="520" w:lineRule="exact"/>
        <w:ind w:left="630" w:leftChars="300"/>
        <w:rPr>
          <w:rFonts w:ascii="仿宋_GB2312" w:hAnsi="仿宋_GB2312" w:eastAsia="仿宋_GB2312" w:cs="仿宋_GB2312"/>
          <w:sz w:val="28"/>
          <w:szCs w:val="28"/>
        </w:rPr>
      </w:pPr>
      <w:r>
        <w:rPr>
          <w:rFonts w:hint="eastAsia" w:ascii="仿宋" w:hAnsi="仿宋" w:eastAsia="仿宋" w:cs="仿宋"/>
          <w:spacing w:val="-6"/>
          <w:sz w:val="28"/>
          <w:szCs w:val="28"/>
        </w:rPr>
        <w:sym w:font="Wingdings 2" w:char="F02A"/>
      </w:r>
      <w:r>
        <w:rPr>
          <w:rFonts w:hint="eastAsia" w:ascii="仿宋" w:hAnsi="仿宋" w:eastAsia="仿宋" w:cs="仿宋"/>
          <w:spacing w:val="-6"/>
          <w:sz w:val="28"/>
          <w:szCs w:val="28"/>
        </w:rPr>
        <w:t>方向</w:t>
      </w:r>
      <w:r>
        <w:rPr>
          <w:rFonts w:hint="eastAsia" w:ascii="仿宋_GB2312" w:hAnsi="仿宋_GB2312" w:eastAsia="仿宋_GB2312" w:cs="仿宋_GB2312"/>
          <w:sz w:val="28"/>
          <w:szCs w:val="28"/>
        </w:rPr>
        <w:t>3：新型终端和智能模组</w:t>
      </w:r>
    </w:p>
    <w:p w14:paraId="548B4B1B">
      <w:pPr>
        <w:topLinePunct/>
        <w:adjustRightInd w:val="0"/>
        <w:snapToGrid w:val="0"/>
        <w:spacing w:line="520" w:lineRule="exact"/>
        <w:ind w:left="630" w:leftChars="300"/>
        <w:rPr>
          <w:rFonts w:ascii="仿宋_GB2312" w:hAnsi="仿宋_GB2312" w:eastAsia="仿宋_GB2312" w:cs="仿宋_GB2312"/>
          <w:sz w:val="28"/>
          <w:szCs w:val="28"/>
        </w:rPr>
      </w:pPr>
      <w:r>
        <w:rPr>
          <w:rFonts w:hint="eastAsia" w:ascii="仿宋" w:hAnsi="仿宋" w:eastAsia="仿宋" w:cs="仿宋"/>
          <w:spacing w:val="-6"/>
          <w:sz w:val="28"/>
          <w:szCs w:val="28"/>
        </w:rPr>
        <w:sym w:font="Wingdings 2" w:char="F02A"/>
      </w:r>
      <w:r>
        <w:rPr>
          <w:rFonts w:hint="eastAsia" w:ascii="仿宋" w:hAnsi="仿宋" w:eastAsia="仿宋" w:cs="仿宋"/>
          <w:spacing w:val="-6"/>
          <w:sz w:val="28"/>
          <w:szCs w:val="28"/>
        </w:rPr>
        <w:t>方向</w:t>
      </w:r>
      <w:r>
        <w:rPr>
          <w:rFonts w:hint="eastAsia" w:ascii="仿宋_GB2312" w:hAnsi="仿宋_GB2312" w:eastAsia="仿宋_GB2312" w:cs="仿宋_GB2312"/>
          <w:sz w:val="28"/>
          <w:szCs w:val="28"/>
        </w:rPr>
        <w:t>4：新型网络系统设备</w:t>
      </w:r>
    </w:p>
    <w:p w14:paraId="351EF735">
      <w:pPr>
        <w:topLinePunct/>
        <w:adjustRightInd w:val="0"/>
        <w:snapToGrid w:val="0"/>
        <w:spacing w:line="520" w:lineRule="exact"/>
        <w:ind w:left="630" w:leftChars="300"/>
        <w:rPr>
          <w:rFonts w:ascii="仿宋_GB2312" w:hAnsi="仿宋_GB2312" w:eastAsia="仿宋_GB2312" w:cs="仿宋_GB2312"/>
          <w:sz w:val="28"/>
          <w:szCs w:val="28"/>
        </w:rPr>
      </w:pPr>
      <w:r>
        <w:rPr>
          <w:rFonts w:hint="eastAsia" w:ascii="仿宋" w:hAnsi="仿宋" w:eastAsia="仿宋" w:cs="仿宋"/>
          <w:spacing w:val="-6"/>
          <w:sz w:val="28"/>
          <w:szCs w:val="28"/>
        </w:rPr>
        <w:sym w:font="Wingdings 2" w:char="F02A"/>
      </w:r>
      <w:r>
        <w:rPr>
          <w:rFonts w:hint="eastAsia" w:ascii="仿宋" w:hAnsi="仿宋" w:eastAsia="仿宋" w:cs="仿宋"/>
          <w:spacing w:val="-6"/>
          <w:sz w:val="28"/>
          <w:szCs w:val="28"/>
        </w:rPr>
        <w:t>方向</w:t>
      </w:r>
      <w:r>
        <w:rPr>
          <w:rFonts w:hint="eastAsia" w:ascii="仿宋_GB2312" w:hAnsi="仿宋_GB2312" w:eastAsia="仿宋_GB2312" w:cs="仿宋_GB2312"/>
          <w:sz w:val="28"/>
          <w:szCs w:val="28"/>
        </w:rPr>
        <w:t>5：卫星互联网</w:t>
      </w:r>
    </w:p>
    <w:p w14:paraId="08998DF2">
      <w:pPr>
        <w:topLinePunct/>
        <w:adjustRightInd w:val="0"/>
        <w:snapToGrid w:val="0"/>
        <w:spacing w:line="520" w:lineRule="exact"/>
        <w:ind w:left="630" w:leftChars="300"/>
        <w:rPr>
          <w:rFonts w:ascii="仿宋_GB2312" w:hAnsi="仿宋_GB2312" w:eastAsia="仿宋_GB2312" w:cs="仿宋_GB2312"/>
          <w:sz w:val="28"/>
          <w:szCs w:val="28"/>
        </w:rPr>
      </w:pPr>
      <w:r>
        <w:rPr>
          <w:rFonts w:hint="eastAsia" w:ascii="仿宋" w:hAnsi="仿宋" w:eastAsia="仿宋" w:cs="仿宋"/>
          <w:spacing w:val="-6"/>
          <w:sz w:val="28"/>
          <w:szCs w:val="28"/>
        </w:rPr>
        <w:sym w:font="Wingdings 2" w:char="F02A"/>
      </w:r>
      <w:r>
        <w:rPr>
          <w:rFonts w:hint="eastAsia" w:ascii="仿宋" w:hAnsi="仿宋" w:eastAsia="仿宋" w:cs="仿宋"/>
          <w:spacing w:val="-6"/>
          <w:sz w:val="28"/>
          <w:szCs w:val="28"/>
        </w:rPr>
        <w:t>方向</w:t>
      </w:r>
      <w:r>
        <w:rPr>
          <w:rFonts w:hint="eastAsia" w:ascii="仿宋_GB2312" w:hAnsi="仿宋_GB2312" w:eastAsia="仿宋_GB2312" w:cs="仿宋_GB2312"/>
          <w:sz w:val="28"/>
          <w:szCs w:val="28"/>
        </w:rPr>
        <w:t>6：仪器仪表</w:t>
      </w:r>
    </w:p>
    <w:p w14:paraId="03444151">
      <w:pPr>
        <w:topLinePunct/>
        <w:adjustRightInd w:val="0"/>
        <w:snapToGrid w:val="0"/>
        <w:spacing w:line="520" w:lineRule="exact"/>
        <w:ind w:left="630" w:leftChars="300"/>
        <w:rPr>
          <w:rFonts w:ascii="仿宋_GB2312" w:hAnsi="仿宋_GB2312" w:eastAsia="仿宋_GB2312" w:cs="仿宋_GB2312"/>
          <w:sz w:val="28"/>
          <w:szCs w:val="28"/>
        </w:rPr>
      </w:pPr>
      <w:r>
        <w:rPr>
          <w:rFonts w:hint="eastAsia" w:ascii="仿宋" w:hAnsi="仿宋" w:eastAsia="仿宋" w:cs="仿宋"/>
          <w:spacing w:val="-6"/>
          <w:sz w:val="28"/>
          <w:szCs w:val="28"/>
        </w:rPr>
        <w:sym w:font="Wingdings 2" w:char="F02A"/>
      </w:r>
      <w:r>
        <w:rPr>
          <w:rFonts w:hint="eastAsia" w:ascii="仿宋" w:hAnsi="仿宋" w:eastAsia="仿宋" w:cs="仿宋"/>
          <w:spacing w:val="-6"/>
          <w:sz w:val="28"/>
          <w:szCs w:val="28"/>
        </w:rPr>
        <w:t>方向</w:t>
      </w:r>
      <w:r>
        <w:rPr>
          <w:rFonts w:hint="eastAsia" w:ascii="仿宋_GB2312" w:hAnsi="仿宋_GB2312" w:eastAsia="仿宋_GB2312" w:cs="仿宋_GB2312"/>
          <w:sz w:val="28"/>
          <w:szCs w:val="28"/>
        </w:rPr>
        <w:t>7：支撑6G创新发展的概念验证与测试平台建设</w:t>
      </w:r>
    </w:p>
    <w:p w14:paraId="0D38CB1B">
      <w:pPr>
        <w:topLinePunct/>
        <w:adjustRightInd w:val="0"/>
        <w:snapToGrid w:val="0"/>
        <w:spacing w:line="520" w:lineRule="exact"/>
        <w:ind w:left="630" w:leftChars="300"/>
        <w:rPr>
          <w:rFonts w:ascii="仿宋_GB2312" w:hAnsi="仿宋_GB2312" w:eastAsia="仿宋_GB2312" w:cs="仿宋_GB2312"/>
          <w:sz w:val="28"/>
          <w:szCs w:val="28"/>
        </w:rPr>
      </w:pPr>
      <w:r>
        <w:rPr>
          <w:rFonts w:hint="eastAsia" w:ascii="仿宋" w:hAnsi="仿宋" w:eastAsia="仿宋" w:cs="仿宋"/>
          <w:spacing w:val="-6"/>
          <w:sz w:val="28"/>
          <w:szCs w:val="28"/>
        </w:rPr>
        <w:sym w:font="Wingdings 2" w:char="F02A"/>
      </w:r>
      <w:r>
        <w:rPr>
          <w:rFonts w:hint="eastAsia" w:ascii="仿宋" w:hAnsi="仿宋" w:eastAsia="仿宋" w:cs="仿宋"/>
          <w:spacing w:val="-6"/>
          <w:sz w:val="28"/>
          <w:szCs w:val="28"/>
        </w:rPr>
        <w:t>方向</w:t>
      </w:r>
      <w:r>
        <w:rPr>
          <w:rFonts w:hint="eastAsia" w:ascii="仿宋_GB2312" w:hAnsi="仿宋_GB2312" w:eastAsia="仿宋_GB2312" w:cs="仿宋_GB2312"/>
          <w:sz w:val="28"/>
          <w:szCs w:val="28"/>
        </w:rPr>
        <w:t>8：场景创新与应用示范</w:t>
      </w:r>
    </w:p>
    <w:p w14:paraId="34441262">
      <w:pPr>
        <w:topLinePunct/>
        <w:adjustRightInd w:val="0"/>
        <w:snapToGrid w:val="0"/>
        <w:spacing w:line="520" w:lineRule="exact"/>
        <w:ind w:left="630" w:leftChars="300"/>
        <w:rPr>
          <w:rFonts w:ascii="仿宋" w:hAnsi="仿宋" w:eastAsia="仿宋" w:cs="仿宋"/>
          <w:spacing w:val="-6"/>
          <w:sz w:val="28"/>
          <w:szCs w:val="28"/>
        </w:rPr>
      </w:pPr>
      <w:r>
        <w:rPr>
          <w:rFonts w:ascii="仿宋" w:hAnsi="仿宋" w:eastAsia="仿宋" w:cs="仿宋"/>
          <w:spacing w:val="-6"/>
          <w:sz w:val="28"/>
          <w:szCs w:val="28"/>
        </w:rPr>
        <w:t></w:t>
      </w:r>
      <w:r>
        <w:rPr>
          <w:rFonts w:hint="eastAsia" w:ascii="仿宋" w:hAnsi="仿宋" w:eastAsia="仿宋" w:cs="仿宋"/>
          <w:spacing w:val="-6"/>
          <w:sz w:val="28"/>
          <w:szCs w:val="28"/>
        </w:rPr>
        <w:t>其他</w:t>
      </w:r>
    </w:p>
    <w:p w14:paraId="09B0CFE8">
      <w:pPr>
        <w:topLinePunct/>
        <w:adjustRightInd w:val="0"/>
        <w:snapToGrid w:val="0"/>
        <w:spacing w:line="600" w:lineRule="exact"/>
        <w:rPr>
          <w:rFonts w:ascii="仿宋" w:hAnsi="仿宋" w:eastAsia="仿宋" w:cs="仿宋"/>
          <w:spacing w:val="-6"/>
          <w:sz w:val="32"/>
          <w:szCs w:val="32"/>
        </w:rPr>
      </w:pPr>
      <w:r>
        <w:rPr>
          <w:rFonts w:hint="eastAsia" w:ascii="仿宋" w:hAnsi="仿宋" w:eastAsia="仿宋" w:cs="仿宋"/>
          <w:spacing w:val="-6"/>
          <w:sz w:val="32"/>
          <w:szCs w:val="32"/>
        </w:rPr>
        <w:t>推荐区：（方向7和方向8须由所在区科技主管部门推荐）</w:t>
      </w:r>
    </w:p>
    <w:p w14:paraId="45E93317">
      <w:pPr>
        <w:topLinePunct/>
        <w:adjustRightInd w:val="0"/>
        <w:snapToGrid w:val="0"/>
        <w:spacing w:line="600" w:lineRule="exact"/>
        <w:rPr>
          <w:rFonts w:ascii="仿宋" w:hAnsi="仿宋" w:eastAsia="仿宋" w:cs="仿宋"/>
          <w:spacing w:val="-6"/>
          <w:sz w:val="32"/>
          <w:szCs w:val="32"/>
        </w:rPr>
      </w:pPr>
    </w:p>
    <w:p w14:paraId="4D9F1389">
      <w:pPr>
        <w:topLinePunct/>
        <w:adjustRightInd w:val="0"/>
        <w:snapToGrid w:val="0"/>
        <w:spacing w:line="600" w:lineRule="exact"/>
        <w:rPr>
          <w:rFonts w:ascii="仿宋" w:hAnsi="仿宋" w:eastAsia="仿宋" w:cs="仿宋"/>
          <w:spacing w:val="-6"/>
          <w:sz w:val="32"/>
          <w:szCs w:val="32"/>
        </w:rPr>
      </w:pPr>
      <w:r>
        <w:rPr>
          <w:rFonts w:hint="eastAsia" w:ascii="仿宋" w:hAnsi="仿宋" w:eastAsia="仿宋" w:cs="仿宋"/>
          <w:spacing w:val="-6"/>
          <w:sz w:val="32"/>
          <w:szCs w:val="32"/>
        </w:rPr>
        <w:t>填表日期：</w:t>
      </w:r>
    </w:p>
    <w:p w14:paraId="0EC47AE9">
      <w:pPr>
        <w:spacing w:line="560" w:lineRule="exact"/>
        <w:jc w:val="center"/>
        <w:rPr>
          <w:rFonts w:ascii="Times New Roman" w:hAnsi="Times New Roman" w:eastAsia="仿宋_GB2312" w:cs="Times New Roman"/>
          <w:b/>
          <w:bCs/>
          <w:spacing w:val="-6"/>
          <w:sz w:val="32"/>
          <w:szCs w:val="20"/>
        </w:rPr>
      </w:pPr>
      <w:r>
        <w:rPr>
          <w:rFonts w:hint="eastAsia"/>
          <w:szCs w:val="32"/>
        </w:rPr>
        <w:br w:type="page"/>
      </w:r>
      <w:bookmarkStart w:id="0" w:name="_Toc83900671"/>
      <w:r>
        <w:rPr>
          <w:rFonts w:hint="eastAsia" w:ascii="Times New Roman" w:hAnsi="Times New Roman" w:eastAsia="仿宋_GB2312" w:cs="Times New Roman"/>
          <w:b/>
          <w:bCs/>
          <w:spacing w:val="-6"/>
          <w:sz w:val="32"/>
          <w:szCs w:val="20"/>
        </w:rPr>
        <w:t>项目建议基本信息表</w:t>
      </w:r>
    </w:p>
    <w:p w14:paraId="35224E82">
      <w:pPr>
        <w:spacing w:line="560" w:lineRule="exact"/>
        <w:jc w:val="center"/>
        <w:rPr>
          <w:rFonts w:ascii="Times New Roman" w:hAnsi="Times New Roman" w:eastAsia="仿宋_GB2312" w:cs="Times New Roman"/>
          <w:b/>
          <w:bCs/>
          <w:spacing w:val="-6"/>
          <w:sz w:val="32"/>
          <w:szCs w:val="20"/>
        </w:rPr>
      </w:pPr>
    </w:p>
    <w:tbl>
      <w:tblPr>
        <w:tblStyle w:val="4"/>
        <w:tblW w:w="1008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28" w:type="dxa"/>
          <w:bottom w:w="0" w:type="dxa"/>
          <w:right w:w="28" w:type="dxa"/>
        </w:tblCellMar>
      </w:tblPr>
      <w:tblGrid>
        <w:gridCol w:w="1923"/>
        <w:gridCol w:w="1115"/>
        <w:gridCol w:w="2476"/>
        <w:gridCol w:w="1120"/>
        <w:gridCol w:w="185"/>
        <w:gridCol w:w="698"/>
        <w:gridCol w:w="929"/>
        <w:gridCol w:w="397"/>
        <w:gridCol w:w="1240"/>
      </w:tblGrid>
      <w:tr w14:paraId="0889343F">
        <w:trPr>
          <w:cantSplit/>
          <w:trHeight w:val="23" w:hRule="atLeast"/>
          <w:jc w:val="center"/>
        </w:trPr>
        <w:tc>
          <w:tcPr>
            <w:tcW w:w="3038" w:type="dxa"/>
            <w:gridSpan w:val="2"/>
            <w:vAlign w:val="center"/>
          </w:tcPr>
          <w:p w14:paraId="26E4D59E">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项目名称</w:t>
            </w:r>
          </w:p>
        </w:tc>
        <w:tc>
          <w:tcPr>
            <w:tcW w:w="7045" w:type="dxa"/>
            <w:gridSpan w:val="7"/>
            <w:vAlign w:val="center"/>
          </w:tcPr>
          <w:p w14:paraId="78B1A65A">
            <w:pPr>
              <w:spacing w:line="432" w:lineRule="auto"/>
              <w:jc w:val="center"/>
              <w:rPr>
                <w:rFonts w:hint="eastAsia" w:ascii="仿宋_GB2312" w:hAnsi="仿宋_GB2312" w:eastAsia="仿宋_GB2312" w:cs="仿宋_GB2312"/>
                <w:sz w:val="24"/>
              </w:rPr>
            </w:pPr>
            <w:r>
              <w:rPr>
                <w:rFonts w:hint="eastAsia" w:ascii="仿宋_GB2312" w:hAnsi="仿宋_GB2312" w:eastAsia="仿宋_GB2312" w:cs="仿宋_GB2312"/>
                <w:sz w:val="24"/>
              </w:rPr>
              <w:t>低功耗超宽带超线性空口A</w:t>
            </w:r>
            <w:r>
              <w:rPr>
                <w:rFonts w:ascii="仿宋_GB2312" w:hAnsi="仿宋_GB2312" w:eastAsia="仿宋_GB2312" w:cs="仿宋_GB2312"/>
                <w:sz w:val="24"/>
              </w:rPr>
              <w:t>I</w:t>
            </w:r>
            <w:r>
              <w:rPr>
                <w:rFonts w:hint="eastAsia" w:ascii="仿宋_GB2312" w:hAnsi="仿宋_GB2312" w:eastAsia="仿宋_GB2312" w:cs="仿宋_GB2312"/>
                <w:sz w:val="24"/>
              </w:rPr>
              <w:t>终端关键技术</w:t>
            </w:r>
          </w:p>
        </w:tc>
      </w:tr>
      <w:tr w14:paraId="443A4BFD">
        <w:trPr>
          <w:cantSplit/>
          <w:trHeight w:val="23" w:hRule="atLeast"/>
          <w:jc w:val="center"/>
        </w:trPr>
        <w:tc>
          <w:tcPr>
            <w:tcW w:w="3038" w:type="dxa"/>
            <w:gridSpan w:val="2"/>
            <w:vAlign w:val="center"/>
          </w:tcPr>
          <w:p w14:paraId="7FE27A89">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项目预计经费</w:t>
            </w:r>
          </w:p>
        </w:tc>
        <w:tc>
          <w:tcPr>
            <w:tcW w:w="3781" w:type="dxa"/>
            <w:gridSpan w:val="3"/>
            <w:vAlign w:val="center"/>
          </w:tcPr>
          <w:p w14:paraId="7F0341DF">
            <w:pPr>
              <w:spacing w:line="432" w:lineRule="auto"/>
              <w:jc w:val="center"/>
              <w:rPr>
                <w:rFonts w:ascii="仿宋_GB2312" w:hAnsi="仿宋_GB2312" w:eastAsia="仿宋_GB2312" w:cs="仿宋_GB2312"/>
                <w:sz w:val="24"/>
                <w:u w:val="single"/>
              </w:rPr>
            </w:pPr>
            <w:r>
              <w:rPr>
                <w:rFonts w:hint="eastAsia" w:ascii="仿宋_GB2312" w:hAnsi="仿宋_GB2312" w:eastAsia="仿宋_GB2312" w:cs="仿宋_GB2312"/>
                <w:sz w:val="24"/>
              </w:rPr>
              <w:t>申请专项经费</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rPr>
              <w:t>万元</w:t>
            </w:r>
          </w:p>
        </w:tc>
        <w:tc>
          <w:tcPr>
            <w:tcW w:w="3264" w:type="dxa"/>
            <w:gridSpan w:val="4"/>
            <w:vAlign w:val="center"/>
          </w:tcPr>
          <w:p w14:paraId="2890739A">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自筹经费</w:t>
            </w:r>
            <w:r>
              <w:rPr>
                <w:rFonts w:hint="eastAsia" w:ascii="仿宋_GB2312" w:hAnsi="仿宋_GB2312" w:eastAsia="仿宋_GB2312" w:cs="仿宋_GB2312"/>
                <w:sz w:val="24"/>
                <w:u w:val="single"/>
              </w:rPr>
              <w:t xml:space="preserve">          </w:t>
            </w:r>
            <w:r>
              <w:rPr>
                <w:rFonts w:hint="eastAsia" w:ascii="仿宋_GB2312" w:hAnsi="仿宋_GB2312" w:eastAsia="仿宋_GB2312" w:cs="仿宋_GB2312"/>
                <w:sz w:val="24"/>
              </w:rPr>
              <w:t>万元</w:t>
            </w:r>
          </w:p>
          <w:p w14:paraId="1C5D36FF">
            <w:pPr>
              <w:jc w:val="left"/>
              <w:rPr>
                <w:rFonts w:ascii="仿宋_GB2312" w:hAnsi="仿宋_GB2312" w:eastAsia="仿宋_GB2312" w:cs="仿宋_GB2312"/>
                <w:sz w:val="24"/>
              </w:rPr>
            </w:pPr>
            <w:r>
              <w:rPr>
                <w:rFonts w:hint="eastAsia" w:ascii="仿宋_GB2312" w:hAnsi="仿宋_GB2312" w:eastAsia="仿宋_GB2312" w:cs="仿宋_GB2312"/>
                <w:sz w:val="22"/>
                <w:szCs w:val="22"/>
              </w:rPr>
              <w:t>（企业牵头的项目，自筹经费与申请经费的比例不低于2:1）</w:t>
            </w:r>
          </w:p>
        </w:tc>
      </w:tr>
      <w:tr w14:paraId="5910E959">
        <w:trPr>
          <w:cantSplit/>
          <w:trHeight w:val="23" w:hRule="atLeast"/>
          <w:jc w:val="center"/>
        </w:trPr>
        <w:tc>
          <w:tcPr>
            <w:tcW w:w="3038" w:type="dxa"/>
            <w:gridSpan w:val="2"/>
            <w:vAlign w:val="center"/>
          </w:tcPr>
          <w:p w14:paraId="6FE7247B">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执行周期</w:t>
            </w:r>
          </w:p>
        </w:tc>
        <w:tc>
          <w:tcPr>
            <w:tcW w:w="7045" w:type="dxa"/>
            <w:gridSpan w:val="7"/>
            <w:vAlign w:val="center"/>
          </w:tcPr>
          <w:p w14:paraId="1778E3CF">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2年</w:t>
            </w:r>
          </w:p>
        </w:tc>
      </w:tr>
      <w:tr w14:paraId="01B03F07">
        <w:trPr>
          <w:cantSplit/>
          <w:trHeight w:val="23" w:hRule="atLeast"/>
          <w:jc w:val="center"/>
        </w:trPr>
        <w:tc>
          <w:tcPr>
            <w:tcW w:w="1923" w:type="dxa"/>
            <w:vMerge w:val="restart"/>
            <w:vAlign w:val="center"/>
          </w:tcPr>
          <w:p w14:paraId="7AA77278">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项目承担</w:t>
            </w:r>
          </w:p>
          <w:p w14:paraId="38BF53AB">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单位信息</w:t>
            </w:r>
          </w:p>
        </w:tc>
        <w:tc>
          <w:tcPr>
            <w:tcW w:w="1115" w:type="dxa"/>
            <w:vAlign w:val="center"/>
          </w:tcPr>
          <w:p w14:paraId="0C798F6B">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单位名称</w:t>
            </w:r>
          </w:p>
        </w:tc>
        <w:tc>
          <w:tcPr>
            <w:tcW w:w="3596" w:type="dxa"/>
            <w:gridSpan w:val="2"/>
            <w:vAlign w:val="center"/>
          </w:tcPr>
          <w:p w14:paraId="2AC90FC6">
            <w:pPr>
              <w:spacing w:line="432" w:lineRule="auto"/>
              <w:jc w:val="center"/>
              <w:rPr>
                <w:rFonts w:ascii="仿宋_GB2312" w:hAnsi="仿宋_GB2312" w:eastAsia="仿宋_GB2312" w:cs="仿宋_GB2312"/>
                <w:sz w:val="24"/>
              </w:rPr>
            </w:pPr>
          </w:p>
        </w:tc>
        <w:tc>
          <w:tcPr>
            <w:tcW w:w="1812" w:type="dxa"/>
            <w:gridSpan w:val="3"/>
            <w:vAlign w:val="center"/>
          </w:tcPr>
          <w:p w14:paraId="12DE3B6E">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单位性质</w:t>
            </w:r>
          </w:p>
        </w:tc>
        <w:tc>
          <w:tcPr>
            <w:tcW w:w="1637" w:type="dxa"/>
            <w:gridSpan w:val="2"/>
            <w:vAlign w:val="center"/>
          </w:tcPr>
          <w:p w14:paraId="6A1851F6">
            <w:pPr>
              <w:spacing w:line="432" w:lineRule="auto"/>
              <w:jc w:val="center"/>
              <w:rPr>
                <w:rFonts w:ascii="仿宋_GB2312" w:hAnsi="仿宋_GB2312" w:eastAsia="仿宋_GB2312" w:cs="仿宋_GB2312"/>
                <w:sz w:val="24"/>
              </w:rPr>
            </w:pPr>
          </w:p>
        </w:tc>
      </w:tr>
      <w:tr w14:paraId="55B3E4DE">
        <w:trPr>
          <w:cantSplit/>
          <w:trHeight w:val="23" w:hRule="atLeast"/>
          <w:jc w:val="center"/>
        </w:trPr>
        <w:tc>
          <w:tcPr>
            <w:tcW w:w="1923" w:type="dxa"/>
            <w:vMerge w:val="continue"/>
            <w:vAlign w:val="center"/>
          </w:tcPr>
          <w:p w14:paraId="78E8E58F">
            <w:pPr>
              <w:spacing w:line="432" w:lineRule="auto"/>
              <w:jc w:val="center"/>
              <w:rPr>
                <w:rFonts w:ascii="仿宋_GB2312" w:hAnsi="仿宋_GB2312" w:eastAsia="仿宋_GB2312" w:cs="仿宋_GB2312"/>
                <w:sz w:val="24"/>
              </w:rPr>
            </w:pPr>
          </w:p>
        </w:tc>
        <w:tc>
          <w:tcPr>
            <w:tcW w:w="1115" w:type="dxa"/>
            <w:vAlign w:val="center"/>
          </w:tcPr>
          <w:p w14:paraId="16554842">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单位所在地</w:t>
            </w:r>
          </w:p>
        </w:tc>
        <w:tc>
          <w:tcPr>
            <w:tcW w:w="3596" w:type="dxa"/>
            <w:gridSpan w:val="2"/>
            <w:vAlign w:val="center"/>
          </w:tcPr>
          <w:p w14:paraId="570B10A3">
            <w:pPr>
              <w:spacing w:line="432" w:lineRule="auto"/>
              <w:jc w:val="center"/>
              <w:rPr>
                <w:rFonts w:ascii="仿宋_GB2312" w:hAnsi="仿宋_GB2312" w:eastAsia="仿宋_GB2312" w:cs="仿宋_GB2312"/>
                <w:sz w:val="24"/>
              </w:rPr>
            </w:pPr>
          </w:p>
        </w:tc>
        <w:tc>
          <w:tcPr>
            <w:tcW w:w="1812" w:type="dxa"/>
            <w:gridSpan w:val="3"/>
            <w:vAlign w:val="center"/>
          </w:tcPr>
          <w:p w14:paraId="7687D779">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组织机构代码</w:t>
            </w:r>
          </w:p>
        </w:tc>
        <w:tc>
          <w:tcPr>
            <w:tcW w:w="1637" w:type="dxa"/>
            <w:gridSpan w:val="2"/>
            <w:vAlign w:val="center"/>
          </w:tcPr>
          <w:p w14:paraId="02EBB893">
            <w:pPr>
              <w:spacing w:line="432" w:lineRule="auto"/>
              <w:jc w:val="center"/>
              <w:rPr>
                <w:rFonts w:ascii="仿宋_GB2312" w:hAnsi="仿宋_GB2312" w:eastAsia="仿宋_GB2312" w:cs="仿宋_GB2312"/>
                <w:sz w:val="24"/>
              </w:rPr>
            </w:pPr>
          </w:p>
        </w:tc>
      </w:tr>
      <w:tr w14:paraId="515C9002">
        <w:trPr>
          <w:cantSplit/>
          <w:trHeight w:val="23" w:hRule="atLeast"/>
          <w:jc w:val="center"/>
        </w:trPr>
        <w:tc>
          <w:tcPr>
            <w:tcW w:w="1923" w:type="dxa"/>
            <w:vMerge w:val="continue"/>
            <w:vAlign w:val="center"/>
          </w:tcPr>
          <w:p w14:paraId="523E47CD">
            <w:pPr>
              <w:spacing w:line="432" w:lineRule="auto"/>
              <w:jc w:val="center"/>
              <w:rPr>
                <w:rFonts w:ascii="仿宋_GB2312" w:hAnsi="仿宋_GB2312" w:eastAsia="仿宋_GB2312" w:cs="仿宋_GB2312"/>
                <w:sz w:val="24"/>
              </w:rPr>
            </w:pPr>
          </w:p>
        </w:tc>
        <w:tc>
          <w:tcPr>
            <w:tcW w:w="1115" w:type="dxa"/>
            <w:vAlign w:val="center"/>
          </w:tcPr>
          <w:p w14:paraId="469FEA18">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开户银行</w:t>
            </w:r>
          </w:p>
        </w:tc>
        <w:tc>
          <w:tcPr>
            <w:tcW w:w="3596" w:type="dxa"/>
            <w:gridSpan w:val="2"/>
            <w:vAlign w:val="center"/>
          </w:tcPr>
          <w:p w14:paraId="4CFB0ABD">
            <w:pPr>
              <w:spacing w:line="432" w:lineRule="auto"/>
              <w:jc w:val="center"/>
              <w:rPr>
                <w:rFonts w:ascii="仿宋_GB2312" w:hAnsi="仿宋_GB2312" w:eastAsia="仿宋_GB2312" w:cs="仿宋_GB2312"/>
                <w:sz w:val="24"/>
              </w:rPr>
            </w:pPr>
          </w:p>
        </w:tc>
        <w:tc>
          <w:tcPr>
            <w:tcW w:w="1812" w:type="dxa"/>
            <w:gridSpan w:val="3"/>
            <w:vAlign w:val="center"/>
          </w:tcPr>
          <w:p w14:paraId="66048C8D">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开户名</w:t>
            </w:r>
          </w:p>
        </w:tc>
        <w:tc>
          <w:tcPr>
            <w:tcW w:w="1637" w:type="dxa"/>
            <w:gridSpan w:val="2"/>
            <w:vAlign w:val="center"/>
          </w:tcPr>
          <w:p w14:paraId="2F04F1A4">
            <w:pPr>
              <w:spacing w:line="432" w:lineRule="auto"/>
              <w:jc w:val="center"/>
              <w:rPr>
                <w:rFonts w:ascii="仿宋_GB2312" w:hAnsi="仿宋_GB2312" w:eastAsia="仿宋_GB2312" w:cs="仿宋_GB2312"/>
                <w:sz w:val="24"/>
              </w:rPr>
            </w:pPr>
          </w:p>
        </w:tc>
      </w:tr>
      <w:tr w14:paraId="2528B294">
        <w:trPr>
          <w:cantSplit/>
          <w:trHeight w:val="23" w:hRule="atLeast"/>
          <w:jc w:val="center"/>
        </w:trPr>
        <w:tc>
          <w:tcPr>
            <w:tcW w:w="1923" w:type="dxa"/>
            <w:vMerge w:val="continue"/>
            <w:vAlign w:val="center"/>
          </w:tcPr>
          <w:p w14:paraId="5A08F97A">
            <w:pPr>
              <w:spacing w:line="432" w:lineRule="auto"/>
              <w:jc w:val="center"/>
              <w:rPr>
                <w:rFonts w:ascii="仿宋_GB2312" w:hAnsi="仿宋_GB2312" w:eastAsia="仿宋_GB2312" w:cs="仿宋_GB2312"/>
                <w:sz w:val="24"/>
              </w:rPr>
            </w:pPr>
          </w:p>
        </w:tc>
        <w:tc>
          <w:tcPr>
            <w:tcW w:w="1115" w:type="dxa"/>
            <w:vAlign w:val="center"/>
          </w:tcPr>
          <w:p w14:paraId="67C7FB94">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账  号</w:t>
            </w:r>
          </w:p>
        </w:tc>
        <w:tc>
          <w:tcPr>
            <w:tcW w:w="7045" w:type="dxa"/>
            <w:gridSpan w:val="7"/>
            <w:vAlign w:val="center"/>
          </w:tcPr>
          <w:p w14:paraId="1E8A85F4">
            <w:pPr>
              <w:spacing w:line="432" w:lineRule="auto"/>
              <w:jc w:val="center"/>
              <w:rPr>
                <w:rFonts w:ascii="仿宋_GB2312" w:hAnsi="仿宋_GB2312" w:eastAsia="仿宋_GB2312" w:cs="仿宋_GB2312"/>
                <w:sz w:val="24"/>
              </w:rPr>
            </w:pPr>
          </w:p>
        </w:tc>
      </w:tr>
      <w:tr w14:paraId="22936B00">
        <w:trPr>
          <w:cantSplit/>
          <w:trHeight w:val="23" w:hRule="atLeast"/>
          <w:jc w:val="center"/>
        </w:trPr>
        <w:tc>
          <w:tcPr>
            <w:tcW w:w="1923" w:type="dxa"/>
            <w:vMerge w:val="continue"/>
            <w:vAlign w:val="center"/>
          </w:tcPr>
          <w:p w14:paraId="760AD801">
            <w:pPr>
              <w:spacing w:line="432" w:lineRule="auto"/>
              <w:jc w:val="center"/>
              <w:rPr>
                <w:rFonts w:ascii="仿宋_GB2312" w:hAnsi="仿宋_GB2312" w:eastAsia="仿宋_GB2312" w:cs="仿宋_GB2312"/>
                <w:sz w:val="24"/>
              </w:rPr>
            </w:pPr>
          </w:p>
        </w:tc>
        <w:tc>
          <w:tcPr>
            <w:tcW w:w="1115" w:type="dxa"/>
            <w:vAlign w:val="center"/>
          </w:tcPr>
          <w:p w14:paraId="4293DC0F">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法人代表</w:t>
            </w:r>
          </w:p>
        </w:tc>
        <w:tc>
          <w:tcPr>
            <w:tcW w:w="3596" w:type="dxa"/>
            <w:gridSpan w:val="2"/>
            <w:vAlign w:val="center"/>
          </w:tcPr>
          <w:p w14:paraId="3B4A6921">
            <w:pPr>
              <w:spacing w:line="432" w:lineRule="auto"/>
              <w:jc w:val="center"/>
              <w:rPr>
                <w:rFonts w:ascii="仿宋_GB2312" w:hAnsi="仿宋_GB2312" w:eastAsia="仿宋_GB2312" w:cs="仿宋_GB2312"/>
                <w:sz w:val="24"/>
              </w:rPr>
            </w:pPr>
          </w:p>
        </w:tc>
        <w:tc>
          <w:tcPr>
            <w:tcW w:w="1812" w:type="dxa"/>
            <w:gridSpan w:val="3"/>
            <w:vAlign w:val="center"/>
          </w:tcPr>
          <w:p w14:paraId="49E7FE95">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证件类型</w:t>
            </w:r>
          </w:p>
        </w:tc>
        <w:tc>
          <w:tcPr>
            <w:tcW w:w="1637" w:type="dxa"/>
            <w:gridSpan w:val="2"/>
            <w:vAlign w:val="center"/>
          </w:tcPr>
          <w:p w14:paraId="38898AA6">
            <w:pPr>
              <w:spacing w:line="432" w:lineRule="auto"/>
              <w:jc w:val="center"/>
              <w:rPr>
                <w:rFonts w:ascii="仿宋_GB2312" w:hAnsi="仿宋_GB2312" w:eastAsia="仿宋_GB2312" w:cs="仿宋_GB2312"/>
                <w:sz w:val="24"/>
              </w:rPr>
            </w:pPr>
          </w:p>
        </w:tc>
      </w:tr>
      <w:tr w14:paraId="25BAD7D4">
        <w:trPr>
          <w:cantSplit/>
          <w:trHeight w:val="23" w:hRule="atLeast"/>
          <w:jc w:val="center"/>
        </w:trPr>
        <w:tc>
          <w:tcPr>
            <w:tcW w:w="1923" w:type="dxa"/>
            <w:vMerge w:val="continue"/>
            <w:vAlign w:val="center"/>
          </w:tcPr>
          <w:p w14:paraId="5389F3AC">
            <w:pPr>
              <w:spacing w:line="432" w:lineRule="auto"/>
              <w:jc w:val="center"/>
              <w:rPr>
                <w:rFonts w:ascii="仿宋_GB2312" w:hAnsi="仿宋_GB2312" w:eastAsia="仿宋_GB2312" w:cs="仿宋_GB2312"/>
                <w:sz w:val="24"/>
              </w:rPr>
            </w:pPr>
          </w:p>
        </w:tc>
        <w:tc>
          <w:tcPr>
            <w:tcW w:w="1115" w:type="dxa"/>
            <w:vAlign w:val="center"/>
          </w:tcPr>
          <w:p w14:paraId="2419C868">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证件号码</w:t>
            </w:r>
          </w:p>
        </w:tc>
        <w:tc>
          <w:tcPr>
            <w:tcW w:w="7045" w:type="dxa"/>
            <w:gridSpan w:val="7"/>
            <w:vAlign w:val="center"/>
          </w:tcPr>
          <w:p w14:paraId="0BF942F7">
            <w:pPr>
              <w:spacing w:line="432" w:lineRule="auto"/>
              <w:jc w:val="center"/>
              <w:rPr>
                <w:rFonts w:ascii="仿宋_GB2312" w:hAnsi="仿宋_GB2312" w:eastAsia="仿宋_GB2312" w:cs="仿宋_GB2312"/>
                <w:sz w:val="24"/>
              </w:rPr>
            </w:pPr>
          </w:p>
        </w:tc>
      </w:tr>
      <w:tr w14:paraId="59B2E4BE">
        <w:trPr>
          <w:cantSplit/>
          <w:trHeight w:val="23" w:hRule="atLeast"/>
          <w:jc w:val="center"/>
        </w:trPr>
        <w:tc>
          <w:tcPr>
            <w:tcW w:w="1923" w:type="dxa"/>
            <w:vMerge w:val="restart"/>
            <w:vAlign w:val="center"/>
          </w:tcPr>
          <w:p w14:paraId="5B3DEAAF">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项目负责人</w:t>
            </w:r>
          </w:p>
        </w:tc>
        <w:tc>
          <w:tcPr>
            <w:tcW w:w="1115" w:type="dxa"/>
            <w:vAlign w:val="center"/>
          </w:tcPr>
          <w:p w14:paraId="7E8CE805">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姓名</w:t>
            </w:r>
          </w:p>
        </w:tc>
        <w:tc>
          <w:tcPr>
            <w:tcW w:w="2476" w:type="dxa"/>
            <w:vAlign w:val="center"/>
          </w:tcPr>
          <w:p w14:paraId="578A1477">
            <w:pPr>
              <w:spacing w:line="432" w:lineRule="auto"/>
              <w:jc w:val="center"/>
              <w:rPr>
                <w:rFonts w:ascii="仿宋_GB2312" w:hAnsi="仿宋_GB2312" w:eastAsia="仿宋_GB2312" w:cs="仿宋_GB2312"/>
                <w:sz w:val="24"/>
              </w:rPr>
            </w:pPr>
          </w:p>
        </w:tc>
        <w:tc>
          <w:tcPr>
            <w:tcW w:w="1120" w:type="dxa"/>
            <w:vAlign w:val="center"/>
          </w:tcPr>
          <w:p w14:paraId="527ED815">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性别</w:t>
            </w:r>
          </w:p>
        </w:tc>
        <w:tc>
          <w:tcPr>
            <w:tcW w:w="883" w:type="dxa"/>
            <w:gridSpan w:val="2"/>
            <w:vAlign w:val="center"/>
          </w:tcPr>
          <w:p w14:paraId="32DC60E9">
            <w:pPr>
              <w:spacing w:line="432" w:lineRule="auto"/>
              <w:jc w:val="center"/>
              <w:rPr>
                <w:rFonts w:ascii="仿宋_GB2312" w:hAnsi="仿宋_GB2312" w:eastAsia="仿宋_GB2312" w:cs="仿宋_GB2312"/>
                <w:sz w:val="24"/>
              </w:rPr>
            </w:pPr>
          </w:p>
        </w:tc>
        <w:tc>
          <w:tcPr>
            <w:tcW w:w="1326" w:type="dxa"/>
            <w:gridSpan w:val="2"/>
            <w:vAlign w:val="center"/>
          </w:tcPr>
          <w:p w14:paraId="0E4F21D9">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出生日期</w:t>
            </w:r>
          </w:p>
        </w:tc>
        <w:tc>
          <w:tcPr>
            <w:tcW w:w="1240" w:type="dxa"/>
            <w:vAlign w:val="center"/>
          </w:tcPr>
          <w:p w14:paraId="0C6C7FAB">
            <w:pPr>
              <w:spacing w:line="432" w:lineRule="auto"/>
              <w:jc w:val="center"/>
              <w:rPr>
                <w:rFonts w:ascii="仿宋_GB2312" w:hAnsi="仿宋_GB2312" w:eastAsia="仿宋_GB2312" w:cs="仿宋_GB2312"/>
                <w:sz w:val="24"/>
              </w:rPr>
            </w:pPr>
          </w:p>
        </w:tc>
      </w:tr>
      <w:tr w14:paraId="39D59F33">
        <w:trPr>
          <w:cantSplit/>
          <w:trHeight w:val="23" w:hRule="atLeast"/>
          <w:jc w:val="center"/>
        </w:trPr>
        <w:tc>
          <w:tcPr>
            <w:tcW w:w="1923" w:type="dxa"/>
            <w:vMerge w:val="continue"/>
            <w:vAlign w:val="center"/>
          </w:tcPr>
          <w:p w14:paraId="22BC1A7D">
            <w:pPr>
              <w:spacing w:line="432" w:lineRule="auto"/>
              <w:jc w:val="center"/>
              <w:rPr>
                <w:rFonts w:ascii="仿宋_GB2312" w:hAnsi="仿宋_GB2312" w:eastAsia="仿宋_GB2312" w:cs="仿宋_GB2312"/>
                <w:sz w:val="24"/>
              </w:rPr>
            </w:pPr>
          </w:p>
        </w:tc>
        <w:tc>
          <w:tcPr>
            <w:tcW w:w="1115" w:type="dxa"/>
            <w:vAlign w:val="center"/>
          </w:tcPr>
          <w:p w14:paraId="20C896D8">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证件类型</w:t>
            </w:r>
          </w:p>
        </w:tc>
        <w:tc>
          <w:tcPr>
            <w:tcW w:w="2476" w:type="dxa"/>
            <w:vAlign w:val="center"/>
          </w:tcPr>
          <w:p w14:paraId="0A04EFFB">
            <w:pPr>
              <w:spacing w:line="432" w:lineRule="auto"/>
              <w:jc w:val="center"/>
              <w:rPr>
                <w:rFonts w:ascii="仿宋_GB2312" w:hAnsi="仿宋_GB2312" w:eastAsia="仿宋_GB2312" w:cs="仿宋_GB2312"/>
                <w:sz w:val="24"/>
              </w:rPr>
            </w:pPr>
          </w:p>
        </w:tc>
        <w:tc>
          <w:tcPr>
            <w:tcW w:w="1120" w:type="dxa"/>
            <w:vAlign w:val="center"/>
          </w:tcPr>
          <w:p w14:paraId="57D4D408">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证件号码</w:t>
            </w:r>
          </w:p>
        </w:tc>
        <w:tc>
          <w:tcPr>
            <w:tcW w:w="3449" w:type="dxa"/>
            <w:gridSpan w:val="5"/>
            <w:vAlign w:val="center"/>
          </w:tcPr>
          <w:p w14:paraId="4FFAADF9">
            <w:pPr>
              <w:spacing w:line="432" w:lineRule="auto"/>
              <w:jc w:val="center"/>
              <w:rPr>
                <w:rFonts w:ascii="仿宋_GB2312" w:hAnsi="仿宋_GB2312" w:eastAsia="仿宋_GB2312" w:cs="仿宋_GB2312"/>
                <w:sz w:val="24"/>
              </w:rPr>
            </w:pPr>
          </w:p>
        </w:tc>
      </w:tr>
      <w:tr w14:paraId="3AE9B255">
        <w:trPr>
          <w:cantSplit/>
          <w:trHeight w:val="23" w:hRule="atLeast"/>
          <w:jc w:val="center"/>
        </w:trPr>
        <w:tc>
          <w:tcPr>
            <w:tcW w:w="1923" w:type="dxa"/>
            <w:vMerge w:val="continue"/>
            <w:vAlign w:val="center"/>
          </w:tcPr>
          <w:p w14:paraId="45EE76A8">
            <w:pPr>
              <w:spacing w:line="432" w:lineRule="auto"/>
              <w:jc w:val="center"/>
              <w:rPr>
                <w:rFonts w:ascii="仿宋_GB2312" w:hAnsi="仿宋_GB2312" w:eastAsia="仿宋_GB2312" w:cs="仿宋_GB2312"/>
                <w:sz w:val="24"/>
              </w:rPr>
            </w:pPr>
          </w:p>
        </w:tc>
        <w:tc>
          <w:tcPr>
            <w:tcW w:w="1115" w:type="dxa"/>
            <w:vAlign w:val="center"/>
          </w:tcPr>
          <w:p w14:paraId="7AABD89B">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职称</w:t>
            </w:r>
          </w:p>
        </w:tc>
        <w:tc>
          <w:tcPr>
            <w:tcW w:w="3596" w:type="dxa"/>
            <w:gridSpan w:val="2"/>
            <w:vAlign w:val="center"/>
          </w:tcPr>
          <w:p w14:paraId="1522B3E0">
            <w:pPr>
              <w:spacing w:line="432" w:lineRule="auto"/>
              <w:jc w:val="center"/>
              <w:rPr>
                <w:rFonts w:ascii="仿宋_GB2312" w:hAnsi="仿宋_GB2312" w:eastAsia="仿宋_GB2312" w:cs="仿宋_GB2312"/>
                <w:sz w:val="24"/>
              </w:rPr>
            </w:pPr>
          </w:p>
        </w:tc>
        <w:tc>
          <w:tcPr>
            <w:tcW w:w="1812" w:type="dxa"/>
            <w:gridSpan w:val="3"/>
            <w:vAlign w:val="center"/>
          </w:tcPr>
          <w:p w14:paraId="6125EB86">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职务</w:t>
            </w:r>
          </w:p>
        </w:tc>
        <w:tc>
          <w:tcPr>
            <w:tcW w:w="1637" w:type="dxa"/>
            <w:gridSpan w:val="2"/>
            <w:vAlign w:val="center"/>
          </w:tcPr>
          <w:p w14:paraId="68514C1A">
            <w:pPr>
              <w:spacing w:line="432" w:lineRule="auto"/>
              <w:jc w:val="center"/>
              <w:rPr>
                <w:rFonts w:ascii="仿宋_GB2312" w:hAnsi="仿宋_GB2312" w:eastAsia="仿宋_GB2312" w:cs="仿宋_GB2312"/>
                <w:sz w:val="24"/>
              </w:rPr>
            </w:pPr>
          </w:p>
        </w:tc>
      </w:tr>
      <w:tr w14:paraId="79B4188F">
        <w:trPr>
          <w:cantSplit/>
          <w:trHeight w:val="23" w:hRule="atLeast"/>
          <w:jc w:val="center"/>
        </w:trPr>
        <w:tc>
          <w:tcPr>
            <w:tcW w:w="1923" w:type="dxa"/>
            <w:vMerge w:val="continue"/>
            <w:vAlign w:val="center"/>
          </w:tcPr>
          <w:p w14:paraId="1DDD8D71">
            <w:pPr>
              <w:spacing w:line="432" w:lineRule="auto"/>
              <w:jc w:val="center"/>
              <w:rPr>
                <w:rFonts w:ascii="仿宋_GB2312" w:hAnsi="仿宋_GB2312" w:eastAsia="仿宋_GB2312" w:cs="仿宋_GB2312"/>
                <w:sz w:val="24"/>
              </w:rPr>
            </w:pPr>
          </w:p>
        </w:tc>
        <w:tc>
          <w:tcPr>
            <w:tcW w:w="1115" w:type="dxa"/>
            <w:vAlign w:val="center"/>
          </w:tcPr>
          <w:p w14:paraId="5D507196">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电子邮箱</w:t>
            </w:r>
          </w:p>
        </w:tc>
        <w:tc>
          <w:tcPr>
            <w:tcW w:w="3596" w:type="dxa"/>
            <w:gridSpan w:val="2"/>
            <w:vAlign w:val="center"/>
          </w:tcPr>
          <w:p w14:paraId="5E88836A">
            <w:pPr>
              <w:spacing w:line="432" w:lineRule="auto"/>
              <w:ind w:firstLine="484" w:firstLineChars="202"/>
              <w:jc w:val="center"/>
              <w:rPr>
                <w:rFonts w:ascii="仿宋_GB2312" w:hAnsi="仿宋_GB2312" w:eastAsia="仿宋_GB2312" w:cs="仿宋_GB2312"/>
                <w:sz w:val="24"/>
              </w:rPr>
            </w:pPr>
          </w:p>
        </w:tc>
        <w:tc>
          <w:tcPr>
            <w:tcW w:w="1812" w:type="dxa"/>
            <w:gridSpan w:val="3"/>
            <w:vAlign w:val="center"/>
          </w:tcPr>
          <w:p w14:paraId="607DCCA5">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移动电话</w:t>
            </w:r>
          </w:p>
        </w:tc>
        <w:tc>
          <w:tcPr>
            <w:tcW w:w="1637" w:type="dxa"/>
            <w:gridSpan w:val="2"/>
            <w:vAlign w:val="center"/>
          </w:tcPr>
          <w:p w14:paraId="48682CBD">
            <w:pPr>
              <w:spacing w:line="432" w:lineRule="auto"/>
              <w:jc w:val="center"/>
              <w:rPr>
                <w:rFonts w:ascii="仿宋_GB2312" w:hAnsi="仿宋_GB2312" w:eastAsia="仿宋_GB2312" w:cs="仿宋_GB2312"/>
                <w:sz w:val="24"/>
              </w:rPr>
            </w:pPr>
          </w:p>
        </w:tc>
      </w:tr>
      <w:tr w14:paraId="183488E9">
        <w:trPr>
          <w:cantSplit/>
          <w:trHeight w:val="23" w:hRule="atLeast"/>
          <w:jc w:val="center"/>
        </w:trPr>
        <w:tc>
          <w:tcPr>
            <w:tcW w:w="1923" w:type="dxa"/>
            <w:vMerge w:val="restart"/>
            <w:vAlign w:val="center"/>
          </w:tcPr>
          <w:p w14:paraId="4A3904BF">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项目联系人</w:t>
            </w:r>
          </w:p>
        </w:tc>
        <w:tc>
          <w:tcPr>
            <w:tcW w:w="1115" w:type="dxa"/>
            <w:vAlign w:val="center"/>
          </w:tcPr>
          <w:p w14:paraId="77551D40">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姓名</w:t>
            </w:r>
          </w:p>
        </w:tc>
        <w:tc>
          <w:tcPr>
            <w:tcW w:w="3596" w:type="dxa"/>
            <w:gridSpan w:val="2"/>
            <w:vAlign w:val="center"/>
          </w:tcPr>
          <w:p w14:paraId="274900D5">
            <w:pPr>
              <w:spacing w:line="432" w:lineRule="auto"/>
              <w:jc w:val="center"/>
              <w:rPr>
                <w:rFonts w:ascii="仿宋_GB2312" w:hAnsi="仿宋_GB2312" w:eastAsia="仿宋_GB2312" w:cs="仿宋_GB2312"/>
                <w:sz w:val="24"/>
              </w:rPr>
            </w:pPr>
          </w:p>
        </w:tc>
        <w:tc>
          <w:tcPr>
            <w:tcW w:w="1812" w:type="dxa"/>
            <w:gridSpan w:val="3"/>
            <w:vAlign w:val="center"/>
          </w:tcPr>
          <w:p w14:paraId="22B66824">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性别</w:t>
            </w:r>
          </w:p>
        </w:tc>
        <w:tc>
          <w:tcPr>
            <w:tcW w:w="1637" w:type="dxa"/>
            <w:gridSpan w:val="2"/>
            <w:vAlign w:val="center"/>
          </w:tcPr>
          <w:p w14:paraId="7377B950">
            <w:pPr>
              <w:spacing w:line="432" w:lineRule="auto"/>
              <w:jc w:val="center"/>
              <w:rPr>
                <w:rFonts w:ascii="仿宋_GB2312" w:hAnsi="仿宋_GB2312" w:eastAsia="仿宋_GB2312" w:cs="仿宋_GB2312"/>
                <w:sz w:val="24"/>
              </w:rPr>
            </w:pPr>
          </w:p>
        </w:tc>
      </w:tr>
      <w:tr w14:paraId="6159BC67">
        <w:trPr>
          <w:cantSplit/>
          <w:trHeight w:val="23" w:hRule="atLeast"/>
          <w:jc w:val="center"/>
        </w:trPr>
        <w:tc>
          <w:tcPr>
            <w:tcW w:w="1923" w:type="dxa"/>
            <w:vMerge w:val="continue"/>
            <w:vAlign w:val="center"/>
          </w:tcPr>
          <w:p w14:paraId="3F9CCC30">
            <w:pPr>
              <w:spacing w:line="432" w:lineRule="auto"/>
              <w:jc w:val="center"/>
              <w:rPr>
                <w:rFonts w:ascii="仿宋_GB2312" w:hAnsi="仿宋_GB2312" w:eastAsia="仿宋_GB2312" w:cs="仿宋_GB2312"/>
                <w:sz w:val="24"/>
              </w:rPr>
            </w:pPr>
          </w:p>
        </w:tc>
        <w:tc>
          <w:tcPr>
            <w:tcW w:w="1115" w:type="dxa"/>
            <w:vAlign w:val="center"/>
          </w:tcPr>
          <w:p w14:paraId="15C129CF">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电子邮箱</w:t>
            </w:r>
          </w:p>
        </w:tc>
        <w:tc>
          <w:tcPr>
            <w:tcW w:w="3596" w:type="dxa"/>
            <w:gridSpan w:val="2"/>
            <w:vAlign w:val="center"/>
          </w:tcPr>
          <w:p w14:paraId="462F6EF9">
            <w:pPr>
              <w:spacing w:line="432" w:lineRule="auto"/>
              <w:jc w:val="center"/>
              <w:rPr>
                <w:rFonts w:ascii="仿宋_GB2312" w:hAnsi="仿宋_GB2312" w:eastAsia="仿宋_GB2312" w:cs="仿宋_GB2312"/>
                <w:sz w:val="24"/>
              </w:rPr>
            </w:pPr>
          </w:p>
        </w:tc>
        <w:tc>
          <w:tcPr>
            <w:tcW w:w="1812" w:type="dxa"/>
            <w:gridSpan w:val="3"/>
            <w:vAlign w:val="center"/>
          </w:tcPr>
          <w:p w14:paraId="3B663CD7">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移动电话</w:t>
            </w:r>
          </w:p>
        </w:tc>
        <w:tc>
          <w:tcPr>
            <w:tcW w:w="1637" w:type="dxa"/>
            <w:gridSpan w:val="2"/>
            <w:vAlign w:val="center"/>
          </w:tcPr>
          <w:p w14:paraId="1B04D115">
            <w:pPr>
              <w:spacing w:line="432" w:lineRule="auto"/>
              <w:jc w:val="center"/>
              <w:rPr>
                <w:rFonts w:ascii="仿宋_GB2312" w:hAnsi="仿宋_GB2312" w:eastAsia="仿宋_GB2312" w:cs="仿宋_GB2312"/>
                <w:sz w:val="24"/>
              </w:rPr>
            </w:pPr>
          </w:p>
        </w:tc>
      </w:tr>
      <w:tr w14:paraId="206E5FA4">
        <w:trPr>
          <w:cantSplit/>
          <w:trHeight w:val="2440" w:hRule="atLeast"/>
          <w:jc w:val="center"/>
        </w:trPr>
        <w:tc>
          <w:tcPr>
            <w:tcW w:w="3038" w:type="dxa"/>
            <w:gridSpan w:val="2"/>
            <w:vAlign w:val="center"/>
          </w:tcPr>
          <w:p w14:paraId="4E1E36A2">
            <w:pPr>
              <w:spacing w:line="432" w:lineRule="auto"/>
              <w:jc w:val="center"/>
              <w:rPr>
                <w:rFonts w:ascii="仿宋_GB2312" w:hAnsi="仿宋_GB2312" w:eastAsia="仿宋_GB2312" w:cs="仿宋_GB2312"/>
                <w:sz w:val="24"/>
              </w:rPr>
            </w:pPr>
            <w:r>
              <w:rPr>
                <w:rFonts w:hint="eastAsia" w:ascii="仿宋_GB2312" w:hAnsi="仿宋_GB2312" w:eastAsia="仿宋_GB2312" w:cs="仿宋_GB2312"/>
                <w:sz w:val="24"/>
              </w:rPr>
              <w:t>项目摘要</w:t>
            </w:r>
          </w:p>
        </w:tc>
        <w:tc>
          <w:tcPr>
            <w:tcW w:w="7045" w:type="dxa"/>
            <w:gridSpan w:val="7"/>
            <w:vAlign w:val="center"/>
          </w:tcPr>
          <w:p w14:paraId="2A7FD734">
            <w:pPr>
              <w:jc w:val="left"/>
              <w:rPr>
                <w:rFonts w:ascii="仿宋_GB2312" w:hAnsi="仿宋_GB2312" w:eastAsia="仿宋_GB2312" w:cs="仿宋_GB2312"/>
                <w:sz w:val="24"/>
              </w:rPr>
            </w:pPr>
            <w:r>
              <w:rPr>
                <w:rFonts w:hint="eastAsia" w:ascii="仿宋_GB2312" w:hAnsi="仿宋_GB2312" w:eastAsia="仿宋_GB2312" w:cs="仿宋_GB2312"/>
                <w:sz w:val="24"/>
              </w:rPr>
              <w:t>简要概述项目的总体目标、研究内容和方法、预期成果和指标、产品和产业化、公共服务等情况。（500字以内）</w:t>
            </w:r>
          </w:p>
          <w:p w14:paraId="15DC96D4">
            <w:pPr>
              <w:spacing w:line="432" w:lineRule="auto"/>
              <w:jc w:val="center"/>
              <w:rPr>
                <w:rFonts w:ascii="仿宋_GB2312" w:hAnsi="仿宋_GB2312" w:eastAsia="仿宋_GB2312" w:cs="仿宋_GB2312"/>
                <w:sz w:val="24"/>
              </w:rPr>
            </w:pPr>
          </w:p>
          <w:p w14:paraId="67AEA4BD">
            <w:pPr>
              <w:spacing w:line="432" w:lineRule="auto"/>
              <w:jc w:val="center"/>
              <w:rPr>
                <w:rFonts w:ascii="仿宋_GB2312" w:hAnsi="仿宋_GB2312" w:eastAsia="仿宋_GB2312" w:cs="仿宋_GB2312"/>
                <w:sz w:val="24"/>
              </w:rPr>
            </w:pPr>
          </w:p>
          <w:p w14:paraId="57A8A054">
            <w:pPr>
              <w:spacing w:line="432" w:lineRule="auto"/>
              <w:jc w:val="center"/>
              <w:rPr>
                <w:rFonts w:ascii="仿宋_GB2312" w:hAnsi="仿宋_GB2312" w:eastAsia="仿宋_GB2312" w:cs="仿宋_GB2312"/>
                <w:sz w:val="24"/>
              </w:rPr>
            </w:pPr>
          </w:p>
        </w:tc>
      </w:tr>
    </w:tbl>
    <w:p w14:paraId="1504F072">
      <w:pPr>
        <w:spacing w:line="480" w:lineRule="exact"/>
        <w:jc w:val="center"/>
        <w:rPr>
          <w:bCs/>
          <w:sz w:val="28"/>
          <w:szCs w:val="28"/>
        </w:rPr>
      </w:pPr>
      <w:r>
        <w:rPr>
          <w:rFonts w:hint="eastAsia"/>
        </w:rPr>
        <w:br w:type="page"/>
      </w:r>
      <w:bookmarkEnd w:id="0"/>
    </w:p>
    <w:p w14:paraId="512A0972">
      <w:pPr>
        <w:pStyle w:val="2"/>
        <w:numPr>
          <w:ilvl w:val="0"/>
          <w:numId w:val="1"/>
        </w:numPr>
        <w:spacing w:line="560" w:lineRule="exact"/>
        <w:ind w:firstLineChars="0"/>
        <w:rPr>
          <w:rFonts w:ascii="仿宋_GB2312" w:hAnsi="仿宋_GB2312" w:eastAsia="仿宋_GB2312" w:cs="仿宋_GB2312"/>
          <w:bCs/>
          <w:sz w:val="32"/>
          <w:szCs w:val="32"/>
          <w:lang w:val="zh-CN"/>
        </w:rPr>
      </w:pPr>
      <w:r>
        <w:rPr>
          <w:rFonts w:hint="eastAsia" w:ascii="仿宋_GB2312" w:hAnsi="仿宋_GB2312" w:eastAsia="仿宋_GB2312" w:cs="仿宋_GB2312"/>
          <w:szCs w:val="32"/>
        </w:rPr>
        <w:t>趋势判断和需求分析</w:t>
      </w:r>
      <w:r>
        <w:rPr>
          <w:rFonts w:hint="eastAsia" w:ascii="仿宋_GB2312" w:hAnsi="仿宋_GB2312" w:eastAsia="仿宋_GB2312" w:cs="仿宋_GB2312"/>
          <w:szCs w:val="32"/>
          <w:highlight w:val="yellow"/>
        </w:rPr>
        <w:t>（定武）</w:t>
      </w:r>
    </w:p>
    <w:p w14:paraId="6AB425C8">
      <w:pPr>
        <w:topLinePunct/>
        <w:adjustRightInd w:val="0"/>
        <w:snapToGrid w:val="0"/>
        <w:ind w:firstLine="640" w:firstLineChars="200"/>
        <w:jc w:val="left"/>
        <w:rPr>
          <w:rFonts w:hint="eastAsia" w:ascii="仿宋_GB2312" w:hAnsi="仿宋_GB2312" w:eastAsia="仿宋_GB2312" w:cs="仿宋_GB2312"/>
          <w:bCs/>
          <w:sz w:val="32"/>
          <w:szCs w:val="32"/>
          <w:lang w:val="zh-CN"/>
        </w:rPr>
      </w:pPr>
      <w:r>
        <w:rPr>
          <w:rFonts w:hint="eastAsia" w:ascii="仿宋_GB2312" w:hAnsi="仿宋_GB2312" w:eastAsia="仿宋_GB2312" w:cs="仿宋_GB2312"/>
          <w:bCs/>
          <w:sz w:val="32"/>
          <w:szCs w:val="32"/>
          <w:lang w:val="zh-CN"/>
        </w:rPr>
        <w:t>自 2023 年 11 月 ITU-R 通过《IMT-2030 框架建议书》（M.2160）以来，“极致能效”已被与“太比特级吞吐”并列写入 6G 九大关键能力，典型目标值被锁定在 1 pJ/bit；按框架时间表，2024-2027 年期间将对所有候选空口技术同时考察能耗与带宽两个维度，这意味着任何想进入国际标准候选列表的方案，都必须证明自己既能跑得快，又足够“省电”。</w:t>
      </w:r>
    </w:p>
    <w:p w14:paraId="04ECA4F8">
      <w:pPr>
        <w:topLinePunct/>
        <w:adjustRightInd w:val="0"/>
        <w:snapToGrid w:val="0"/>
        <w:jc w:val="left"/>
        <w:rPr>
          <w:rFonts w:hint="eastAsia" w:ascii="仿宋_GB2312" w:hAnsi="仿宋_GB2312" w:eastAsia="仿宋_GB2312" w:cs="仿宋_GB2312"/>
          <w:bCs/>
          <w:sz w:val="32"/>
          <w:szCs w:val="32"/>
          <w:lang w:val="zh-CN"/>
        </w:rPr>
      </w:pPr>
      <w:r>
        <w:rPr>
          <w:rFonts w:hint="eastAsia" w:ascii="仿宋_GB2312" w:hAnsi="仿宋_GB2312" w:eastAsia="仿宋_GB2312" w:cs="仿宋_GB2312"/>
          <w:bCs/>
          <w:sz w:val="32"/>
          <w:szCs w:val="32"/>
          <w:lang w:val="zh-CN"/>
        </w:rPr>
        <w:t>受到这一指标牵引，全球研发重心迅速从“单点速率”转向“功耗-性能协同”。欧盟 6G 旗舰项目 Hexa-X II 在 2025 年 4 月发布的 D5.5 报告中，把“面向 AI 终端的片上超低功耗 SoC 与超线性射频链路”列为 6G 设备路线图的第一优先级，并进一步提出到 2027 年端到端能效较 5G 提升十倍的量化路线，这直接印证了绿色低功耗已成为下一代空口的“入场券”。</w:t>
      </w:r>
    </w:p>
    <w:p w14:paraId="6CD79492">
      <w:pPr>
        <w:topLinePunct/>
        <w:adjustRightInd w:val="0"/>
        <w:snapToGrid w:val="0"/>
        <w:ind w:firstLine="640" w:firstLineChars="200"/>
        <w:jc w:val="left"/>
        <w:rPr>
          <w:rFonts w:hint="eastAsia" w:ascii="仿宋_GB2312" w:hAnsi="仿宋_GB2312" w:eastAsia="仿宋_GB2312" w:cs="仿宋_GB2312"/>
          <w:bCs/>
          <w:sz w:val="32"/>
          <w:szCs w:val="32"/>
          <w:lang w:val="zh-CN"/>
        </w:rPr>
      </w:pPr>
      <w:r>
        <w:rPr>
          <w:rFonts w:hint="eastAsia" w:ascii="仿宋_GB2312" w:hAnsi="仿宋_GB2312" w:eastAsia="仿宋_GB2312" w:cs="仿宋_GB2312"/>
          <w:bCs/>
          <w:sz w:val="32"/>
          <w:szCs w:val="32"/>
          <w:lang w:val="zh-CN"/>
        </w:rPr>
        <w:t>然而，“超宽带”与“低功耗”在现有技术体系中天然存在张力：当射频带宽从亚 6 GHz 拓展到 6-12 GHz 连续频段时，功放非线性失真和误差矢量幅度往往同步增大 3-5 dB，为维持链路预算只能以更高发射功率“硬堆”指标；与此同时，5G 旗舰终端 4500 mAh 的电池容量若简单迁移到 6G 的两倍峰值吞吐和三倍算力复杂度，只能支撑约四小时的全天候 XR 场景，续航明显不足。此外，多芯片分立方案在人机接口总线下的互连损耗已占整机功耗 10-15%，制约了终端轻量化与形态创新。要想真正突破这一悖论，必须在“空口超线性”与“基带超低功耗”两侧同步发力，把算法、射频和算力做深度耦合。</w:t>
      </w:r>
    </w:p>
    <w:p w14:paraId="5205F18F">
      <w:pPr>
        <w:topLinePunct/>
        <w:adjustRightInd w:val="0"/>
        <w:snapToGrid w:val="0"/>
        <w:ind w:firstLine="640" w:firstLineChars="200"/>
        <w:jc w:val="left"/>
        <w:rPr>
          <w:rFonts w:hint="eastAsia" w:ascii="仿宋_GB2312" w:hAnsi="仿宋_GB2312" w:eastAsia="仿宋_GB2312" w:cs="仿宋_GB2312"/>
          <w:bCs/>
          <w:sz w:val="32"/>
          <w:szCs w:val="32"/>
          <w:lang w:val="zh-CN"/>
        </w:rPr>
      </w:pPr>
      <w:r>
        <w:rPr>
          <w:rFonts w:hint="eastAsia" w:ascii="仿宋_GB2312" w:hAnsi="仿宋_GB2312" w:eastAsia="仿宋_GB2312" w:cs="仿宋_GB2312"/>
          <w:bCs/>
          <w:sz w:val="32"/>
          <w:szCs w:val="32"/>
          <w:lang w:val="zh-CN"/>
        </w:rPr>
        <w:t>国际上已出现一批前沿探索，但也暴露出尚未解决的瓶颈。日本东京工业大学团队在 2025 年 6 月公布了 150 GHz 相控阵收发模块原型，整机功耗压低到 480 mW，却仍受 40 dB 交流调幅抑制比限制，带宽利用率没有突破理论上限。3GPP 在 Rel-18 和拟议中的 Rel-19 中虽已设立 “AI/ML for NR Air Interface” 能效专项，但研究重点仍聚焦于 &lt;10 GHz 频段的基站侧网络节能，距“端侧超宽带-低功耗合一”还有一至两代的差距。综合来看，我国在端侧超线性与极致能效一体化方面与国际先行者仍存在量产级别差距，技术窗口预计只剩两到三年。</w:t>
      </w:r>
    </w:p>
    <w:p w14:paraId="08340F20">
      <w:pPr>
        <w:topLinePunct/>
        <w:adjustRightInd w:val="0"/>
        <w:snapToGrid w:val="0"/>
        <w:ind w:firstLine="640" w:firstLineChars="200"/>
        <w:jc w:val="left"/>
        <w:rPr>
          <w:rFonts w:hint="eastAsia" w:ascii="仿宋_GB2312" w:hAnsi="仿宋_GB2312" w:eastAsia="仿宋_GB2312" w:cs="仿宋_GB2312"/>
          <w:bCs/>
          <w:sz w:val="32"/>
          <w:szCs w:val="32"/>
          <w:lang w:val="zh-CN"/>
        </w:rPr>
      </w:pPr>
      <w:r>
        <w:rPr>
          <w:rFonts w:hint="eastAsia" w:ascii="仿宋_GB2312" w:hAnsi="仿宋_GB2312" w:eastAsia="仿宋_GB2312" w:cs="仿宋_GB2312"/>
          <w:bCs/>
          <w:sz w:val="32"/>
          <w:szCs w:val="32"/>
          <w:lang w:val="zh-CN"/>
        </w:rPr>
        <w:t>需求侧的推力同样不容忽视。上海正加速布局“20 + 8”未来产业集群：超写实 XR 直播、智能网联车路协同以及工业数字孪生均要求在 20 Gbps 级速率、亚 5 ms 时延的同时，把终端功耗控制在 5-30 W 以内。市政府 2024 年发布的数字化和绿色转型行动计划提出，到 2027 年全市绿色低碳制造产值要突破 5000 亿元，其中“随身化 AI 终端”被列为核心增长点，预计年需求规模可达到 120 万台，产业链产值有望突破 180 亿元。若缺乏自主可控的低功耗超宽带空口技术，本地整机企业将不得不依赖外部高端芯片，难以在价值链高端占位。</w:t>
      </w:r>
    </w:p>
    <w:p w14:paraId="5E00BB37">
      <w:pPr>
        <w:topLinePunct/>
        <w:adjustRightInd w:val="0"/>
        <w:snapToGrid w:val="0"/>
        <w:ind w:firstLine="640" w:firstLineChars="200"/>
        <w:jc w:val="left"/>
        <w:rPr>
          <w:rFonts w:ascii="仿宋_GB2312" w:hAnsi="仿宋_GB2312" w:eastAsia="仿宋_GB2312" w:cs="仿宋_GB2312"/>
          <w:bCs/>
          <w:sz w:val="32"/>
          <w:szCs w:val="32"/>
          <w:lang w:val="zh-CN"/>
        </w:rPr>
      </w:pPr>
      <w:r>
        <w:rPr>
          <w:rFonts w:hint="eastAsia" w:ascii="仿宋_GB2312" w:hAnsi="仿宋_GB2312" w:eastAsia="仿宋_GB2312" w:cs="仿宋_GB2312"/>
          <w:bCs/>
          <w:sz w:val="32"/>
          <w:szCs w:val="32"/>
          <w:lang w:val="zh-CN"/>
        </w:rPr>
        <w:t>综合政策、技术与产业三重视角，当下正处于“规则确定、原型冲刺、场景落地”三条时间线叠加的临界点。2026 年 ITU-R 即将启动 IMT-2030 RIT 正式征集；国际实验室预计 2027 年前后完成首批 6G 商用芯片流片；上海产业端也在同一时期迎来规模化示范窗口。此时启动“低功耗超宽带超线性空口 AI 终端关键技术”研究，不仅能够为我国在 IMT-2030 规则谈判中提供可量化的端侧方案，更能在本地形成射频-算法-芯片-整机的完整绿色产业链条，抢占千亿级新兴市场先机。项目拟通过 D-band 超线性 Doherty 功放与片上 NPU 驯化前端的深度耦合，实现整机能效 ≤ 2.5 pJ/bit、6-12 GHz 连续带宽与多子带聚合的综合目标，从而补齐我国在“端侧能效—带宽协同”领域的短板，为上海打造 6G 研发高地和绿色终端产业集群提供关键技术支撑。</w:t>
      </w:r>
    </w:p>
    <w:p w14:paraId="0A96E237">
      <w:pPr>
        <w:topLinePunct/>
        <w:adjustRightInd w:val="0"/>
        <w:snapToGrid w:val="0"/>
        <w:jc w:val="left"/>
        <w:rPr>
          <w:rFonts w:ascii="仿宋_GB2312" w:hAnsi="仿宋_GB2312" w:eastAsia="仿宋_GB2312" w:cs="仿宋_GB2312"/>
          <w:bCs/>
          <w:sz w:val="32"/>
          <w:szCs w:val="32"/>
          <w:lang w:val="zh-CN"/>
        </w:rPr>
      </w:pPr>
    </w:p>
    <w:p w14:paraId="06DA22BE">
      <w:pPr>
        <w:pStyle w:val="2"/>
        <w:numPr>
          <w:ilvl w:val="0"/>
          <w:numId w:val="1"/>
        </w:numPr>
        <w:spacing w:line="560" w:lineRule="exact"/>
        <w:ind w:firstLineChars="0"/>
        <w:rPr>
          <w:rFonts w:ascii="仿宋_GB2312" w:hAnsi="仿宋_GB2312" w:eastAsia="仿宋_GB2312" w:cs="仿宋_GB2312"/>
          <w:szCs w:val="32"/>
        </w:rPr>
      </w:pPr>
      <w:r>
        <w:rPr>
          <w:rFonts w:hint="eastAsia" w:ascii="仿宋_GB2312" w:hAnsi="仿宋_GB2312" w:eastAsia="仿宋_GB2312" w:cs="仿宋_GB2312"/>
          <w:szCs w:val="32"/>
        </w:rPr>
        <w:t>项目目标和研究计划</w:t>
      </w:r>
    </w:p>
    <w:p w14:paraId="6DB4B8E4">
      <w:pPr>
        <w:pStyle w:val="3"/>
        <w:keepNext/>
        <w:keepLines/>
        <w:spacing w:beforeAutospacing="0" w:afterAutospacing="0" w:line="560" w:lineRule="exact"/>
        <w:ind w:firstLine="619" w:firstLineChars="200"/>
        <w:rPr>
          <w:rFonts w:hint="default" w:ascii="仿宋_GB2312" w:hAnsi="仿宋_GB2312" w:eastAsia="仿宋_GB2312" w:cs="仿宋_GB2312"/>
          <w:bCs w:val="0"/>
          <w:spacing w:val="-6"/>
          <w:kern w:val="2"/>
          <w:sz w:val="32"/>
          <w:szCs w:val="32"/>
        </w:rPr>
      </w:pPr>
      <w:r>
        <w:rPr>
          <w:rFonts w:ascii="仿宋_GB2312" w:hAnsi="仿宋_GB2312" w:eastAsia="仿宋_GB2312" w:cs="仿宋_GB2312"/>
          <w:bCs w:val="0"/>
          <w:spacing w:val="-6"/>
          <w:kern w:val="2"/>
          <w:sz w:val="32"/>
          <w:szCs w:val="32"/>
        </w:rPr>
        <w:t>（一）项目总体目标</w:t>
      </w:r>
    </w:p>
    <w:p w14:paraId="6F00AD0C">
      <w:pPr>
        <w:spacing w:line="560" w:lineRule="exact"/>
        <w:ind w:firstLine="646" w:firstLineChars="202"/>
        <w:jc w:val="left"/>
        <w:rPr>
          <w:rFonts w:ascii="仿宋_GB2312" w:hAnsi="仿宋_GB2312" w:eastAsia="仿宋_GB2312" w:cs="仿宋_GB2312"/>
          <w:sz w:val="32"/>
          <w:szCs w:val="32"/>
        </w:rPr>
      </w:pPr>
    </w:p>
    <w:p w14:paraId="387A271B">
      <w:pPr>
        <w:pStyle w:val="3"/>
        <w:keepNext/>
        <w:keepLines/>
        <w:spacing w:beforeAutospacing="0" w:afterAutospacing="0" w:line="560" w:lineRule="exact"/>
        <w:ind w:firstLine="619" w:firstLineChars="200"/>
        <w:rPr>
          <w:rFonts w:hint="default" w:ascii="仿宋_GB2312" w:hAnsi="仿宋_GB2312" w:eastAsia="仿宋_GB2312" w:cs="仿宋_GB2312"/>
          <w:bCs w:val="0"/>
          <w:spacing w:val="-6"/>
          <w:kern w:val="2"/>
          <w:sz w:val="32"/>
          <w:szCs w:val="32"/>
        </w:rPr>
      </w:pPr>
      <w:r>
        <w:rPr>
          <w:rFonts w:ascii="仿宋_GB2312" w:hAnsi="仿宋_GB2312" w:eastAsia="仿宋_GB2312" w:cs="仿宋_GB2312"/>
          <w:bCs w:val="0"/>
          <w:spacing w:val="-6"/>
          <w:kern w:val="2"/>
          <w:sz w:val="32"/>
          <w:szCs w:val="32"/>
        </w:rPr>
        <w:t>（二）主要研究内容</w:t>
      </w:r>
      <w:r>
        <w:rPr>
          <w:rFonts w:ascii="仿宋_GB2312" w:hAnsi="仿宋_GB2312" w:eastAsia="仿宋_GB2312" w:cs="仿宋_GB2312"/>
          <w:bCs w:val="0"/>
          <w:spacing w:val="-6"/>
          <w:kern w:val="2"/>
          <w:sz w:val="32"/>
          <w:szCs w:val="32"/>
          <w:highlight w:val="yellow"/>
        </w:rPr>
        <w:t>（伯涛）</w:t>
      </w:r>
    </w:p>
    <w:p w14:paraId="53E8DC9B">
      <w:pPr>
        <w:spacing w:line="560" w:lineRule="exact"/>
        <w:ind w:firstLine="622" w:firstLineChars="202"/>
        <w:jc w:val="left"/>
        <w:rPr>
          <w:rFonts w:ascii="仿宋_GB2312" w:hAnsi="仿宋_GB2312" w:eastAsia="仿宋_GB2312" w:cs="仿宋_GB2312"/>
          <w:spacing w:val="-6"/>
          <w:sz w:val="32"/>
          <w:szCs w:val="32"/>
        </w:rPr>
      </w:pPr>
      <w:r>
        <w:rPr>
          <w:rFonts w:hint="eastAsia" w:ascii="仿宋_GB2312" w:hAnsi="仿宋_GB2312" w:eastAsia="仿宋_GB2312" w:cs="仿宋_GB2312"/>
          <w:spacing w:val="-6"/>
          <w:sz w:val="32"/>
          <w:szCs w:val="32"/>
        </w:rPr>
        <w:t>（概述项目的具体技术产品攻关任务，需突破的技术短板、创新点，解决的关键技术难题等。）</w:t>
      </w:r>
    </w:p>
    <w:p w14:paraId="3BAF21FF">
      <w:pPr>
        <w:numPr>
          <w:ilvl w:val="0"/>
          <w:numId w:val="2"/>
        </w:numPr>
        <w:spacing w:line="560" w:lineRule="exact"/>
        <w:jc w:val="left"/>
        <w:rPr>
          <w:rFonts w:ascii="Times New Roman" w:hAnsi="Times New Roman" w:eastAsia="仿宋_GB2312" w:cs="Times New Roman"/>
          <w:spacing w:val="-6"/>
          <w:sz w:val="32"/>
          <w:szCs w:val="20"/>
          <w14:ligatures w14:val="standardContextual"/>
        </w:rPr>
      </w:pPr>
      <w:r>
        <w:rPr>
          <w:rFonts w:hint="eastAsia" w:ascii="Times New Roman" w:hAnsi="Times New Roman" w:eastAsia="仿宋_GB2312" w:cs="Times New Roman"/>
          <w:spacing w:val="-6"/>
          <w:sz w:val="32"/>
          <w:szCs w:val="20"/>
          <w14:ligatures w14:val="standardContextual"/>
        </w:rPr>
        <w:t>具体技术产品攻关任务</w:t>
      </w:r>
    </w:p>
    <w:p w14:paraId="48B7FAAB">
      <w:pPr>
        <w:spacing w:line="560" w:lineRule="exact"/>
        <w:jc w:val="left"/>
        <w:rPr>
          <w:rFonts w:ascii="仿宋" w:hAnsi="仿宋" w:eastAsia="仿宋" w:cs="Times New Roman"/>
          <w:b/>
          <w:spacing w:val="-6"/>
          <w:sz w:val="28"/>
          <w:szCs w:val="20"/>
          <w14:ligatures w14:val="standardContextual"/>
        </w:rPr>
      </w:pPr>
      <w:r>
        <w:rPr>
          <w:rFonts w:hint="eastAsia" w:ascii="仿宋" w:hAnsi="仿宋" w:eastAsia="仿宋" w:cs="Times New Roman"/>
          <w:b/>
          <w:spacing w:val="-6"/>
          <w:sz w:val="28"/>
          <w:szCs w:val="20"/>
          <w14:ligatures w14:val="standardContextual"/>
        </w:rPr>
        <w:t>（1）面向6</w:t>
      </w:r>
      <w:r>
        <w:rPr>
          <w:rFonts w:ascii="仿宋" w:hAnsi="仿宋" w:eastAsia="仿宋" w:cs="Times New Roman"/>
          <w:b/>
          <w:spacing w:val="-6"/>
          <w:sz w:val="28"/>
          <w:szCs w:val="20"/>
          <w14:ligatures w14:val="standardContextual"/>
        </w:rPr>
        <w:t>G</w:t>
      </w:r>
      <w:r>
        <w:rPr>
          <w:rFonts w:hint="eastAsia" w:ascii="仿宋" w:hAnsi="仿宋" w:eastAsia="仿宋" w:cs="Times New Roman"/>
          <w:b/>
          <w:spacing w:val="-6"/>
          <w:sz w:val="28"/>
          <w:szCs w:val="20"/>
          <w14:ligatures w14:val="standardContextual"/>
        </w:rPr>
        <w:t>多频段高速率通信的超宽带超线性基带信号处理技术</w:t>
      </w:r>
    </w:p>
    <w:p w14:paraId="3F440ED7">
      <w:pPr>
        <w:spacing w:line="560" w:lineRule="exact"/>
        <w:ind w:firstLine="541" w:firstLineChars="202"/>
        <w:rPr>
          <w:rFonts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6</w:t>
      </w:r>
      <w:r>
        <w:rPr>
          <w:rFonts w:ascii="Times New Roman" w:hAnsi="Times New Roman" w:eastAsia="仿宋_GB2312" w:cs="Times New Roman"/>
          <w:spacing w:val="-6"/>
          <w:sz w:val="28"/>
          <w:szCs w:val="20"/>
          <w14:ligatures w14:val="standardContextual"/>
        </w:rPr>
        <w:t>G</w:t>
      </w:r>
      <w:r>
        <w:rPr>
          <w:rFonts w:hint="eastAsia" w:ascii="Times New Roman" w:hAnsi="Times New Roman" w:eastAsia="仿宋_GB2312" w:cs="Times New Roman"/>
          <w:spacing w:val="-6"/>
          <w:sz w:val="28"/>
          <w:szCs w:val="20"/>
          <w14:ligatures w14:val="standardContextual"/>
        </w:rPr>
        <w:t>更多频段的使用，尤其是毫米波甚至是太赫兹，路损严重，使得功率受限的消费级终端（尤其是手机）的上行传输成为瓶颈。传输信号的高峰均值比（PAPR）以及发射机的非线性均会迫使传输功率回退，严重影响卫星终端的上行功率效率。因此，降低上行传输信号的PAPR，同时增大卫星终端发射机的线性工作区间，可以提升6</w:t>
      </w:r>
      <w:r>
        <w:rPr>
          <w:rFonts w:ascii="Times New Roman" w:hAnsi="Times New Roman" w:eastAsia="仿宋_GB2312" w:cs="Times New Roman"/>
          <w:spacing w:val="-6"/>
          <w:sz w:val="28"/>
          <w:szCs w:val="20"/>
          <w14:ligatures w14:val="standardContextual"/>
        </w:rPr>
        <w:t>G</w:t>
      </w:r>
      <w:r>
        <w:rPr>
          <w:rFonts w:hint="eastAsia" w:ascii="Times New Roman" w:hAnsi="Times New Roman" w:eastAsia="仿宋_GB2312" w:cs="Times New Roman"/>
          <w:spacing w:val="-6"/>
          <w:sz w:val="28"/>
          <w:szCs w:val="20"/>
          <w14:ligatures w14:val="standardContextual"/>
        </w:rPr>
        <w:t>终端的功率效率和6</w:t>
      </w:r>
      <w:r>
        <w:rPr>
          <w:rFonts w:ascii="Times New Roman" w:hAnsi="Times New Roman" w:eastAsia="仿宋_GB2312" w:cs="Times New Roman"/>
          <w:spacing w:val="-6"/>
          <w:sz w:val="28"/>
          <w:szCs w:val="20"/>
          <w14:ligatures w14:val="standardContextual"/>
        </w:rPr>
        <w:t>G</w:t>
      </w:r>
      <w:r>
        <w:rPr>
          <w:rFonts w:hint="eastAsia" w:ascii="Times New Roman" w:hAnsi="Times New Roman" w:eastAsia="仿宋_GB2312" w:cs="Times New Roman"/>
          <w:spacing w:val="-6"/>
          <w:sz w:val="28"/>
          <w:szCs w:val="20"/>
          <w14:ligatures w14:val="standardContextual"/>
        </w:rPr>
        <w:t>通信的可靠性，既是为高速率6</w:t>
      </w:r>
      <w:r>
        <w:rPr>
          <w:rFonts w:ascii="Times New Roman" w:hAnsi="Times New Roman" w:eastAsia="仿宋_GB2312" w:cs="Times New Roman"/>
          <w:spacing w:val="-6"/>
          <w:sz w:val="28"/>
          <w:szCs w:val="20"/>
          <w14:ligatures w14:val="standardContextual"/>
        </w:rPr>
        <w:t>G</w:t>
      </w:r>
      <w:r>
        <w:rPr>
          <w:rFonts w:hint="eastAsia" w:ascii="Times New Roman" w:hAnsi="Times New Roman" w:eastAsia="仿宋_GB2312" w:cs="Times New Roman"/>
          <w:spacing w:val="-6"/>
          <w:sz w:val="28"/>
          <w:szCs w:val="20"/>
          <w14:ligatures w14:val="standardContextual"/>
        </w:rPr>
        <w:t>网络提供保障，也是在降低每比特传输的成本。</w:t>
      </w:r>
    </w:p>
    <w:p w14:paraId="094B3009">
      <w:pPr>
        <w:spacing w:line="560" w:lineRule="exact"/>
        <w:ind w:firstLine="541" w:firstLineChars="202"/>
        <w:rPr>
          <w:rFonts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重点突破6</w:t>
      </w:r>
      <w:r>
        <w:rPr>
          <w:rFonts w:ascii="Times New Roman" w:hAnsi="Times New Roman" w:eastAsia="仿宋_GB2312" w:cs="Times New Roman"/>
          <w:spacing w:val="-6"/>
          <w:sz w:val="28"/>
          <w:szCs w:val="20"/>
          <w14:ligatures w14:val="standardContextual"/>
        </w:rPr>
        <w:t>G</w:t>
      </w:r>
      <w:r>
        <w:rPr>
          <w:rFonts w:hint="eastAsia" w:ascii="Times New Roman" w:hAnsi="Times New Roman" w:eastAsia="仿宋_GB2312" w:cs="Times New Roman"/>
          <w:spacing w:val="-6"/>
          <w:sz w:val="28"/>
          <w:szCs w:val="20"/>
          <w14:ligatures w14:val="standardContextual"/>
        </w:rPr>
        <w:t>通信终端的高功效高可靠传输机制，研究非线性信号处理，包括PAPR抑制技术和预失真技术，以及两者的联合优化，解决下一代移动通信关键场景之一——空口A</w:t>
      </w:r>
      <w:r>
        <w:rPr>
          <w:rFonts w:ascii="Times New Roman" w:hAnsi="Times New Roman" w:eastAsia="仿宋_GB2312" w:cs="Times New Roman"/>
          <w:spacing w:val="-6"/>
          <w:sz w:val="28"/>
          <w:szCs w:val="20"/>
          <w14:ligatures w14:val="standardContextual"/>
        </w:rPr>
        <w:t>I</w:t>
      </w:r>
      <w:r>
        <w:rPr>
          <w:rFonts w:hint="eastAsia" w:ascii="Times New Roman" w:hAnsi="Times New Roman" w:eastAsia="仿宋_GB2312" w:cs="Times New Roman"/>
          <w:spacing w:val="-6"/>
          <w:sz w:val="28"/>
          <w:szCs w:val="20"/>
          <w14:ligatures w14:val="standardContextual"/>
        </w:rPr>
        <w:t>全生命周期管理，将为未来6</w:t>
      </w:r>
      <w:r>
        <w:rPr>
          <w:rFonts w:ascii="Times New Roman" w:hAnsi="Times New Roman" w:eastAsia="仿宋_GB2312" w:cs="Times New Roman"/>
          <w:spacing w:val="-6"/>
          <w:sz w:val="28"/>
          <w:szCs w:val="20"/>
          <w14:ligatures w14:val="standardContextual"/>
        </w:rPr>
        <w:t>G</w:t>
      </w:r>
      <w:r>
        <w:rPr>
          <w:rFonts w:hint="eastAsia" w:ascii="Times New Roman" w:hAnsi="Times New Roman" w:eastAsia="仿宋_GB2312" w:cs="Times New Roman"/>
          <w:spacing w:val="-6"/>
          <w:sz w:val="28"/>
          <w:szCs w:val="20"/>
          <w14:ligatures w14:val="standardContextual"/>
        </w:rPr>
        <w:t>信息网络的建设提供支撑。</w:t>
      </w:r>
    </w:p>
    <w:p w14:paraId="2146611C">
      <w:pPr>
        <w:spacing w:line="560" w:lineRule="exact"/>
        <w:ind w:firstLine="541" w:firstLineChars="202"/>
        <w:jc w:val="left"/>
        <w:rPr>
          <w:rFonts w:ascii="Times New Roman" w:hAnsi="Times New Roman" w:eastAsia="仿宋_GB2312" w:cs="Times New Roman"/>
          <w:spacing w:val="-6"/>
          <w:sz w:val="28"/>
          <w:szCs w:val="20"/>
          <w14:ligatures w14:val="standardContextual"/>
        </w:rPr>
      </w:pPr>
    </w:p>
    <w:p w14:paraId="7A4A4327">
      <w:pPr>
        <w:spacing w:line="560" w:lineRule="exact"/>
        <w:jc w:val="left"/>
        <w:rPr>
          <w:rFonts w:ascii="Times New Roman" w:hAnsi="Times New Roman" w:eastAsia="仿宋_GB2312" w:cs="Times New Roman"/>
          <w:spacing w:val="-6"/>
          <w:sz w:val="28"/>
          <w:szCs w:val="28"/>
          <w14:ligatures w14:val="standardContextual"/>
        </w:rPr>
      </w:pPr>
      <w:r>
        <w:rPr>
          <w:rFonts w:hint="eastAsia" w:ascii="仿宋" w:hAnsi="仿宋" w:eastAsia="仿宋" w:cs="Times New Roman"/>
          <w:b/>
          <w:spacing w:val="-6"/>
          <w:sz w:val="28"/>
          <w:szCs w:val="20"/>
          <w14:ligatures w14:val="standardContextual"/>
        </w:rPr>
        <w:t>（2）轻量化空口A</w:t>
      </w:r>
      <w:r>
        <w:rPr>
          <w:rFonts w:ascii="仿宋" w:hAnsi="仿宋" w:eastAsia="仿宋" w:cs="Times New Roman"/>
          <w:b/>
          <w:spacing w:val="-6"/>
          <w:sz w:val="28"/>
          <w:szCs w:val="20"/>
          <w14:ligatures w14:val="standardContextual"/>
        </w:rPr>
        <w:t>I</w:t>
      </w:r>
      <w:r>
        <w:rPr>
          <w:rFonts w:hint="eastAsia" w:ascii="仿宋" w:hAnsi="仿宋" w:eastAsia="仿宋" w:cs="Times New Roman"/>
          <w:b/>
          <w:spacing w:val="-6"/>
          <w:sz w:val="28"/>
          <w:szCs w:val="20"/>
          <w14:ligatures w14:val="standardContextual"/>
        </w:rPr>
        <w:t>软硬件协同处理方法（</w:t>
      </w:r>
      <w:r>
        <w:rPr>
          <w:rFonts w:hint="eastAsia" w:ascii="仿宋" w:hAnsi="仿宋" w:eastAsia="仿宋" w:cs="Times New Roman"/>
          <w:b/>
          <w:spacing w:val="-6"/>
          <w:sz w:val="28"/>
          <w:szCs w:val="20"/>
          <w:highlight w:val="yellow"/>
          <w14:ligatures w14:val="standardContextual"/>
        </w:rPr>
        <w:t>伯涛重点写</w:t>
      </w:r>
      <w:r>
        <w:rPr>
          <w:rFonts w:hint="eastAsia" w:ascii="仿宋" w:hAnsi="仿宋" w:eastAsia="仿宋" w:cs="Times New Roman"/>
          <w:b/>
          <w:spacing w:val="-6"/>
          <w:sz w:val="28"/>
          <w:szCs w:val="20"/>
          <w14:ligatures w14:val="standardContextual"/>
        </w:rPr>
        <w:t>）</w:t>
      </w:r>
    </w:p>
    <w:p w14:paraId="73348DDF">
      <w:pPr>
        <w:spacing w:line="560" w:lineRule="exact"/>
        <w:ind w:firstLine="541" w:firstLineChars="202"/>
        <w:rPr>
          <w:rFonts w:hint="eastAsia" w:ascii="Times New Roman" w:hAnsi="Times New Roman" w:eastAsia="仿宋_GB2312" w:cs="Times New Roman"/>
          <w:spacing w:val="-6"/>
          <w:sz w:val="28"/>
          <w:szCs w:val="28"/>
          <w14:ligatures w14:val="standardContextual"/>
        </w:rPr>
      </w:pPr>
      <w:r>
        <w:rPr>
          <w:rFonts w:hint="eastAsia" w:ascii="Times New Roman" w:hAnsi="Times New Roman" w:eastAsia="仿宋_GB2312" w:cs="Times New Roman"/>
          <w:spacing w:val="-6"/>
          <w:sz w:val="28"/>
          <w:szCs w:val="28"/>
          <w14:ligatures w14:val="standardContextual"/>
        </w:rPr>
        <w:t>当前，人工智能已经融入现代社会的方方面面，成为人类生活中最重要的应用之一。然而，随着人工智能模型的快速发展，模型规模的增长速度远超加速硬件的发展速度。为了缓解人工智能算法与计算机硬件间存在的发展差异所带来的鸿沟，众多研究人员提出了面向人工智能的轻量化方案，以有效降低神经网络模型的参数量和计算量，加速人工智能应用的运行效率、降低能耗和部署成本，进而推动人工智能产业的绿色可持续发展。因此人工智能轻量化优化方案被寄予厚望并成为学术界和工业界关注的焦点。</w:t>
      </w:r>
    </w:p>
    <w:p w14:paraId="1355CF6A">
      <w:pPr>
        <w:spacing w:line="560" w:lineRule="exact"/>
        <w:ind w:firstLine="541" w:firstLineChars="202"/>
        <w:rPr>
          <w:rFonts w:hint="eastAsia" w:ascii="Times New Roman" w:hAnsi="Times New Roman" w:eastAsia="仿宋_GB2312" w:cs="Times New Roman"/>
          <w:spacing w:val="-6"/>
          <w:sz w:val="28"/>
          <w:szCs w:val="28"/>
          <w14:ligatures w14:val="standardContextual"/>
        </w:rPr>
      </w:pPr>
      <w:r>
        <w:rPr>
          <w:rFonts w:hint="eastAsia" w:ascii="Times New Roman" w:hAnsi="Times New Roman" w:eastAsia="仿宋_GB2312" w:cs="Times New Roman"/>
          <w:spacing w:val="-6"/>
          <w:sz w:val="28"/>
          <w:szCs w:val="28"/>
          <w14:ligatures w14:val="standardContextual"/>
        </w:rPr>
        <w:t>人工智能轻量化的主要技术包括稀疏剪枝、模型量化等。本文从稀疏剪枝和模型量化两个方面入手，通过软硬件协同处理方法设计新型加速系统和架构，推进人工智能的轻量化的进一步发展。同时，本文观察到轻量化人工智能对于敏捷部署的需求，在此基础上，本文提出了新型的量化框架，使其可以在保护隐私的前提下实现高效部署。</w:t>
      </w:r>
    </w:p>
    <w:p w14:paraId="3346AB11">
      <w:pPr>
        <w:spacing w:line="560" w:lineRule="exact"/>
        <w:ind w:firstLine="541" w:firstLineChars="202"/>
        <w:rPr>
          <w:rFonts w:hint="eastAsia" w:ascii="Times New Roman" w:hAnsi="Times New Roman" w:eastAsia="仿宋_GB2312" w:cs="Times New Roman"/>
          <w:spacing w:val="-6"/>
          <w:sz w:val="28"/>
          <w:szCs w:val="28"/>
          <w14:ligatures w14:val="standardContextual"/>
        </w:rPr>
      </w:pPr>
      <w:r>
        <w:rPr>
          <w:rFonts w:hint="eastAsia" w:ascii="Times New Roman" w:hAnsi="Times New Roman" w:eastAsia="仿宋_GB2312" w:cs="Times New Roman"/>
          <w:spacing w:val="-6"/>
          <w:sz w:val="28"/>
          <w:szCs w:val="28"/>
          <w14:ligatures w14:val="standardContextual"/>
        </w:rPr>
        <w:t>我们提出一种适配通信场景的稀疏剪枝策略，针对空口数据具有低维冗余、信道动态变化等特性，结合特征图的频谱能量分布与信道状态信息（CSI）自适应调整剪枝比率，保留关键信息通道，去除冗余权重。在模型训练阶段，引入L0正则化与门控机制，以获得可解释的稀疏结构，并确保剪枝过程可控、可调。</w:t>
      </w:r>
    </w:p>
    <w:p w14:paraId="0E3745CA">
      <w:pPr>
        <w:spacing w:line="560" w:lineRule="exact"/>
        <w:ind w:firstLine="541" w:firstLineChars="202"/>
        <w:rPr>
          <w:rFonts w:hint="eastAsia" w:ascii="Times New Roman" w:hAnsi="Times New Roman" w:eastAsia="仿宋_GB2312" w:cs="Times New Roman"/>
          <w:spacing w:val="-6"/>
          <w:sz w:val="28"/>
          <w:szCs w:val="28"/>
          <w14:ligatures w14:val="standardContextual"/>
        </w:rPr>
      </w:pPr>
      <w:r>
        <w:rPr>
          <w:rFonts w:hint="eastAsia" w:ascii="Times New Roman" w:hAnsi="Times New Roman" w:eastAsia="仿宋_GB2312" w:cs="Times New Roman"/>
          <w:spacing w:val="-6"/>
          <w:sz w:val="28"/>
          <w:szCs w:val="28"/>
          <w14:ligatures w14:val="standardContextual"/>
        </w:rPr>
        <w:t>本研究还关注剪枝后的动态自适应机制：在实际部署过程中，根据通信环境变化（如SNR波动、多径变化等），通过引入轻量重训练模块或边缘协同更新机制，对模型稀疏结构进行局部调整与微调，确保模型鲁棒性与实时性。该机制特别适用于在移动边缘节点、低功耗通信芯片等环境下，动态执行任务的AI模型。</w:t>
      </w:r>
    </w:p>
    <w:p w14:paraId="4F4D05CB">
      <w:pPr>
        <w:spacing w:line="560" w:lineRule="exact"/>
        <w:ind w:firstLine="541" w:firstLineChars="202"/>
        <w:rPr>
          <w:rFonts w:hint="eastAsia" w:ascii="Times New Roman" w:hAnsi="Times New Roman" w:eastAsia="仿宋_GB2312" w:cs="Times New Roman"/>
          <w:spacing w:val="-6"/>
          <w:sz w:val="28"/>
          <w:szCs w:val="28"/>
          <w14:ligatures w14:val="standardContextual"/>
        </w:rPr>
      </w:pPr>
      <w:r>
        <w:rPr>
          <w:rFonts w:hint="eastAsia" w:ascii="Times New Roman" w:hAnsi="Times New Roman" w:eastAsia="仿宋_GB2312" w:cs="Times New Roman"/>
          <w:spacing w:val="-6"/>
          <w:sz w:val="28"/>
          <w:szCs w:val="28"/>
          <w14:ligatures w14:val="standardContextual"/>
        </w:rPr>
        <w:t>空口AI轻量化需要考虑空间与时间两个维度的上下文信息，在经典轻量化技术中，传统的模型量化和粗纹化技术如纳入均值量化、低位度分布量量化、二值/多值化量化等技术，有效降低网络的实际运算处理量，但在空口场景中就出现了对应性不足、与时间系列关联应对性差等问题。因此，本项目在简化经典量化方案的基础上，推出基于Transformer可信场景下的时空共量化方案，通过维度分类分解空间与时间特征，分别进行量化缩减，并重构并行化运算组织，构造合理的超广带缓衝区。</w:t>
      </w:r>
    </w:p>
    <w:p w14:paraId="004E6D70">
      <w:pPr>
        <w:spacing w:line="560" w:lineRule="exact"/>
        <w:ind w:firstLine="541" w:firstLineChars="202"/>
        <w:rPr>
          <w:rFonts w:ascii="Times New Roman" w:hAnsi="Times New Roman" w:eastAsia="仿宋_GB2312" w:cs="Times New Roman"/>
          <w:spacing w:val="-6"/>
          <w:sz w:val="28"/>
          <w:szCs w:val="20"/>
          <w14:ligatures w14:val="standardContextual"/>
        </w:rPr>
      </w:pPr>
    </w:p>
    <w:p w14:paraId="4BD362B7">
      <w:pPr>
        <w:spacing w:line="560" w:lineRule="exact"/>
        <w:jc w:val="left"/>
        <w:rPr>
          <w:rFonts w:ascii="Times New Roman" w:hAnsi="Times New Roman" w:eastAsia="仿宋_GB2312" w:cs="Times New Roman"/>
          <w:spacing w:val="-6"/>
          <w:sz w:val="28"/>
          <w:szCs w:val="28"/>
          <w14:ligatures w14:val="standardContextual"/>
        </w:rPr>
      </w:pPr>
      <w:r>
        <w:rPr>
          <w:rFonts w:hint="eastAsia" w:ascii="仿宋" w:hAnsi="仿宋" w:eastAsia="仿宋" w:cs="Times New Roman"/>
          <w:b/>
          <w:spacing w:val="-6"/>
          <w:sz w:val="28"/>
          <w:szCs w:val="20"/>
          <w14:ligatures w14:val="standardContextual"/>
        </w:rPr>
        <w:t>（</w:t>
      </w:r>
      <w:r>
        <w:rPr>
          <w:rFonts w:ascii="仿宋" w:hAnsi="仿宋" w:eastAsia="仿宋" w:cs="Times New Roman"/>
          <w:b/>
          <w:spacing w:val="-6"/>
          <w:sz w:val="28"/>
          <w:szCs w:val="20"/>
          <w14:ligatures w14:val="standardContextual"/>
        </w:rPr>
        <w:t>3</w:t>
      </w:r>
      <w:r>
        <w:rPr>
          <w:rFonts w:hint="eastAsia" w:ascii="仿宋" w:hAnsi="仿宋" w:eastAsia="仿宋" w:cs="Times New Roman"/>
          <w:b/>
          <w:spacing w:val="-6"/>
          <w:sz w:val="28"/>
          <w:szCs w:val="20"/>
          <w14:ligatures w14:val="standardContextual"/>
        </w:rPr>
        <w:t>）任务自适应的端侧高能效比NPU全链路技术（</w:t>
      </w:r>
      <w:r>
        <w:rPr>
          <w:rFonts w:hint="eastAsia" w:ascii="仿宋" w:hAnsi="仿宋" w:eastAsia="仿宋" w:cs="Times New Roman"/>
          <w:b/>
          <w:spacing w:val="-6"/>
          <w:sz w:val="28"/>
          <w:szCs w:val="20"/>
          <w:highlight w:val="yellow"/>
          <w14:ligatures w14:val="standardContextual"/>
        </w:rPr>
        <w:t>伯涛起草</w:t>
      </w:r>
      <w:r>
        <w:rPr>
          <w:rFonts w:hint="eastAsia" w:ascii="仿宋" w:hAnsi="仿宋" w:eastAsia="仿宋" w:cs="Times New Roman"/>
          <w:b/>
          <w:spacing w:val="-6"/>
          <w:sz w:val="28"/>
          <w:szCs w:val="20"/>
          <w14:ligatures w14:val="standardContextual"/>
        </w:rPr>
        <w:t>）</w:t>
      </w:r>
    </w:p>
    <w:p w14:paraId="43F7540B">
      <w:pPr>
        <w:spacing w:line="560" w:lineRule="exact"/>
        <w:ind w:firstLine="541" w:firstLineChars="202"/>
        <w:rPr>
          <w:rFonts w:hint="eastAsia"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本研究内容的核心聚焦于“任务自适应”、“高能效比”以及“全链路”三个关键维度。首先，在“任务自适应”方面，传统NPU通常采用固定的硬件架构和指令集，难以灵活应对多样化、动态变化的AI应用场景。我们的研究将探索可重构计算、动态电压频率调整（DVFS）、以及基于AI的任务特征识别与匹配机制。通过硬件层面的微架构创新，如设计可灵活配置的计算单元阵列、支持动态数据流切换的内存系统，结合软件层面的任务分析与调度策略，使NPU能够根据输入任务的类型、复杂度、实时性要求等特征，自动调整其计算资源分配、工作频率和能耗模式，从而实现“量体裁衣”式的最优性能输出。</w:t>
      </w:r>
    </w:p>
    <w:p w14:paraId="13D883EE">
      <w:pPr>
        <w:spacing w:line="560" w:lineRule="exact"/>
        <w:ind w:firstLine="541" w:firstLineChars="202"/>
        <w:rPr>
          <w:rFonts w:hint="eastAsia" w:ascii="Times New Roman" w:hAnsi="Times New Roman" w:eastAsia="仿宋_GB2312" w:cs="Times New Roman"/>
          <w:spacing w:val="-6"/>
          <w:sz w:val="28"/>
          <w:szCs w:val="20"/>
          <w:lang w:eastAsia="zh-CN"/>
          <w14:ligatures w14:val="standardContextual"/>
        </w:rPr>
      </w:pPr>
      <w:r>
        <w:rPr>
          <w:rFonts w:hint="eastAsia" w:ascii="Times New Roman" w:hAnsi="Times New Roman" w:eastAsia="仿宋_GB2312" w:cs="Times New Roman"/>
          <w:spacing w:val="-6"/>
          <w:sz w:val="28"/>
          <w:szCs w:val="20"/>
          <w14:ligatures w14:val="standardContextual"/>
        </w:rPr>
        <w:t>“高能效比”是端侧AI芯片的生命线。本研究将深入挖掘硬件设计的各个环节以提升能效。在架构层面，探索异构计算范式，将NPU与CPU、ISP等其他处理单元更紧密地耦合，实现任务间的无缝协同与负载均衡，减少数据搬运开销。在电路层面，采用低功耗设计技术，如多阈值电压（Multi-VT）设计、门控时钟、电源门控等，优化存储器层次结构，引入近存计算（Near-Memory Computing）甚至存内计算（In-Memory Computing）技术，以减少数据在片上网络（NoC）和存储器之间传输带来的巨大能耗。同时，研究新型高能效计算单元，如基于脉冲神经网络（SNN）的硬件实现，探索生物启发的计算范式在特定任务上的能效优势。</w:t>
      </w:r>
    </w:p>
    <w:p w14:paraId="310E5069">
      <w:pPr>
        <w:spacing w:line="560" w:lineRule="exact"/>
        <w:ind w:firstLine="541" w:firstLineChars="202"/>
        <w:rPr>
          <w:rFonts w:hint="eastAsia"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全链路”技术则强调从算法、编译器、硬件到系统软件的端到端协同优化。仅仅优化硬件本身是不够的，需要构建一个完整的技术链条来充分发挥其潜力。本研究将开发与之配套的专用编译器与软件栈，支持主流深度学习框架（如TensorFlow Lite, PyTorch Mobile）的模型转换与优化，实现模型压缩、量化、剪枝等，降低模型复杂度。编译器需具备强大的硬件感知能力，能够自动将高层神经网络模型映射到我们设计的可重构硬件结构上，生成高效的执行指令流。此外，还将研究操作系统层面的调度策略，确保NPU与其他系统资源的高效协同，并提供完善的开发工具链，降低开发者使用门槛。</w:t>
      </w:r>
    </w:p>
    <w:p w14:paraId="56194875">
      <w:pPr>
        <w:spacing w:line="560" w:lineRule="exact"/>
        <w:ind w:firstLine="541" w:firstLineChars="202"/>
        <w:rPr>
          <w:rFonts w:hint="eastAsia"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在具体实现上，研究工作将包括：设计并验证一种新型的可重构计算核心，支持多种数据类型和计算模式；开发基于模型特征的自适应调度算法，实现硬件资源的动态分配；构建支持稀疏计算和低精度计算的片上存储系统；设计低功耗、高带宽的片上网络架构；实现一套完整的编译器前端与后端，支持自动代码生成与优化；最后，通过搭建原型芯片并进行流片验证，全面评估其在不同典型AI任务（如图像分类、目标检测、语音识别、自然语言处理等）下的性能、功耗、面积（PPA）指标，以及任务自适应能力和全链路协同效率。</w:t>
      </w:r>
    </w:p>
    <w:p w14:paraId="077EED49">
      <w:pPr>
        <w:spacing w:line="560" w:lineRule="exact"/>
        <w:ind w:firstLine="541" w:firstLineChars="202"/>
        <w:rPr>
          <w:rFonts w:ascii="Times New Roman" w:hAnsi="Times New Roman" w:eastAsia="仿宋_GB2312" w:cs="Times New Roman"/>
          <w:spacing w:val="-6"/>
          <w:sz w:val="28"/>
          <w:szCs w:val="28"/>
          <w14:ligatures w14:val="standardContextual"/>
        </w:rPr>
      </w:pPr>
      <w:r>
        <w:rPr>
          <w:rFonts w:hint="eastAsia" w:ascii="Times New Roman" w:hAnsi="Times New Roman" w:eastAsia="仿宋_GB2312" w:cs="Times New Roman"/>
          <w:spacing w:val="-6"/>
          <w:sz w:val="28"/>
          <w:szCs w:val="20"/>
          <w14:ligatures w14:val="standardContextual"/>
        </w:rPr>
        <w:t>本研究旨在通过系统性的技术创新，突破任务自适应、高能效比和全链路协同等关键技术瓶颈，最终研制出一款具有自主知识产权、性能卓越、能效领先的端侧AI芯片。该芯片不仅能够满足当前多样化AI应用的需求，更能为未来更复杂、更智能的端侧AI场景提供坚实的硬件基础，推动人工智能技术在终端设备上的深度普及与创新应用。</w:t>
      </w:r>
      <w:bookmarkStart w:id="1" w:name="_GoBack"/>
      <w:bookmarkEnd w:id="1"/>
    </w:p>
    <w:p w14:paraId="2B61C517">
      <w:pPr>
        <w:spacing w:line="560" w:lineRule="exact"/>
        <w:jc w:val="left"/>
        <w:rPr>
          <w:rFonts w:ascii="仿宋" w:hAnsi="仿宋" w:eastAsia="仿宋" w:cs="Times New Roman"/>
          <w:b/>
          <w:spacing w:val="-6"/>
          <w:sz w:val="28"/>
          <w:szCs w:val="20"/>
          <w14:ligatures w14:val="standardContextual"/>
        </w:rPr>
      </w:pPr>
      <w:r>
        <w:rPr>
          <w:rFonts w:hint="eastAsia" w:ascii="仿宋" w:hAnsi="仿宋" w:eastAsia="仿宋" w:cs="Times New Roman"/>
          <w:b/>
          <w:spacing w:val="-6"/>
          <w:sz w:val="28"/>
          <w:szCs w:val="20"/>
          <w14:ligatures w14:val="standardContextual"/>
        </w:rPr>
        <w:t>（</w:t>
      </w:r>
      <w:r>
        <w:rPr>
          <w:rFonts w:ascii="仿宋" w:hAnsi="仿宋" w:eastAsia="仿宋" w:cs="Times New Roman"/>
          <w:b/>
          <w:spacing w:val="-6"/>
          <w:sz w:val="28"/>
          <w:szCs w:val="20"/>
          <w14:ligatures w14:val="standardContextual"/>
        </w:rPr>
        <w:t>4</w:t>
      </w:r>
      <w:r>
        <w:rPr>
          <w:rFonts w:hint="eastAsia" w:ascii="仿宋" w:hAnsi="仿宋" w:eastAsia="仿宋" w:cs="Times New Roman"/>
          <w:b/>
          <w:spacing w:val="-6"/>
          <w:sz w:val="28"/>
          <w:szCs w:val="20"/>
          <w14:ligatures w14:val="standardContextual"/>
        </w:rPr>
        <w:t>）任务驱动的无线空口</w:t>
      </w:r>
      <w:r>
        <w:rPr>
          <w:rFonts w:ascii="仿宋" w:hAnsi="仿宋" w:eastAsia="仿宋" w:cs="Times New Roman"/>
          <w:b/>
          <w:spacing w:val="-6"/>
          <w:sz w:val="28"/>
          <w:szCs w:val="20"/>
          <w14:ligatures w14:val="standardContextual"/>
        </w:rPr>
        <w:t>AI</w:t>
      </w:r>
      <w:r>
        <w:rPr>
          <w:rFonts w:hint="eastAsia" w:ascii="仿宋" w:hAnsi="仿宋" w:eastAsia="仿宋" w:cs="Times New Roman"/>
          <w:b/>
          <w:spacing w:val="-6"/>
          <w:sz w:val="28"/>
          <w:szCs w:val="20"/>
          <w14:ligatures w14:val="standardContextual"/>
        </w:rPr>
        <w:t>全生命周期管理终端原理样机搭建（</w:t>
      </w:r>
      <w:r>
        <w:rPr>
          <w:rFonts w:hint="eastAsia" w:ascii="仿宋" w:hAnsi="仿宋" w:eastAsia="仿宋" w:cs="Times New Roman"/>
          <w:b/>
          <w:spacing w:val="-6"/>
          <w:sz w:val="28"/>
          <w:szCs w:val="20"/>
          <w:highlight w:val="yellow"/>
          <w14:ligatures w14:val="standardContextual"/>
        </w:rPr>
        <w:t>伯涛</w:t>
      </w:r>
      <w:r>
        <w:rPr>
          <w:rFonts w:hint="eastAsia" w:ascii="仿宋" w:hAnsi="仿宋" w:eastAsia="仿宋" w:cs="Times New Roman"/>
          <w:b/>
          <w:spacing w:val="-6"/>
          <w:sz w:val="28"/>
          <w:szCs w:val="20"/>
          <w14:ligatures w14:val="standardContextual"/>
        </w:rPr>
        <w:t>）</w:t>
      </w:r>
    </w:p>
    <w:p w14:paraId="052BEF9E">
      <w:pPr>
        <w:spacing w:line="560" w:lineRule="exact"/>
        <w:ind w:firstLine="541" w:firstLineChars="202"/>
        <w:rPr>
          <w:rFonts w:hint="eastAsia"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面向6G时代高速率通信和空口A</w:t>
      </w:r>
      <w:r>
        <w:rPr>
          <w:rFonts w:ascii="Times New Roman" w:hAnsi="Times New Roman" w:eastAsia="仿宋_GB2312" w:cs="Times New Roman"/>
          <w:spacing w:val="-6"/>
          <w:sz w:val="28"/>
          <w:szCs w:val="20"/>
          <w14:ligatures w14:val="standardContextual"/>
        </w:rPr>
        <w:t>I</w:t>
      </w:r>
      <w:r>
        <w:rPr>
          <w:rFonts w:hint="eastAsia" w:ascii="Times New Roman" w:hAnsi="Times New Roman" w:eastAsia="仿宋_GB2312" w:cs="Times New Roman"/>
          <w:spacing w:val="-6"/>
          <w:sz w:val="28"/>
          <w:szCs w:val="20"/>
          <w14:ligatures w14:val="standardContextual"/>
        </w:rPr>
        <w:t>的发展趋势，构建以智能</w:t>
      </w:r>
      <w:r>
        <w:rPr>
          <w:rFonts w:ascii="Times New Roman" w:hAnsi="Times New Roman" w:eastAsia="仿宋_GB2312" w:cs="Times New Roman"/>
          <w:spacing w:val="-6"/>
          <w:sz w:val="28"/>
          <w:szCs w:val="20"/>
          <w14:ligatures w14:val="standardContextual"/>
        </w:rPr>
        <w:t>为中心</w:t>
      </w:r>
      <w:r>
        <w:rPr>
          <w:rFonts w:hint="eastAsia" w:ascii="Times New Roman" w:hAnsi="Times New Roman" w:eastAsia="仿宋_GB2312" w:cs="Times New Roman"/>
          <w:spacing w:val="-6"/>
          <w:sz w:val="28"/>
          <w:szCs w:val="20"/>
          <w14:ligatures w14:val="standardContextual"/>
        </w:rPr>
        <w:t>、以低功耗为的空口A</w:t>
      </w:r>
      <w:r>
        <w:rPr>
          <w:rFonts w:ascii="Times New Roman" w:hAnsi="Times New Roman" w:eastAsia="仿宋_GB2312" w:cs="Times New Roman"/>
          <w:spacing w:val="-6"/>
          <w:sz w:val="28"/>
          <w:szCs w:val="20"/>
          <w14:ligatures w14:val="standardContextual"/>
        </w:rPr>
        <w:t>I原型</w:t>
      </w:r>
      <w:r>
        <w:rPr>
          <w:rFonts w:hint="eastAsia" w:ascii="Times New Roman" w:hAnsi="Times New Roman" w:eastAsia="仿宋_GB2312" w:cs="Times New Roman"/>
          <w:spacing w:val="-6"/>
          <w:sz w:val="28"/>
          <w:szCs w:val="20"/>
          <w14:ligatures w14:val="standardContextual"/>
        </w:rPr>
        <w:t>样机，结合</w:t>
      </w:r>
      <w:r>
        <w:rPr>
          <w:rFonts w:hint="eastAsia" w:ascii="Times New Roman" w:hAnsi="Times New Roman" w:eastAsia="仿宋_GB2312" w:cs="Times New Roman"/>
          <w:spacing w:val="-6"/>
          <w:sz w:val="28"/>
          <w:szCs w:val="20"/>
          <w:lang w:val="en-US" w:eastAsia="zh-CN"/>
          <w14:ligatures w14:val="standardContextual"/>
        </w:rPr>
        <w:t>AI模型轻量化和AI芯片系统设计，</w:t>
      </w:r>
      <w:r>
        <w:rPr>
          <w:rFonts w:hint="eastAsia" w:ascii="Times New Roman" w:hAnsi="Times New Roman" w:eastAsia="仿宋_GB2312" w:cs="Times New Roman"/>
          <w:spacing w:val="-6"/>
          <w:sz w:val="28"/>
          <w:szCs w:val="20"/>
          <w14:ligatures w14:val="standardContextual"/>
        </w:rPr>
        <w:t>实现就智能近计算、就地存储和数据</w:t>
      </w:r>
      <w:r>
        <w:rPr>
          <w:rFonts w:ascii="Times New Roman" w:hAnsi="Times New Roman" w:eastAsia="仿宋_GB2312" w:cs="Times New Roman"/>
          <w:spacing w:val="-6"/>
          <w:sz w:val="28"/>
          <w:szCs w:val="20"/>
          <w14:ligatures w14:val="standardContextual"/>
        </w:rPr>
        <w:t>分析</w:t>
      </w:r>
      <w:r>
        <w:rPr>
          <w:rFonts w:hint="eastAsia" w:ascii="Times New Roman" w:hAnsi="Times New Roman" w:eastAsia="仿宋_GB2312" w:cs="Times New Roman"/>
          <w:spacing w:val="-6"/>
          <w:sz w:val="28"/>
          <w:szCs w:val="20"/>
          <w14:ligatures w14:val="standardContextual"/>
        </w:rPr>
        <w:t>的</w:t>
      </w:r>
      <w:r>
        <w:rPr>
          <w:rFonts w:ascii="Times New Roman" w:hAnsi="Times New Roman" w:eastAsia="仿宋_GB2312" w:cs="Times New Roman"/>
          <w:spacing w:val="-6"/>
          <w:sz w:val="28"/>
          <w:szCs w:val="20"/>
          <w14:ligatures w14:val="standardContextual"/>
        </w:rPr>
        <w:t>演示验证。</w:t>
      </w:r>
      <w:r>
        <w:rPr>
          <w:rFonts w:hint="eastAsia" w:ascii="Times New Roman" w:hAnsi="Times New Roman" w:eastAsia="仿宋_GB2312" w:cs="Times New Roman"/>
          <w:spacing w:val="-6"/>
          <w:sz w:val="28"/>
          <w:szCs w:val="20"/>
          <w14:ligatures w14:val="standardContextual"/>
        </w:rPr>
        <w:t>空口AI作为智能无线通信系统的关键使能技术，不仅为信道建模、波束赋形、干扰检测等底层通信功能带来显著提升，还为未来低功耗、高响应、高自治的通信终端奠定了技术基础。然而，当前AI模型部署仍然面临诸多挑战，如模型体量庞大、推理时延高、训练更新困难以及终端算力受限等问题。因此，构建具备全生命周期管理能力、支持任务感知调度的无线空口AI终端样机，成为实现智能通信网络的重要方向。</w:t>
      </w:r>
    </w:p>
    <w:p w14:paraId="09DC5EAC">
      <w:pPr>
        <w:spacing w:line="560" w:lineRule="exact"/>
        <w:ind w:firstLine="541" w:firstLineChars="202"/>
        <w:rPr>
          <w:rFonts w:hint="eastAsia"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本研究以“任务驱动”为核心理念，面向动态通信环境下的多任务需求，设计并实现具有自适应模型管理与执行能力的无线空口AI终端原理样机系统。首先，从系统角度出发，提出基于任务类型与资源状态的动态模型调度机制。通信场景中的智能任务往往具有强烈的异构性，例如信道状态预测任务注重时延与实时性，而波束选择任务则更侧重精度与鲁棒性。因此，单一模型的静态部署难以兼顾所有需求。为此，本项目将开发一套任务驱动的轻量级调度策略，根据终端当前状态、任务优先级和环境变化，动态切换不同深度或结构的AI模型，实现性能、能耗与响应速度的综合优化。</w:t>
      </w:r>
    </w:p>
    <w:p w14:paraId="44E6B62C">
      <w:pPr>
        <w:spacing w:line="560" w:lineRule="exact"/>
        <w:ind w:firstLine="541" w:firstLineChars="202"/>
        <w:rPr>
          <w:rFonts w:hint="eastAsia"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针对AI模型在终端的“生命周期”管理问题，</w:t>
      </w:r>
      <w:r>
        <w:rPr>
          <w:rFonts w:hint="eastAsia" w:ascii="Times New Roman" w:hAnsi="Times New Roman" w:eastAsia="仿宋_GB2312" w:cs="Times New Roman"/>
          <w:spacing w:val="-6"/>
          <w:sz w:val="28"/>
          <w:szCs w:val="28"/>
          <w14:ligatures w14:val="standardContextual"/>
        </w:rPr>
        <w:t>项目进一步构建了剪枝-量化联合优化框架，实现剪枝后模型在浮点与低比特量化之间的性能鲁棒迁移，提升部署适应性与跨平台可迁移性。</w:t>
      </w:r>
      <w:r>
        <w:rPr>
          <w:rFonts w:hint="eastAsia" w:ascii="Times New Roman" w:hAnsi="Times New Roman" w:eastAsia="仿宋_GB2312" w:cs="Times New Roman"/>
          <w:spacing w:val="-6"/>
          <w:sz w:val="28"/>
          <w:szCs w:val="20"/>
          <w14:ligatures w14:val="standardContextual"/>
        </w:rPr>
        <w:t>项目提出一套端侧模型训练、压缩、部署、更新与回收的完整管理框架。考虑到终端资源受限和隐私保护的现实需求，系统将集成稀疏剪枝、量化感知训练（QAT）等模型压缩方法，并采用模块化设计实现模型结构的弹性扩展。</w:t>
      </w:r>
    </w:p>
    <w:p w14:paraId="5106917F">
      <w:pPr>
        <w:spacing w:line="560" w:lineRule="exact"/>
        <w:ind w:firstLine="541" w:firstLineChars="202"/>
        <w:rPr>
          <w:rFonts w:hint="eastAsia"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为了支撑上述算法体系的高效运行，本研究还将设计和实现一套软硬协同的原理样机系统。硬件方面，选择具备低功耗AI推理能力的嵌入式平台（如基于ARM架构的NPU、FPGA、定制AI芯片或RISC-V AI协处理器），作为终端样机的核心载体。在此基础上，开发可快速部署的轻量级推理引擎，适配优化后的空口AI模型。软件方面，将构建覆盖数据预处理、模型选择、推理执行、结果反馈的完整系统流程，支持与通信协议栈的深度集成，实现智能通信功能在真实场景下的原型验证。</w:t>
      </w:r>
    </w:p>
    <w:p w14:paraId="60503519">
      <w:pPr>
        <w:spacing w:line="560" w:lineRule="exact"/>
        <w:ind w:firstLine="541" w:firstLineChars="202"/>
        <w:rPr>
          <w:rFonts w:hint="eastAsia"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同时，为解决终端算力与模型复杂度之间的矛盾，本项目引入端-边协同的智能推理架构。通过任务分层、计算卸载与中间结果复用等机制，在边缘服务器与终端设备之间构建高效协同机制。具体而言，终端可完成轻量化的预判任务并将中间特征发送至边端，边侧完成复杂模型推理与策略优化，后续再将结果反馈至终端以支持实时通信任务。在此架构下，终端不仅保持了智能能力的响应性，也大幅降低了对本地计算资源的依赖，提高系统整体效率。</w:t>
      </w:r>
    </w:p>
    <w:p w14:paraId="04A8EA60">
      <w:pPr>
        <w:spacing w:line="560" w:lineRule="exact"/>
        <w:ind w:firstLine="541" w:firstLineChars="202"/>
        <w:rPr>
          <w:rFonts w:hint="eastAsia"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最终，本项目将完成具有完整功能的原理样机系统，并在真实或半真实的无线通信环境中进行验证与评估。样机将具备灵活部署、低功耗、可进化的空口智能处理能力，支持包括信道预测、干扰检测、波束管理等典型任务的端侧智能执行。测试将从多个维度（包括吞吐率提升、推理延迟降低、模型压缩率、能耗消耗、部署效率等）进行系统性能评估，为未来空口AI终端在5G-A、6G等关键场景中的应用提供技术支撑。</w:t>
      </w:r>
    </w:p>
    <w:p w14:paraId="560D3DAB">
      <w:pPr>
        <w:spacing w:line="560" w:lineRule="exact"/>
        <w:ind w:firstLine="541" w:firstLineChars="202"/>
        <w:rPr>
          <w:rFonts w:ascii="Times New Roman" w:hAnsi="Times New Roman" w:eastAsia="仿宋_GB2312" w:cs="Times New Roman"/>
          <w:spacing w:val="-6"/>
          <w:sz w:val="32"/>
          <w:szCs w:val="20"/>
          <w14:ligatures w14:val="standardContextual"/>
        </w:rPr>
      </w:pPr>
      <w:r>
        <w:rPr>
          <w:rFonts w:hint="eastAsia" w:ascii="Times New Roman" w:hAnsi="Times New Roman" w:eastAsia="仿宋_GB2312" w:cs="Times New Roman"/>
          <w:spacing w:val="-6"/>
          <w:sz w:val="28"/>
          <w:szCs w:val="20"/>
          <w14:ligatures w14:val="standardContextual"/>
        </w:rPr>
        <w:t>本研究的开展将有效推动“智能通信终端”从“可用”向“可管、可调、可演化”的方向转变。在技术路径上实现从算法级轻量化优化，到系统级协同管理，再到工程化样机落地的完整闭环，填补当前空口AI研究在终端侧部署与全生命周期运维方面的关键空白。其技术成果不仅可应用于下一代通信终端产品研发，也为未来构建绿色智能的泛在通信网络打下坚实基础。</w:t>
      </w:r>
    </w:p>
    <w:p w14:paraId="291BFA7B">
      <w:pPr>
        <w:numPr>
          <w:ilvl w:val="0"/>
          <w:numId w:val="2"/>
        </w:numPr>
        <w:spacing w:line="560" w:lineRule="exact"/>
        <w:jc w:val="left"/>
        <w:rPr>
          <w:rFonts w:ascii="Times New Roman" w:hAnsi="Times New Roman" w:eastAsia="仿宋_GB2312" w:cs="Times New Roman"/>
          <w:spacing w:val="-6"/>
          <w:sz w:val="32"/>
          <w:szCs w:val="20"/>
          <w14:ligatures w14:val="standardContextual"/>
        </w:rPr>
      </w:pPr>
      <w:r>
        <w:rPr>
          <w:rFonts w:hint="eastAsia" w:ascii="Times New Roman" w:hAnsi="Times New Roman" w:eastAsia="仿宋_GB2312" w:cs="Times New Roman"/>
          <w:spacing w:val="-6"/>
          <w:sz w:val="32"/>
          <w:szCs w:val="20"/>
          <w14:ligatures w14:val="standardContextual"/>
        </w:rPr>
        <w:t>项目创新点（</w:t>
      </w:r>
      <w:r>
        <w:rPr>
          <w:rFonts w:hint="eastAsia" w:ascii="Times New Roman" w:hAnsi="Times New Roman" w:eastAsia="仿宋_GB2312" w:cs="Times New Roman"/>
          <w:spacing w:val="-6"/>
          <w:sz w:val="32"/>
          <w:szCs w:val="20"/>
          <w:highlight w:val="yellow"/>
          <w14:ligatures w14:val="standardContextual"/>
        </w:rPr>
        <w:t>伯涛</w:t>
      </w:r>
      <w:r>
        <w:rPr>
          <w:rFonts w:hint="eastAsia" w:ascii="Times New Roman" w:hAnsi="Times New Roman" w:eastAsia="仿宋_GB2312" w:cs="Times New Roman"/>
          <w:spacing w:val="-6"/>
          <w:sz w:val="32"/>
          <w:szCs w:val="20"/>
          <w14:ligatures w14:val="standardContextual"/>
        </w:rPr>
        <w:t>）</w:t>
      </w:r>
    </w:p>
    <w:p w14:paraId="0D196AFA">
      <w:pPr>
        <w:ind w:firstLine="538" w:firstLineChars="200"/>
        <w:rPr>
          <w:rFonts w:ascii="Times New Roman" w:hAnsi="Times New Roman" w:eastAsia="仿宋_GB2312" w:cs="Times New Roman"/>
          <w:spacing w:val="-6"/>
          <w:sz w:val="28"/>
          <w:szCs w:val="20"/>
          <w14:ligatures w14:val="standardContextual"/>
        </w:rPr>
      </w:pPr>
      <w:r>
        <w:rPr>
          <w:rFonts w:ascii="仿宋" w:hAnsi="仿宋" w:eastAsia="仿宋" w:cs="Times New Roman"/>
          <w:b/>
          <w:spacing w:val="-6"/>
          <w:sz w:val="28"/>
          <w:szCs w:val="28"/>
          <w14:ligatures w14:val="standardContextual"/>
        </w:rPr>
        <w:t>创新点</w:t>
      </w:r>
      <w:r>
        <w:rPr>
          <w:rFonts w:ascii="仿宋" w:hAnsi="仿宋" w:eastAsia="仿宋" w:cs="Times New Roman"/>
          <w:b/>
          <w:bCs/>
          <w:spacing w:val="-6"/>
          <w:sz w:val="28"/>
          <w:szCs w:val="28"/>
          <w14:ligatures w14:val="standardContextual"/>
        </w:rPr>
        <w:t>1</w:t>
      </w:r>
      <w:r>
        <w:rPr>
          <w:rFonts w:ascii="仿宋" w:hAnsi="仿宋" w:eastAsia="仿宋" w:cs="Times New Roman"/>
          <w:b/>
          <w:spacing w:val="-6"/>
          <w:sz w:val="28"/>
          <w:szCs w:val="28"/>
          <w14:ligatures w14:val="standardContextual"/>
        </w:rPr>
        <w:t>：理论创新</w:t>
      </w:r>
    </w:p>
    <w:p w14:paraId="23FF3AFF">
      <w:pPr>
        <w:spacing w:line="560" w:lineRule="exact"/>
        <w:ind w:firstLine="541" w:firstLineChars="202"/>
        <w:rPr>
          <w:rFonts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本项目立足于低功耗超宽带通信系统与空口AI深度融合的发展趋势，围绕超线性空口智能感知与决策机制的核心瓶颈，开展低功耗驱动下的AI智能空口机制理论创新研究，提出“算-感-控”一体化的新型超带宽空口智能交互范式。构建以能效最优为目标的超宽带空口建模体系，融合多尺度特征自适应感知、非线性空口扰动建模与任务导向的压缩表达理论，推动AI模型与空口物理链路之间的协同映射关系重构。引入信息-能量耦合约束下的学习优化理论框架，实现空口AI在极低功耗条件下的泛化建模与弹性推理能力演进，奠定支持动态环境与异构终端场景下的低功耗超宽带AI通信体系的理论基础，拓展人工智能在下一代无线通信系统中的内生演进路径。</w:t>
      </w:r>
    </w:p>
    <w:p w14:paraId="13645306">
      <w:pPr>
        <w:ind w:firstLine="538" w:firstLineChars="200"/>
        <w:rPr>
          <w:rFonts w:ascii="Times New Roman" w:hAnsi="Times New Roman" w:eastAsia="仿宋_GB2312" w:cs="Times New Roman"/>
          <w:spacing w:val="-6"/>
          <w:sz w:val="28"/>
          <w:szCs w:val="20"/>
          <w14:ligatures w14:val="standardContextual"/>
        </w:rPr>
      </w:pPr>
      <w:r>
        <w:rPr>
          <w:rFonts w:ascii="仿宋" w:hAnsi="仿宋" w:eastAsia="仿宋" w:cs="Times New Roman"/>
          <w:b/>
          <w:spacing w:val="-6"/>
          <w:sz w:val="28"/>
          <w:szCs w:val="28"/>
          <w14:ligatures w14:val="standardContextual"/>
        </w:rPr>
        <w:t>创新点</w:t>
      </w:r>
      <w:r>
        <w:rPr>
          <w:rFonts w:ascii="仿宋" w:hAnsi="仿宋" w:eastAsia="仿宋" w:cs="Times New Roman"/>
          <w:b/>
          <w:bCs/>
          <w:spacing w:val="-6"/>
          <w:sz w:val="28"/>
          <w:szCs w:val="28"/>
          <w14:ligatures w14:val="standardContextual"/>
        </w:rPr>
        <w:t>2</w:t>
      </w:r>
      <w:r>
        <w:rPr>
          <w:rFonts w:ascii="仿宋" w:hAnsi="仿宋" w:eastAsia="仿宋" w:cs="Times New Roman"/>
          <w:b/>
          <w:spacing w:val="-6"/>
          <w:sz w:val="28"/>
          <w:szCs w:val="28"/>
          <w14:ligatures w14:val="standardContextual"/>
        </w:rPr>
        <w:t>：</w:t>
      </w:r>
      <w:r>
        <w:rPr>
          <w:rFonts w:hint="eastAsia" w:ascii="仿宋" w:hAnsi="仿宋" w:eastAsia="仿宋" w:cs="Times New Roman"/>
          <w:b/>
          <w:spacing w:val="-6"/>
          <w:sz w:val="28"/>
          <w:szCs w:val="28"/>
          <w14:ligatures w14:val="standardContextual"/>
        </w:rPr>
        <w:t>技术</w:t>
      </w:r>
      <w:r>
        <w:rPr>
          <w:rFonts w:ascii="仿宋" w:hAnsi="仿宋" w:eastAsia="仿宋" w:cs="Times New Roman"/>
          <w:b/>
          <w:spacing w:val="-6"/>
          <w:sz w:val="28"/>
          <w:szCs w:val="28"/>
          <w14:ligatures w14:val="standardContextual"/>
        </w:rPr>
        <w:t>创新</w:t>
      </w:r>
    </w:p>
    <w:p w14:paraId="503D6773">
      <w:pPr>
        <w:spacing w:line="560" w:lineRule="exact"/>
        <w:ind w:firstLine="541" w:firstLineChars="202"/>
        <w:rPr>
          <w:rFonts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本项目依托低功耗超宽带通信技术在高时间分辨率、低发射功率和抗多径干扰等核心优势，探索面向空口AI任务的信号-感知-计算一体化技术路径，构建融合频谱动态感知、超线性干扰建模、自适应功耗控制等多维技术协同的空口智能处理机制。项目聚焦于稀疏表示驱动的波形智能提取、低比特建模的轻量化推理结构，以及基于信道反馈的模型参数动态裁剪技术，研制面向异构场景的可部署、可压缩的空口AI模型体系。通过在物理层引入事件驱动激活机制和上下行协同量化方案，实现链路侧与终端侧AI算力的深度耦合，显著降低边缘设备的能耗与通信时延。进一步，提出支持任务级资源编排与波形自适应匹配的调度策略，从算力、频谱、信道等多维资源的融合调配角度推动“通信即智能”技术架构的演进，形成低功耗超宽带空口AI的关键技术体系，为AI-native无线系统构建提供坚实技术支撑。</w:t>
      </w:r>
    </w:p>
    <w:p w14:paraId="2AFE4889">
      <w:pPr>
        <w:ind w:firstLine="538" w:firstLineChars="200"/>
        <w:rPr>
          <w:rFonts w:hint="eastAsia" w:ascii="Times New Roman" w:hAnsi="Times New Roman" w:eastAsia="仿宋_GB2312" w:cs="Times New Roman"/>
          <w:spacing w:val="-6"/>
          <w:sz w:val="28"/>
          <w:szCs w:val="20"/>
          <w14:ligatures w14:val="standardContextual"/>
        </w:rPr>
      </w:pPr>
      <w:r>
        <w:rPr>
          <w:rFonts w:ascii="仿宋" w:hAnsi="仿宋" w:eastAsia="仿宋" w:cs="Times New Roman"/>
          <w:b/>
          <w:spacing w:val="-6"/>
          <w:sz w:val="28"/>
          <w:szCs w:val="28"/>
          <w14:ligatures w14:val="standardContextual"/>
        </w:rPr>
        <w:t>创新点</w:t>
      </w:r>
      <w:r>
        <w:rPr>
          <w:rFonts w:ascii="仿宋" w:hAnsi="仿宋" w:eastAsia="仿宋" w:cs="Times New Roman"/>
          <w:b/>
          <w:bCs/>
          <w:spacing w:val="-6"/>
          <w:sz w:val="28"/>
          <w:szCs w:val="28"/>
          <w14:ligatures w14:val="standardContextual"/>
        </w:rPr>
        <w:t>3</w:t>
      </w:r>
      <w:r>
        <w:rPr>
          <w:rFonts w:ascii="仿宋" w:hAnsi="仿宋" w:eastAsia="仿宋" w:cs="Times New Roman"/>
          <w:b/>
          <w:spacing w:val="-6"/>
          <w:sz w:val="28"/>
          <w:szCs w:val="28"/>
          <w14:ligatures w14:val="standardContextual"/>
        </w:rPr>
        <w:t>：应用创新</w:t>
      </w:r>
    </w:p>
    <w:p w14:paraId="4EADA347">
      <w:pPr>
        <w:spacing w:line="560" w:lineRule="exact"/>
        <w:ind w:firstLine="541" w:firstLineChars="202"/>
        <w:rPr>
          <w:rFonts w:hint="eastAsia"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本项目依托牵头单位在低功耗通信系统和边缘智能终端研发方面积累的丰富工程经验与示范基础，进一步构建“低功耗超宽带超线性空口AI”原型系统，开展面向典型场景（如工业物联网、智能安防等）的实地部署与验证测试，打通从端侧AI建模、无线资源调度到空口智能推理全流程的关键链路，实现小型化、可部署、可演进的AI终端闭环运行验证环境。项目还将联动芯片设计企业、通信设备制造商，推动空口AI算法与硬件平台的深度融合与系统优化，为未来低功耗AI终端的规模化部署提供切实可行的参考范式与产品路径。在成果转化方面，牵头单位计划以本项目研究成果为基础，形成若干具有自主知识产权的核心专利与技术提案，并积极推动相关成果进入IMT-2030推进组、ITU-R、3GPP等标准组织的立项进程，提升我国在新一代AI通信融合标准体系中的话语权和影响力，为上海市打造“智能+通信”融合技术的高地贡献关键应用支撑与国际标准突破。</w:t>
      </w:r>
    </w:p>
    <w:p w14:paraId="78316916">
      <w:pPr>
        <w:ind w:firstLine="616" w:firstLineChars="200"/>
        <w:rPr>
          <w:rFonts w:ascii="Times New Roman" w:hAnsi="Times New Roman" w:eastAsia="仿宋_GB2312" w:cs="Times New Roman"/>
          <w:spacing w:val="-6"/>
          <w:sz w:val="32"/>
          <w:szCs w:val="20"/>
          <w14:ligatures w14:val="standardContextual"/>
        </w:rPr>
      </w:pPr>
    </w:p>
    <w:p w14:paraId="1A996F79">
      <w:pPr>
        <w:numPr>
          <w:ilvl w:val="0"/>
          <w:numId w:val="2"/>
        </w:numPr>
        <w:spacing w:line="560" w:lineRule="exact"/>
        <w:jc w:val="left"/>
        <w:rPr>
          <w:rFonts w:ascii="Times New Roman" w:hAnsi="Times New Roman" w:eastAsia="仿宋_GB2312" w:cs="Times New Roman"/>
          <w:spacing w:val="-6"/>
          <w:sz w:val="32"/>
          <w:szCs w:val="20"/>
          <w14:ligatures w14:val="standardContextual"/>
        </w:rPr>
      </w:pPr>
      <w:r>
        <w:rPr>
          <w:rFonts w:hint="eastAsia" w:ascii="Times New Roman" w:hAnsi="Times New Roman" w:eastAsia="仿宋_GB2312" w:cs="Times New Roman"/>
          <w:spacing w:val="-6"/>
          <w:sz w:val="32"/>
          <w:szCs w:val="20"/>
          <w14:ligatures w14:val="standardContextual"/>
        </w:rPr>
        <w:t>拟解决的关键技术难题</w:t>
      </w:r>
    </w:p>
    <w:p w14:paraId="0B563FD0">
      <w:pPr>
        <w:spacing w:line="560" w:lineRule="exact"/>
        <w:rPr>
          <w:rFonts w:ascii="Times New Roman" w:hAnsi="Times New Roman" w:eastAsia="仿宋_GB2312" w:cs="Times New Roman"/>
          <w:spacing w:val="-6"/>
          <w:sz w:val="28"/>
          <w:szCs w:val="20"/>
          <w14:ligatures w14:val="standardContextual"/>
        </w:rPr>
      </w:pPr>
      <w:r>
        <w:rPr>
          <w:rFonts w:ascii="Times New Roman" w:hAnsi="Times New Roman" w:eastAsia="仿宋_GB2312" w:cs="Times New Roman"/>
          <w:spacing w:val="-6"/>
          <w:sz w:val="28"/>
          <w:szCs w:val="20"/>
          <w14:ligatures w14:val="standardContextual"/>
        </w:rPr>
        <w:t>（</w:t>
      </w:r>
      <w:r>
        <w:rPr>
          <w:rFonts w:hint="eastAsia" w:ascii="Times New Roman" w:hAnsi="Times New Roman" w:eastAsia="仿宋_GB2312" w:cs="Times New Roman"/>
          <w:spacing w:val="-6"/>
          <w:sz w:val="28"/>
          <w:szCs w:val="20"/>
          <w14:ligatures w14:val="standardContextual"/>
        </w:rPr>
        <w:t>1</w:t>
      </w:r>
      <w:r>
        <w:rPr>
          <w:rFonts w:ascii="Times New Roman" w:hAnsi="Times New Roman" w:eastAsia="仿宋_GB2312" w:cs="Times New Roman"/>
          <w:spacing w:val="-6"/>
          <w:sz w:val="28"/>
          <w:szCs w:val="20"/>
          <w14:ligatures w14:val="standardContextual"/>
        </w:rPr>
        <w:t>）</w:t>
      </w:r>
      <w:r>
        <w:rPr>
          <w:rFonts w:hint="eastAsia" w:ascii="Times New Roman" w:hAnsi="Times New Roman" w:eastAsia="仿宋_GB2312" w:cs="Times New Roman"/>
          <w:spacing w:val="-6"/>
          <w:sz w:val="28"/>
          <w:szCs w:val="20"/>
          <w14:ligatures w14:val="standardContextual"/>
        </w:rPr>
        <w:t>多网络覆盖下多类型算力资源有效识别、标识与性能评估问题</w:t>
      </w:r>
    </w:p>
    <w:p w14:paraId="06DAD3A6">
      <w:pPr>
        <w:spacing w:line="560" w:lineRule="exact"/>
        <w:rPr>
          <w:rFonts w:ascii="Times New Roman" w:hAnsi="Times New Roman" w:eastAsia="仿宋_GB2312" w:cs="Times New Roman"/>
          <w:spacing w:val="-6"/>
          <w:sz w:val="28"/>
          <w:szCs w:val="20"/>
          <w14:ligatures w14:val="standardContextual"/>
        </w:rPr>
      </w:pPr>
      <w:r>
        <w:rPr>
          <w:rFonts w:ascii="Times New Roman" w:hAnsi="Times New Roman" w:eastAsia="仿宋_GB2312" w:cs="Times New Roman"/>
          <w:spacing w:val="-6"/>
          <w:sz w:val="28"/>
          <w:szCs w:val="20"/>
          <w14:ligatures w14:val="standardContextual"/>
        </w:rPr>
        <w:t>（</w:t>
      </w:r>
      <w:r>
        <w:rPr>
          <w:rFonts w:hint="eastAsia" w:ascii="Times New Roman" w:hAnsi="Times New Roman" w:eastAsia="仿宋_GB2312" w:cs="Times New Roman"/>
          <w:spacing w:val="-6"/>
          <w:sz w:val="28"/>
          <w:szCs w:val="20"/>
          <w14:ligatures w14:val="standardContextual"/>
        </w:rPr>
        <w:t>2</w:t>
      </w:r>
      <w:r>
        <w:rPr>
          <w:rFonts w:ascii="Times New Roman" w:hAnsi="Times New Roman" w:eastAsia="仿宋_GB2312" w:cs="Times New Roman"/>
          <w:spacing w:val="-6"/>
          <w:sz w:val="28"/>
          <w:szCs w:val="20"/>
          <w14:ligatures w14:val="standardContextual"/>
        </w:rPr>
        <w:t>）</w:t>
      </w:r>
      <w:r>
        <w:rPr>
          <w:rFonts w:hint="eastAsia" w:ascii="Times New Roman" w:hAnsi="Times New Roman" w:eastAsia="仿宋_GB2312" w:cs="Times New Roman"/>
          <w:spacing w:val="-6"/>
          <w:sz w:val="28"/>
          <w:szCs w:val="20"/>
          <w14:ligatures w14:val="standardContextual"/>
        </w:rPr>
        <w:t>异构跨系统无线网络资源协作效率提升问题</w:t>
      </w:r>
    </w:p>
    <w:p w14:paraId="13F64CEB">
      <w:pPr>
        <w:spacing w:line="560" w:lineRule="exact"/>
        <w:rPr>
          <w:rFonts w:ascii="Times New Roman" w:hAnsi="Times New Roman" w:eastAsia="仿宋_GB2312" w:cs="Times New Roman"/>
          <w:spacing w:val="-6"/>
          <w:sz w:val="28"/>
          <w:szCs w:val="20"/>
          <w14:ligatures w14:val="standardContextual"/>
        </w:rPr>
      </w:pPr>
      <w:r>
        <w:rPr>
          <w:rFonts w:ascii="Times New Roman" w:hAnsi="Times New Roman" w:eastAsia="仿宋_GB2312" w:cs="Times New Roman"/>
          <w:spacing w:val="-6"/>
          <w:sz w:val="28"/>
          <w:szCs w:val="20"/>
          <w14:ligatures w14:val="standardContextual"/>
        </w:rPr>
        <w:t>（</w:t>
      </w:r>
      <w:r>
        <w:rPr>
          <w:rFonts w:hint="eastAsia" w:ascii="Times New Roman" w:hAnsi="Times New Roman" w:eastAsia="仿宋_GB2312" w:cs="Times New Roman"/>
          <w:spacing w:val="-6"/>
          <w:sz w:val="28"/>
          <w:szCs w:val="20"/>
          <w14:ligatures w14:val="standardContextual"/>
        </w:rPr>
        <w:t>3</w:t>
      </w:r>
      <w:r>
        <w:rPr>
          <w:rFonts w:ascii="Times New Roman" w:hAnsi="Times New Roman" w:eastAsia="仿宋_GB2312" w:cs="Times New Roman"/>
          <w:spacing w:val="-6"/>
          <w:sz w:val="28"/>
          <w:szCs w:val="20"/>
          <w14:ligatures w14:val="standardContextual"/>
        </w:rPr>
        <w:t>）差异化场景下</w:t>
      </w:r>
      <w:r>
        <w:rPr>
          <w:rFonts w:hint="eastAsia" w:ascii="Times New Roman" w:hAnsi="Times New Roman" w:eastAsia="仿宋_GB2312" w:cs="Times New Roman"/>
          <w:spacing w:val="-6"/>
          <w:sz w:val="28"/>
          <w:szCs w:val="20"/>
          <w14:ligatures w14:val="standardContextual"/>
        </w:rPr>
        <w:t>智能路由优化</w:t>
      </w:r>
      <w:r>
        <w:rPr>
          <w:rFonts w:ascii="Times New Roman" w:hAnsi="Times New Roman" w:eastAsia="仿宋_GB2312" w:cs="Times New Roman"/>
          <w:spacing w:val="-6"/>
          <w:sz w:val="28"/>
          <w:szCs w:val="20"/>
          <w14:ligatures w14:val="standardContextual"/>
        </w:rPr>
        <w:t>和精准数据分发问题</w:t>
      </w:r>
    </w:p>
    <w:p w14:paraId="6AF17D07">
      <w:pPr>
        <w:spacing w:line="560" w:lineRule="exact"/>
        <w:rPr>
          <w:rFonts w:ascii="Times New Roman" w:hAnsi="Times New Roman" w:eastAsia="仿宋_GB2312" w:cs="Times New Roman"/>
          <w:spacing w:val="-6"/>
          <w:sz w:val="28"/>
          <w:szCs w:val="20"/>
          <w14:ligatures w14:val="standardContextual"/>
        </w:rPr>
      </w:pPr>
      <w:r>
        <w:rPr>
          <w:rFonts w:ascii="Times New Roman" w:hAnsi="Times New Roman" w:eastAsia="仿宋_GB2312" w:cs="Times New Roman"/>
          <w:spacing w:val="-6"/>
          <w:sz w:val="28"/>
          <w:szCs w:val="20"/>
          <w14:ligatures w14:val="standardContextual"/>
        </w:rPr>
        <w:t>（</w:t>
      </w:r>
      <w:r>
        <w:rPr>
          <w:rFonts w:hint="eastAsia" w:ascii="Times New Roman" w:hAnsi="Times New Roman" w:eastAsia="仿宋_GB2312" w:cs="Times New Roman"/>
          <w:spacing w:val="-6"/>
          <w:sz w:val="28"/>
          <w:szCs w:val="20"/>
          <w14:ligatures w14:val="standardContextual"/>
        </w:rPr>
        <w:t>4</w:t>
      </w:r>
      <w:r>
        <w:rPr>
          <w:rFonts w:ascii="Times New Roman" w:hAnsi="Times New Roman" w:eastAsia="仿宋_GB2312" w:cs="Times New Roman"/>
          <w:spacing w:val="-6"/>
          <w:sz w:val="28"/>
          <w:szCs w:val="20"/>
          <w14:ligatures w14:val="standardContextual"/>
        </w:rPr>
        <w:t>）</w:t>
      </w:r>
      <w:r>
        <w:rPr>
          <w:rFonts w:hint="eastAsia" w:ascii="Times New Roman" w:hAnsi="Times New Roman" w:eastAsia="仿宋_GB2312" w:cs="Times New Roman"/>
          <w:spacing w:val="-6"/>
          <w:sz w:val="28"/>
          <w:szCs w:val="20"/>
          <w14:ligatures w14:val="standardContextual"/>
        </w:rPr>
        <w:t>多维度无线网络资源的统一调度编排与泛在算力优化问题</w:t>
      </w:r>
    </w:p>
    <w:p w14:paraId="4D567572">
      <w:pPr>
        <w:ind w:firstLine="616" w:firstLineChars="200"/>
        <w:rPr>
          <w:rFonts w:ascii="Times New Roman" w:hAnsi="Times New Roman" w:eastAsia="仿宋_GB2312" w:cs="Times New Roman"/>
          <w:spacing w:val="-6"/>
          <w:sz w:val="32"/>
          <w:szCs w:val="20"/>
          <w14:ligatures w14:val="standardContextual"/>
        </w:rPr>
      </w:pPr>
    </w:p>
    <w:p w14:paraId="08E472A8">
      <w:pPr>
        <w:numPr>
          <w:ilvl w:val="0"/>
          <w:numId w:val="2"/>
        </w:numPr>
        <w:spacing w:line="560" w:lineRule="exact"/>
        <w:jc w:val="left"/>
        <w:rPr>
          <w:rFonts w:ascii="Times New Roman" w:hAnsi="Times New Roman" w:eastAsia="仿宋_GB2312" w:cs="Times New Roman"/>
          <w:spacing w:val="-6"/>
          <w:sz w:val="32"/>
          <w:szCs w:val="20"/>
          <w14:ligatures w14:val="standardContextual"/>
        </w:rPr>
      </w:pPr>
      <w:r>
        <w:rPr>
          <w:rFonts w:hint="eastAsia" w:ascii="Times New Roman" w:hAnsi="Times New Roman" w:eastAsia="仿宋_GB2312" w:cs="Times New Roman"/>
          <w:spacing w:val="-6"/>
          <w:sz w:val="32"/>
          <w:szCs w:val="20"/>
          <w14:ligatures w14:val="standardContextual"/>
        </w:rPr>
        <w:t>项目可行性分析（</w:t>
      </w:r>
      <w:r>
        <w:rPr>
          <w:rFonts w:hint="eastAsia" w:ascii="Times New Roman" w:hAnsi="Times New Roman" w:eastAsia="仿宋_GB2312" w:cs="Times New Roman"/>
          <w:spacing w:val="-6"/>
          <w:sz w:val="32"/>
          <w:szCs w:val="20"/>
          <w:highlight w:val="yellow"/>
          <w14:ligatures w14:val="standardContextual"/>
        </w:rPr>
        <w:t>伯涛</w:t>
      </w:r>
      <w:r>
        <w:rPr>
          <w:rFonts w:hint="eastAsia" w:ascii="Times New Roman" w:hAnsi="Times New Roman" w:eastAsia="仿宋_GB2312" w:cs="Times New Roman"/>
          <w:spacing w:val="-6"/>
          <w:sz w:val="32"/>
          <w:szCs w:val="20"/>
          <w14:ligatures w14:val="standardContextual"/>
        </w:rPr>
        <w:t>）</w:t>
      </w:r>
    </w:p>
    <w:p w14:paraId="3F0F3B26">
      <w:pPr>
        <w:spacing w:line="560" w:lineRule="exact"/>
        <w:ind w:firstLine="544" w:firstLineChars="202"/>
        <w:rPr>
          <w:rFonts w:ascii="Times New Roman" w:hAnsi="Times New Roman" w:eastAsia="仿宋_GB2312" w:cs="Times New Roman"/>
          <w:b/>
          <w:spacing w:val="-6"/>
          <w:sz w:val="28"/>
          <w:szCs w:val="20"/>
          <w14:ligatures w14:val="standardContextual"/>
        </w:rPr>
      </w:pPr>
      <w:r>
        <w:rPr>
          <w:rFonts w:ascii="Times New Roman" w:hAnsi="Times New Roman" w:eastAsia="仿宋_GB2312" w:cs="Times New Roman"/>
          <w:b/>
          <w:spacing w:val="-6"/>
          <w:sz w:val="28"/>
          <w:szCs w:val="20"/>
          <w14:ligatures w14:val="standardContextual"/>
        </w:rPr>
        <w:t>（</w:t>
      </w:r>
      <w:r>
        <w:rPr>
          <w:rFonts w:hint="eastAsia" w:ascii="Times New Roman" w:hAnsi="Times New Roman" w:eastAsia="仿宋_GB2312" w:cs="Times New Roman"/>
          <w:b/>
          <w:spacing w:val="-6"/>
          <w:sz w:val="28"/>
          <w:szCs w:val="20"/>
          <w14:ligatures w14:val="standardContextual"/>
        </w:rPr>
        <w:t>1</w:t>
      </w:r>
      <w:r>
        <w:rPr>
          <w:rFonts w:ascii="Times New Roman" w:hAnsi="Times New Roman" w:eastAsia="仿宋_GB2312" w:cs="Times New Roman"/>
          <w:b/>
          <w:spacing w:val="-6"/>
          <w:sz w:val="28"/>
          <w:szCs w:val="20"/>
          <w14:ligatures w14:val="standardContextual"/>
        </w:rPr>
        <w:t>）</w:t>
      </w:r>
      <w:r>
        <w:rPr>
          <w:rFonts w:hint="eastAsia" w:ascii="Times New Roman" w:hAnsi="Times New Roman" w:eastAsia="仿宋_GB2312" w:cs="Times New Roman"/>
          <w:b/>
          <w:spacing w:val="-6"/>
          <w:sz w:val="28"/>
          <w:szCs w:val="20"/>
          <w14:ligatures w14:val="standardContextual"/>
        </w:rPr>
        <w:t>理论研究可行性</w:t>
      </w:r>
    </w:p>
    <w:p w14:paraId="465CE969">
      <w:pPr>
        <w:spacing w:line="560" w:lineRule="exact"/>
        <w:ind w:firstLine="541" w:firstLineChars="202"/>
        <w:rPr>
          <w:rFonts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项目组团队长期从事无线通信中的资源感知、边缘计算、自组织网络协作、无线资源管理等关键技术研究，具备深厚的研究基础并具备针对性的攻坚方案。基于相关研究领域，</w:t>
      </w:r>
      <w:r>
        <w:rPr>
          <w:rFonts w:ascii="Times New Roman" w:hAnsi="Times New Roman" w:eastAsia="仿宋_GB2312" w:cs="Times New Roman"/>
          <w:spacing w:val="-6"/>
          <w:sz w:val="28"/>
          <w:szCs w:val="20"/>
          <w14:ligatures w14:val="standardContextual"/>
        </w:rPr>
        <w:t>项目组团队近五年在 IEEE Transactions on Wireless Communications、 IEEE Transactions on Communications、 IEEE Journal on Selected Areas in Communications、 IEEE Internet of Things Journal、 IEEE Wireless Communications Letters 等旗舰期刊与ICC、GLOBECOM 等旗舰国际会议发表100</w:t>
      </w:r>
      <w:r>
        <w:rPr>
          <w:rFonts w:hint="eastAsia" w:ascii="Times New Roman" w:hAnsi="Times New Roman" w:eastAsia="仿宋_GB2312" w:cs="Times New Roman"/>
          <w:spacing w:val="-6"/>
          <w:sz w:val="28"/>
          <w:szCs w:val="20"/>
          <w14:ligatures w14:val="standardContextual"/>
        </w:rPr>
        <w:t>余篇学术论文，并在ITU、IMT</w:t>
      </w:r>
      <w:r>
        <w:rPr>
          <w:rFonts w:ascii="Times New Roman" w:hAnsi="Times New Roman" w:eastAsia="仿宋_GB2312" w:cs="Times New Roman"/>
          <w:spacing w:val="-6"/>
          <w:sz w:val="28"/>
          <w:szCs w:val="20"/>
          <w14:ligatures w14:val="standardContextual"/>
        </w:rPr>
        <w:t>-2030推进组等国内外标准化组织中</w:t>
      </w:r>
      <w:r>
        <w:rPr>
          <w:rFonts w:hint="eastAsia" w:ascii="Times New Roman" w:hAnsi="Times New Roman" w:eastAsia="仿宋_GB2312" w:cs="Times New Roman"/>
          <w:spacing w:val="-6"/>
          <w:sz w:val="28"/>
          <w:szCs w:val="20"/>
          <w14:ligatures w14:val="standardContextual"/>
        </w:rPr>
        <w:t>提交1</w:t>
      </w:r>
      <w:r>
        <w:rPr>
          <w:rFonts w:ascii="Times New Roman" w:hAnsi="Times New Roman" w:eastAsia="仿宋_GB2312" w:cs="Times New Roman"/>
          <w:spacing w:val="-6"/>
          <w:sz w:val="28"/>
          <w:szCs w:val="20"/>
          <w14:ligatures w14:val="standardContextual"/>
        </w:rPr>
        <w:t>0余项</w:t>
      </w:r>
      <w:r>
        <w:rPr>
          <w:rFonts w:hint="eastAsia" w:ascii="Times New Roman" w:hAnsi="Times New Roman" w:eastAsia="仿宋_GB2312" w:cs="Times New Roman"/>
          <w:spacing w:val="-6"/>
          <w:sz w:val="28"/>
          <w:szCs w:val="20"/>
          <w14:ligatures w14:val="standardContextual"/>
        </w:rPr>
        <w:t>可标准化提案。前期的研究工作基础对本项目理论工作的可行性提供强有力支撑。</w:t>
      </w:r>
    </w:p>
    <w:p w14:paraId="75733B5B">
      <w:pPr>
        <w:spacing w:line="560" w:lineRule="exact"/>
        <w:ind w:firstLine="544" w:firstLineChars="202"/>
        <w:rPr>
          <w:rFonts w:ascii="Times New Roman" w:hAnsi="Times New Roman" w:eastAsia="仿宋_GB2312" w:cs="Times New Roman"/>
          <w:b/>
          <w:spacing w:val="-6"/>
          <w:sz w:val="28"/>
          <w:szCs w:val="20"/>
          <w14:ligatures w14:val="standardContextual"/>
        </w:rPr>
      </w:pPr>
      <w:r>
        <w:rPr>
          <w:rFonts w:ascii="Times New Roman" w:hAnsi="Times New Roman" w:eastAsia="仿宋_GB2312" w:cs="Times New Roman"/>
          <w:b/>
          <w:spacing w:val="-6"/>
          <w:sz w:val="28"/>
          <w:szCs w:val="20"/>
          <w14:ligatures w14:val="standardContextual"/>
        </w:rPr>
        <w:t>（</w:t>
      </w:r>
      <w:r>
        <w:rPr>
          <w:rFonts w:hint="eastAsia" w:ascii="Times New Roman" w:hAnsi="Times New Roman" w:eastAsia="仿宋_GB2312" w:cs="Times New Roman"/>
          <w:b/>
          <w:spacing w:val="-6"/>
          <w:sz w:val="28"/>
          <w:szCs w:val="20"/>
          <w14:ligatures w14:val="standardContextual"/>
        </w:rPr>
        <w:t>2</w:t>
      </w:r>
      <w:r>
        <w:rPr>
          <w:rFonts w:ascii="Times New Roman" w:hAnsi="Times New Roman" w:eastAsia="仿宋_GB2312" w:cs="Times New Roman"/>
          <w:b/>
          <w:spacing w:val="-6"/>
          <w:sz w:val="28"/>
          <w:szCs w:val="20"/>
          <w14:ligatures w14:val="standardContextual"/>
        </w:rPr>
        <w:t>）</w:t>
      </w:r>
      <w:r>
        <w:rPr>
          <w:rFonts w:hint="eastAsia" w:ascii="Times New Roman" w:hAnsi="Times New Roman" w:eastAsia="仿宋_GB2312" w:cs="Times New Roman"/>
          <w:b/>
          <w:spacing w:val="-6"/>
          <w:sz w:val="28"/>
          <w:szCs w:val="20"/>
          <w14:ligatures w14:val="standardContextual"/>
        </w:rPr>
        <w:t>技术路线可行性</w:t>
      </w:r>
    </w:p>
    <w:p w14:paraId="60B90692">
      <w:pPr>
        <w:spacing w:line="560" w:lineRule="exact"/>
        <w:ind w:firstLine="541" w:firstLineChars="202"/>
        <w:rPr>
          <w:rFonts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整体上项目的研究内容明确、层次分明。四大研究任务侧重的场景，由“超宽带超线性基带信号处理技术”、“轻量化空口AI软硬件协同处理方法”、到“端侧高能效比NPU全链路技术”、再到“全生命周期管理终端原理样机搭建”，逐层递进、稳步推行、逻辑严谨。一方面，本项目拟开展的整套研究流程思路清晰、逻辑合理，强调实验验证的重要性，保证了核心理论创新的正确性；与此同时，针对各项研究内容，拟采取的研究方案分解具体、步骤明确，技术路线具有较强的可执行性。</w:t>
      </w:r>
    </w:p>
    <w:p w14:paraId="353DFA43">
      <w:pPr>
        <w:spacing w:line="560" w:lineRule="exact"/>
        <w:ind w:firstLine="544" w:firstLineChars="202"/>
        <w:rPr>
          <w:rFonts w:ascii="Times New Roman" w:hAnsi="Times New Roman" w:eastAsia="仿宋_GB2312" w:cs="Times New Roman"/>
          <w:b/>
          <w:spacing w:val="-6"/>
          <w:sz w:val="28"/>
          <w:szCs w:val="20"/>
          <w14:ligatures w14:val="standardContextual"/>
        </w:rPr>
      </w:pPr>
      <w:r>
        <w:rPr>
          <w:rFonts w:ascii="Times New Roman" w:hAnsi="Times New Roman" w:eastAsia="仿宋_GB2312" w:cs="Times New Roman"/>
          <w:b/>
          <w:spacing w:val="-6"/>
          <w:sz w:val="28"/>
          <w:szCs w:val="20"/>
          <w14:ligatures w14:val="standardContextual"/>
        </w:rPr>
        <w:t>（</w:t>
      </w:r>
      <w:r>
        <w:rPr>
          <w:rFonts w:hint="eastAsia" w:ascii="Times New Roman" w:hAnsi="Times New Roman" w:eastAsia="仿宋_GB2312" w:cs="Times New Roman"/>
          <w:b/>
          <w:spacing w:val="-6"/>
          <w:sz w:val="28"/>
          <w:szCs w:val="20"/>
          <w14:ligatures w14:val="standardContextual"/>
        </w:rPr>
        <w:t>3</w:t>
      </w:r>
      <w:r>
        <w:rPr>
          <w:rFonts w:ascii="Times New Roman" w:hAnsi="Times New Roman" w:eastAsia="仿宋_GB2312" w:cs="Times New Roman"/>
          <w:b/>
          <w:spacing w:val="-6"/>
          <w:sz w:val="28"/>
          <w:szCs w:val="20"/>
          <w14:ligatures w14:val="standardContextual"/>
        </w:rPr>
        <w:t>）</w:t>
      </w:r>
      <w:r>
        <w:rPr>
          <w:rFonts w:hint="eastAsia" w:ascii="Times New Roman" w:hAnsi="Times New Roman" w:eastAsia="仿宋_GB2312" w:cs="Times New Roman"/>
          <w:b/>
          <w:spacing w:val="-6"/>
          <w:sz w:val="28"/>
          <w:szCs w:val="20"/>
          <w14:ligatures w14:val="standardContextual"/>
        </w:rPr>
        <w:t>原型平台可行性</w:t>
      </w:r>
    </w:p>
    <w:p w14:paraId="03ABA988">
      <w:pPr>
        <w:spacing w:line="560" w:lineRule="exact"/>
        <w:ind w:firstLine="541" w:firstLineChars="202"/>
        <w:rPr>
          <w:rFonts w:ascii="仿宋_GB2312" w:hAnsi="仿宋_GB2312" w:eastAsia="仿宋_GB2312" w:cs="仿宋_GB2312"/>
          <w:spacing w:val="-6"/>
          <w:sz w:val="32"/>
          <w:szCs w:val="32"/>
        </w:rPr>
      </w:pPr>
      <w:r>
        <w:rPr>
          <w:rFonts w:hint="eastAsia" w:ascii="Times New Roman" w:hAnsi="Times New Roman" w:eastAsia="仿宋_GB2312" w:cs="Times New Roman"/>
          <w:spacing w:val="-6"/>
          <w:sz w:val="28"/>
          <w:szCs w:val="20"/>
          <w14:ligatures w14:val="standardContextual"/>
        </w:rPr>
        <w:t>项目组拥有国家</w:t>
      </w:r>
      <w:r>
        <w:rPr>
          <w:rFonts w:ascii="Times New Roman" w:hAnsi="Times New Roman" w:eastAsia="仿宋_GB2312" w:cs="Times New Roman"/>
          <w:spacing w:val="-6"/>
          <w:sz w:val="28"/>
          <w:szCs w:val="20"/>
          <w14:ligatures w14:val="standardContextual"/>
        </w:rPr>
        <w:t>CNAS</w:t>
      </w:r>
      <w:r>
        <w:rPr>
          <w:rFonts w:hint="eastAsia" w:ascii="Times New Roman" w:hAnsi="Times New Roman" w:eastAsia="仿宋_GB2312" w:cs="Times New Roman"/>
          <w:spacing w:val="-6"/>
          <w:sz w:val="28"/>
          <w:szCs w:val="20"/>
          <w14:ligatures w14:val="standardContextual"/>
        </w:rPr>
        <w:t>/CMA</w:t>
      </w:r>
      <w:r>
        <w:rPr>
          <w:rFonts w:ascii="Times New Roman" w:hAnsi="Times New Roman" w:eastAsia="仿宋_GB2312" w:cs="Times New Roman"/>
          <w:spacing w:val="-6"/>
          <w:sz w:val="28"/>
          <w:szCs w:val="20"/>
          <w14:ligatures w14:val="standardContextual"/>
        </w:rPr>
        <w:t>资质实验室，在上海张江/临港多</w:t>
      </w:r>
      <w:r>
        <w:rPr>
          <w:rFonts w:hint="eastAsia" w:ascii="Times New Roman" w:hAnsi="Times New Roman" w:eastAsia="仿宋_GB2312" w:cs="Times New Roman"/>
          <w:spacing w:val="-6"/>
          <w:sz w:val="28"/>
          <w:szCs w:val="20"/>
          <w14:ligatures w14:val="standardContextual"/>
        </w:rPr>
        <w:t>地部署了试验专网以及示范验证网络。同时已打造智慧校园中央管理平台，以物联网、大数据、云计算、人工智能、移动互联，对校区的人、车、资产设施进行全维度联接，实现数据融合、状态可视，业务可管，事件可控。项目组前期曾完成基于信息为中心的</w:t>
      </w:r>
      <w:r>
        <w:rPr>
          <w:rFonts w:hint="eastAsia" w:ascii="Times New Roman" w:hAnsi="Times New Roman" w:eastAsia="仿宋_GB2312" w:cs="Times New Roman"/>
          <w:spacing w:val="-6"/>
          <w:sz w:val="28"/>
          <w:szCs w:val="28"/>
        </w:rPr>
        <w:t>SEANet规模试验与验证示范，覆盖全域感知校园、大科学装置、工业现场、智慧城市四大典型场景，顺利完成了多项新型移动通信关键技术的测试验证以及多种以信息为中心的网络设备研发。因此，项目组具备优异的软硬件平台基础和开发经验，可有力支撑本项目的原型系统与试验验证平台，</w:t>
      </w:r>
      <w:r>
        <w:rPr>
          <w:rFonts w:ascii="Times New Roman" w:hAnsi="Times New Roman" w:eastAsia="仿宋_GB2312" w:cs="Times New Roman"/>
          <w:spacing w:val="-6"/>
          <w:sz w:val="28"/>
          <w:szCs w:val="28"/>
        </w:rPr>
        <w:t>保障研发路线循序渐进、稳步可行。</w:t>
      </w:r>
    </w:p>
    <w:p w14:paraId="70B1F423">
      <w:pPr>
        <w:pStyle w:val="3"/>
        <w:keepNext/>
        <w:keepLines/>
        <w:spacing w:beforeAutospacing="0" w:afterAutospacing="0" w:line="560" w:lineRule="exact"/>
        <w:ind w:firstLine="619" w:firstLineChars="200"/>
        <w:rPr>
          <w:rFonts w:hint="default" w:ascii="仿宋_GB2312" w:hAnsi="仿宋_GB2312" w:eastAsia="仿宋_GB2312" w:cs="仿宋_GB2312"/>
          <w:bCs w:val="0"/>
          <w:spacing w:val="-6"/>
          <w:kern w:val="2"/>
          <w:sz w:val="32"/>
          <w:szCs w:val="32"/>
        </w:rPr>
      </w:pPr>
      <w:r>
        <w:rPr>
          <w:rFonts w:ascii="仿宋_GB2312" w:hAnsi="仿宋_GB2312" w:eastAsia="仿宋_GB2312" w:cs="仿宋_GB2312"/>
          <w:bCs w:val="0"/>
          <w:spacing w:val="-6"/>
          <w:kern w:val="2"/>
          <w:sz w:val="32"/>
          <w:szCs w:val="32"/>
        </w:rPr>
        <w:t>（三）项目及产品技术指标</w:t>
      </w:r>
    </w:p>
    <w:p w14:paraId="3C41342A">
      <w:pPr>
        <w:spacing w:line="560" w:lineRule="exact"/>
        <w:ind w:firstLine="622" w:firstLineChars="202"/>
        <w:jc w:val="left"/>
        <w:rPr>
          <w:rFonts w:ascii="仿宋_GB2312" w:hAnsi="仿宋_GB2312" w:eastAsia="仿宋_GB2312" w:cs="仿宋_GB2312"/>
          <w:spacing w:val="-6"/>
          <w:sz w:val="32"/>
          <w:szCs w:val="32"/>
        </w:rPr>
      </w:pPr>
      <w:r>
        <w:rPr>
          <w:rFonts w:hint="eastAsia" w:ascii="仿宋_GB2312" w:hAnsi="仿宋_GB2312" w:eastAsia="仿宋_GB2312" w:cs="仿宋_GB2312"/>
          <w:spacing w:val="-6"/>
          <w:sz w:val="32"/>
          <w:szCs w:val="32"/>
        </w:rPr>
        <w:t>（明确提出2年的预期目标及指标，按每6个月填写主要研究进度安排计划及里程碑节点目标指标。）</w:t>
      </w:r>
    </w:p>
    <w:p w14:paraId="05E7B8C4">
      <w:pPr>
        <w:spacing w:line="560" w:lineRule="exact"/>
        <w:rPr>
          <w:rFonts w:ascii="Times New Roman" w:hAnsi="Times New Roman" w:eastAsia="仿宋_GB2312" w:cs="Times New Roman"/>
          <w:spacing w:val="-6"/>
          <w:sz w:val="32"/>
          <w:szCs w:val="20"/>
          <w14:ligatures w14:val="standardContextual"/>
        </w:rPr>
      </w:pPr>
      <w:r>
        <w:rPr>
          <w:rFonts w:hint="eastAsia" w:ascii="Times New Roman" w:hAnsi="Times New Roman" w:eastAsia="仿宋_GB2312" w:cs="Times New Roman"/>
          <w:spacing w:val="-6"/>
          <w:sz w:val="32"/>
          <w:szCs w:val="20"/>
          <w14:ligatures w14:val="standardContextual"/>
        </w:rPr>
        <w:t>项目预期目标及考核指标：</w:t>
      </w:r>
    </w:p>
    <w:p w14:paraId="25A7EDAE">
      <w:pPr>
        <w:spacing w:line="560" w:lineRule="exact"/>
        <w:ind w:left="420" w:leftChars="200"/>
        <w:rPr>
          <w:rFonts w:ascii="黑体" w:hAnsi="黑体" w:eastAsia="黑体" w:cs="Times New Roman"/>
          <w:b/>
          <w:spacing w:val="-6"/>
          <w:sz w:val="28"/>
          <w:szCs w:val="20"/>
          <w14:ligatures w14:val="standardContextual"/>
        </w:rPr>
      </w:pPr>
      <w:r>
        <w:rPr>
          <w:rFonts w:hint="eastAsia" w:ascii="黑体" w:hAnsi="黑体" w:eastAsia="黑体" w:cs="Times New Roman"/>
          <w:b/>
          <w:spacing w:val="-6"/>
          <w:sz w:val="28"/>
          <w:szCs w:val="20"/>
          <w14:ligatures w14:val="standardContextual"/>
        </w:rPr>
        <w:t>1、项目整体技术指标</w:t>
      </w:r>
    </w:p>
    <w:p w14:paraId="3655E1B6">
      <w:pPr>
        <w:spacing w:line="560" w:lineRule="exact"/>
        <w:ind w:firstLine="544" w:firstLineChars="202"/>
        <w:rPr>
          <w:rFonts w:ascii="仿宋" w:hAnsi="仿宋" w:eastAsia="仿宋" w:cs="Times New Roman"/>
          <w:b/>
          <w:spacing w:val="-6"/>
          <w:sz w:val="28"/>
          <w:szCs w:val="20"/>
          <w14:ligatures w14:val="standardContextual"/>
        </w:rPr>
      </w:pPr>
      <w:r>
        <w:rPr>
          <w:rFonts w:ascii="仿宋" w:hAnsi="仿宋" w:eastAsia="仿宋" w:cs="Times New Roman"/>
          <w:b/>
          <w:spacing w:val="-6"/>
          <w:sz w:val="28"/>
          <w:szCs w:val="20"/>
          <w14:ligatures w14:val="standardContextual"/>
        </w:rPr>
        <w:t xml:space="preserve">A. </w:t>
      </w:r>
      <w:r>
        <w:rPr>
          <w:rFonts w:hint="eastAsia" w:ascii="仿宋" w:hAnsi="仿宋" w:eastAsia="仿宋" w:cs="Times New Roman"/>
          <w:b/>
          <w:spacing w:val="-6"/>
          <w:sz w:val="28"/>
          <w:szCs w:val="20"/>
          <w14:ligatures w14:val="standardContextual"/>
        </w:rPr>
        <w:t>理论</w:t>
      </w:r>
      <w:r>
        <w:rPr>
          <w:rFonts w:ascii="仿宋" w:hAnsi="仿宋" w:eastAsia="仿宋" w:cs="Times New Roman"/>
          <w:b/>
          <w:spacing w:val="-6"/>
          <w:sz w:val="28"/>
          <w:szCs w:val="20"/>
          <w14:ligatures w14:val="standardContextual"/>
        </w:rPr>
        <w:t>技术类</w:t>
      </w:r>
    </w:p>
    <w:p w14:paraId="17C0D11F">
      <w:pPr>
        <w:spacing w:line="560" w:lineRule="exact"/>
        <w:ind w:firstLine="541" w:firstLineChars="202"/>
        <w:rPr>
          <w:rFonts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1）针对信息中心网络使能的 Net4AI，开展多维度无线网络资源智能感知、分布式缓存、无线网络资源协作与泛在算力优化等关键技术研究，与</w:t>
      </w:r>
      <w:r>
        <w:rPr>
          <w:rFonts w:ascii="Times New Roman" w:hAnsi="Times New Roman" w:eastAsia="仿宋_GB2312" w:cs="Times New Roman"/>
          <w:spacing w:val="-6"/>
          <w:sz w:val="28"/>
          <w:szCs w:val="20"/>
          <w14:ligatures w14:val="standardContextual"/>
        </w:rPr>
        <w:t>5G系统相比网络边缘算力利用率提升不低于25%</w:t>
      </w:r>
      <w:r>
        <w:rPr>
          <w:rFonts w:hint="eastAsia" w:ascii="Times New Roman" w:hAnsi="Times New Roman" w:eastAsia="仿宋_GB2312" w:cs="Times New Roman"/>
          <w:spacing w:val="-6"/>
          <w:sz w:val="28"/>
          <w:szCs w:val="20"/>
          <w14:ligatures w14:val="standardContextual"/>
        </w:rPr>
        <w:t>，完成相关技术研究报告</w:t>
      </w:r>
      <w:r>
        <w:rPr>
          <w:rFonts w:ascii="Times New Roman" w:hAnsi="Times New Roman" w:eastAsia="仿宋_GB2312" w:cs="Times New Roman"/>
          <w:spacing w:val="-6"/>
          <w:sz w:val="28"/>
          <w:szCs w:val="20"/>
          <w14:ligatures w14:val="standardContextual"/>
        </w:rPr>
        <w:t>2</w:t>
      </w:r>
      <w:r>
        <w:rPr>
          <w:rFonts w:hint="eastAsia" w:ascii="Times New Roman" w:hAnsi="Times New Roman" w:eastAsia="仿宋_GB2312" w:cs="Times New Roman"/>
          <w:spacing w:val="-6"/>
          <w:sz w:val="28"/>
          <w:szCs w:val="20"/>
          <w14:ligatures w14:val="standardContextual"/>
        </w:rPr>
        <w:t>份；</w:t>
      </w:r>
    </w:p>
    <w:p w14:paraId="5B23491C">
      <w:pPr>
        <w:spacing w:line="560" w:lineRule="exact"/>
        <w:ind w:firstLine="541" w:firstLineChars="202"/>
        <w:rPr>
          <w:rFonts w:ascii="Times New Roman" w:hAnsi="Times New Roman" w:eastAsia="仿宋_GB2312" w:cs="Times New Roman"/>
          <w:spacing w:val="-6"/>
          <w:sz w:val="28"/>
          <w:szCs w:val="20"/>
          <w14:ligatures w14:val="standardContextual"/>
        </w:rPr>
      </w:pPr>
      <w:r>
        <w:rPr>
          <w:rFonts w:ascii="Times New Roman" w:hAnsi="Times New Roman" w:eastAsia="仿宋_GB2312" w:cs="Times New Roman"/>
          <w:spacing w:val="-6"/>
          <w:sz w:val="28"/>
          <w:szCs w:val="20"/>
          <w14:ligatures w14:val="standardContextual"/>
        </w:rPr>
        <w:t>2</w:t>
      </w:r>
      <w:r>
        <w:rPr>
          <w:rFonts w:hint="eastAsia" w:ascii="Times New Roman" w:hAnsi="Times New Roman" w:eastAsia="仿宋_GB2312" w:cs="Times New Roman"/>
          <w:spacing w:val="-6"/>
          <w:sz w:val="28"/>
          <w:szCs w:val="20"/>
          <w14:ligatures w14:val="standardContextual"/>
        </w:rPr>
        <w:t>）发表/录用受本项目资助的高水平学术论文（SCI/EI索引）10篇；</w:t>
      </w:r>
    </w:p>
    <w:p w14:paraId="73B88F82">
      <w:pPr>
        <w:spacing w:line="560" w:lineRule="exact"/>
        <w:ind w:firstLine="541" w:firstLineChars="202"/>
        <w:rPr>
          <w:rFonts w:ascii="Times New Roman" w:hAnsi="Times New Roman" w:eastAsia="仿宋_GB2312" w:cs="Times New Roman"/>
          <w:spacing w:val="-6"/>
          <w:sz w:val="28"/>
          <w:szCs w:val="20"/>
          <w14:ligatures w14:val="standardContextual"/>
        </w:rPr>
      </w:pPr>
      <w:r>
        <w:rPr>
          <w:rFonts w:ascii="Times New Roman" w:hAnsi="Times New Roman" w:eastAsia="仿宋_GB2312" w:cs="Times New Roman"/>
          <w:spacing w:val="-6"/>
          <w:sz w:val="28"/>
          <w:szCs w:val="20"/>
          <w14:ligatures w14:val="standardContextual"/>
        </w:rPr>
        <w:t>3</w:t>
      </w:r>
      <w:r>
        <w:rPr>
          <w:rFonts w:hint="eastAsia" w:ascii="Times New Roman" w:hAnsi="Times New Roman" w:eastAsia="仿宋_GB2312" w:cs="Times New Roman"/>
          <w:spacing w:val="-6"/>
          <w:sz w:val="28"/>
          <w:szCs w:val="20"/>
          <w14:ligatures w14:val="standardContextual"/>
        </w:rPr>
        <w:t>）申请与本项目相关的发明专利8件；</w:t>
      </w:r>
    </w:p>
    <w:p w14:paraId="0A66745A">
      <w:pPr>
        <w:spacing w:line="560" w:lineRule="exact"/>
        <w:ind w:firstLine="541" w:firstLineChars="202"/>
        <w:rPr>
          <w:rFonts w:ascii="Times New Roman" w:hAnsi="Times New Roman" w:eastAsia="仿宋_GB2312" w:cs="Times New Roman"/>
          <w:spacing w:val="-6"/>
          <w:sz w:val="28"/>
          <w:szCs w:val="20"/>
          <w14:ligatures w14:val="standardContextual"/>
        </w:rPr>
      </w:pPr>
      <w:r>
        <w:rPr>
          <w:rFonts w:ascii="Times New Roman" w:hAnsi="Times New Roman" w:eastAsia="仿宋_GB2312" w:cs="Times New Roman"/>
          <w:spacing w:val="-6"/>
          <w:sz w:val="28"/>
          <w:szCs w:val="20"/>
          <w14:ligatures w14:val="standardContextual"/>
        </w:rPr>
        <w:t>4</w:t>
      </w:r>
      <w:r>
        <w:rPr>
          <w:rFonts w:hint="eastAsia" w:ascii="Times New Roman" w:hAnsi="Times New Roman" w:eastAsia="仿宋_GB2312" w:cs="Times New Roman"/>
          <w:spacing w:val="-6"/>
          <w:sz w:val="28"/>
          <w:szCs w:val="20"/>
          <w14:ligatures w14:val="standardContextual"/>
        </w:rPr>
        <w:t>）在ITU与IMT-2030推进组提交与本项目相关的标准提案</w:t>
      </w:r>
      <w:r>
        <w:rPr>
          <w:rFonts w:ascii="Times New Roman" w:hAnsi="Times New Roman" w:eastAsia="仿宋_GB2312" w:cs="Times New Roman"/>
          <w:spacing w:val="-6"/>
          <w:sz w:val="28"/>
          <w:szCs w:val="20"/>
          <w14:ligatures w14:val="standardContextual"/>
        </w:rPr>
        <w:t>5</w:t>
      </w:r>
      <w:r>
        <w:rPr>
          <w:rFonts w:hint="eastAsia" w:ascii="Times New Roman" w:hAnsi="Times New Roman" w:eastAsia="仿宋_GB2312" w:cs="Times New Roman"/>
          <w:spacing w:val="-6"/>
          <w:sz w:val="28"/>
          <w:szCs w:val="20"/>
          <w14:ligatures w14:val="standardContextual"/>
        </w:rPr>
        <w:t>件。</w:t>
      </w:r>
    </w:p>
    <w:p w14:paraId="178A5992">
      <w:pPr>
        <w:spacing w:line="560" w:lineRule="exact"/>
        <w:ind w:firstLine="544" w:firstLineChars="202"/>
        <w:rPr>
          <w:rFonts w:ascii="仿宋" w:hAnsi="仿宋" w:eastAsia="仿宋" w:cs="Times New Roman"/>
          <w:b/>
          <w:spacing w:val="-6"/>
          <w:sz w:val="28"/>
          <w:szCs w:val="20"/>
          <w14:ligatures w14:val="standardContextual"/>
        </w:rPr>
      </w:pPr>
      <w:r>
        <w:rPr>
          <w:rFonts w:ascii="仿宋" w:hAnsi="仿宋" w:eastAsia="仿宋" w:cs="Times New Roman"/>
          <w:b/>
          <w:spacing w:val="-6"/>
          <w:sz w:val="28"/>
          <w:szCs w:val="20"/>
          <w14:ligatures w14:val="standardContextual"/>
        </w:rPr>
        <w:t>B.</w:t>
      </w:r>
      <w:r>
        <w:rPr>
          <w:rFonts w:hint="eastAsia" w:ascii="仿宋" w:hAnsi="仿宋" w:eastAsia="仿宋" w:cs="Times New Roman"/>
          <w:b/>
          <w:spacing w:val="-6"/>
          <w:sz w:val="28"/>
          <w:szCs w:val="20"/>
          <w14:ligatures w14:val="standardContextual"/>
        </w:rPr>
        <w:t xml:space="preserve"> 实物验证类</w:t>
      </w:r>
    </w:p>
    <w:p w14:paraId="319AE459">
      <w:pPr>
        <w:spacing w:line="560" w:lineRule="exact"/>
        <w:ind w:firstLine="541" w:firstLineChars="202"/>
        <w:rPr>
          <w:rFonts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在浦东科技园园区，</w:t>
      </w:r>
      <w:r>
        <w:rPr>
          <w:rFonts w:ascii="Times New Roman" w:hAnsi="Times New Roman" w:eastAsia="仿宋_GB2312" w:cs="Times New Roman"/>
          <w:spacing w:val="-6"/>
          <w:sz w:val="28"/>
          <w:szCs w:val="20"/>
          <w14:ligatures w14:val="standardContextual"/>
        </w:rPr>
        <w:t>针对</w:t>
      </w:r>
      <w:r>
        <w:rPr>
          <w:rFonts w:hint="eastAsia" w:ascii="Times New Roman" w:hAnsi="Times New Roman" w:eastAsia="仿宋_GB2312" w:cs="Times New Roman"/>
          <w:spacing w:val="-6"/>
          <w:sz w:val="28"/>
          <w:szCs w:val="20"/>
          <w14:ligatures w14:val="standardContextual"/>
        </w:rPr>
        <w:t>6G内生智能的无线信息中心网络技术，实施规模网络基础平台建设</w:t>
      </w:r>
      <w:r>
        <w:rPr>
          <w:rFonts w:ascii="Times New Roman" w:hAnsi="Times New Roman" w:eastAsia="仿宋_GB2312" w:cs="Times New Roman"/>
          <w:spacing w:val="-6"/>
          <w:sz w:val="28"/>
          <w:szCs w:val="20"/>
          <w14:ligatures w14:val="standardContextual"/>
        </w:rPr>
        <w:t>及原型系统应用示范验证。</w:t>
      </w:r>
      <w:r>
        <w:rPr>
          <w:rFonts w:hint="eastAsia" w:ascii="Times New Roman" w:hAnsi="Times New Roman" w:eastAsia="仿宋_GB2312" w:cs="Times New Roman"/>
          <w:spacing w:val="-6"/>
          <w:sz w:val="28"/>
          <w:szCs w:val="20"/>
          <w14:ligatures w14:val="standardContextual"/>
        </w:rPr>
        <w:t>具体</w:t>
      </w:r>
      <w:r>
        <w:rPr>
          <w:rFonts w:ascii="Times New Roman" w:hAnsi="Times New Roman" w:eastAsia="仿宋_GB2312" w:cs="Times New Roman"/>
          <w:spacing w:val="-6"/>
          <w:sz w:val="28"/>
          <w:szCs w:val="20"/>
          <w14:ligatures w14:val="standardContextual"/>
        </w:rPr>
        <w:t>技术指标包括：</w:t>
      </w:r>
    </w:p>
    <w:p w14:paraId="1E36E78D">
      <w:pPr>
        <w:spacing w:line="560" w:lineRule="exact"/>
        <w:ind w:firstLine="541" w:firstLineChars="202"/>
        <w:rPr>
          <w:rFonts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1）示范验证网络基础平台</w:t>
      </w:r>
      <w:r>
        <w:rPr>
          <w:rFonts w:ascii="Times New Roman" w:hAnsi="Times New Roman" w:eastAsia="仿宋_GB2312" w:cs="Times New Roman"/>
          <w:spacing w:val="-6"/>
          <w:sz w:val="28"/>
          <w:szCs w:val="20"/>
          <w14:ligatures w14:val="standardContextual"/>
        </w:rPr>
        <w:t>支持</w:t>
      </w:r>
      <w:r>
        <w:rPr>
          <w:rFonts w:hint="eastAsia" w:ascii="Times New Roman" w:hAnsi="Times New Roman" w:eastAsia="仿宋_GB2312" w:cs="Times New Roman"/>
          <w:spacing w:val="-6"/>
          <w:sz w:val="28"/>
          <w:szCs w:val="20"/>
          <w14:ligatures w14:val="standardContextual"/>
        </w:rPr>
        <w:t>虚实结合（虚</w:t>
      </w:r>
      <w:r>
        <w:rPr>
          <w:rFonts w:ascii="Times New Roman" w:hAnsi="Times New Roman" w:eastAsia="仿宋_GB2312" w:cs="Times New Roman"/>
          <w:spacing w:val="-6"/>
          <w:sz w:val="28"/>
          <w:szCs w:val="20"/>
          <w14:ligatures w14:val="standardContextual"/>
        </w:rPr>
        <w:t>：</w:t>
      </w:r>
      <w:r>
        <w:rPr>
          <w:rFonts w:hint="eastAsia" w:ascii="Times New Roman" w:hAnsi="Times New Roman" w:eastAsia="仿宋_GB2312" w:cs="Times New Roman"/>
          <w:spacing w:val="-6"/>
          <w:sz w:val="28"/>
          <w:szCs w:val="20"/>
          <w14:ligatures w14:val="standardContextual"/>
        </w:rPr>
        <w:t>软件定义/虚拟化</w:t>
      </w:r>
      <w:r>
        <w:rPr>
          <w:rFonts w:ascii="Times New Roman" w:hAnsi="Times New Roman" w:eastAsia="仿宋_GB2312" w:cs="Times New Roman"/>
          <w:spacing w:val="-6"/>
          <w:sz w:val="28"/>
          <w:szCs w:val="20"/>
          <w14:ligatures w14:val="standardContextual"/>
        </w:rPr>
        <w:t>技术</w:t>
      </w:r>
      <w:r>
        <w:rPr>
          <w:rFonts w:hint="eastAsia" w:ascii="Times New Roman" w:hAnsi="Times New Roman" w:eastAsia="仿宋_GB2312" w:cs="Times New Roman"/>
          <w:spacing w:val="-6"/>
          <w:sz w:val="28"/>
          <w:szCs w:val="20"/>
          <w14:ligatures w14:val="standardContextual"/>
        </w:rPr>
        <w:t>；</w:t>
      </w:r>
      <w:r>
        <w:rPr>
          <w:rFonts w:ascii="Times New Roman" w:hAnsi="Times New Roman" w:eastAsia="仿宋_GB2312" w:cs="Times New Roman"/>
          <w:spacing w:val="-6"/>
          <w:sz w:val="28"/>
          <w:szCs w:val="20"/>
          <w14:ligatures w14:val="standardContextual"/>
        </w:rPr>
        <w:t>实</w:t>
      </w:r>
      <w:r>
        <w:rPr>
          <w:rFonts w:hint="eastAsia" w:ascii="Times New Roman" w:hAnsi="Times New Roman" w:eastAsia="仿宋_GB2312" w:cs="Times New Roman"/>
          <w:spacing w:val="-6"/>
          <w:sz w:val="28"/>
          <w:szCs w:val="20"/>
          <w14:ligatures w14:val="standardContextual"/>
        </w:rPr>
        <w:t>：规模化物理节点），固移融合（固：有线网络；</w:t>
      </w:r>
      <w:r>
        <w:rPr>
          <w:rFonts w:ascii="Times New Roman" w:hAnsi="Times New Roman" w:eastAsia="仿宋_GB2312" w:cs="Times New Roman"/>
          <w:spacing w:val="-6"/>
          <w:sz w:val="28"/>
          <w:szCs w:val="20"/>
          <w14:ligatures w14:val="standardContextual"/>
        </w:rPr>
        <w:t>移</w:t>
      </w:r>
      <w:r>
        <w:rPr>
          <w:rFonts w:hint="eastAsia" w:ascii="Times New Roman" w:hAnsi="Times New Roman" w:eastAsia="仿宋_GB2312" w:cs="Times New Roman"/>
          <w:spacing w:val="-6"/>
          <w:sz w:val="28"/>
          <w:szCs w:val="20"/>
          <w14:ligatures w14:val="standardContextual"/>
        </w:rPr>
        <w:t>：蜂窝网络/无线通信网络）的</w:t>
      </w:r>
      <w:r>
        <w:rPr>
          <w:rFonts w:ascii="Times New Roman" w:hAnsi="Times New Roman" w:eastAsia="仿宋_GB2312" w:cs="Times New Roman"/>
          <w:spacing w:val="-6"/>
          <w:sz w:val="28"/>
          <w:szCs w:val="20"/>
          <w14:ligatures w14:val="standardContextual"/>
        </w:rPr>
        <w:t>演示验证</w:t>
      </w:r>
      <w:r>
        <w:rPr>
          <w:rFonts w:hint="eastAsia" w:ascii="Times New Roman" w:hAnsi="Times New Roman" w:eastAsia="仿宋_GB2312" w:cs="Times New Roman"/>
          <w:spacing w:val="-6"/>
          <w:sz w:val="28"/>
          <w:szCs w:val="20"/>
          <w14:ligatures w14:val="standardContextual"/>
        </w:rPr>
        <w:t>；</w:t>
      </w:r>
    </w:p>
    <w:p w14:paraId="3B5DCF0F">
      <w:pPr>
        <w:spacing w:line="560" w:lineRule="exact"/>
        <w:ind w:firstLine="541" w:firstLineChars="202"/>
        <w:rPr>
          <w:rFonts w:ascii="Times New Roman" w:hAnsi="Times New Roman" w:eastAsia="仿宋_GB2312" w:cs="Times New Roman"/>
          <w:spacing w:val="-6"/>
          <w:sz w:val="28"/>
          <w:szCs w:val="20"/>
          <w14:ligatures w14:val="standardContextual"/>
        </w:rPr>
      </w:pPr>
      <w:r>
        <w:rPr>
          <w:rFonts w:ascii="Times New Roman" w:hAnsi="Times New Roman" w:eastAsia="仿宋_GB2312" w:cs="Times New Roman"/>
          <w:spacing w:val="-6"/>
          <w:sz w:val="28"/>
          <w:szCs w:val="20"/>
          <w14:ligatures w14:val="standardContextual"/>
        </w:rPr>
        <w:t>2</w:t>
      </w:r>
      <w:r>
        <w:rPr>
          <w:rFonts w:hint="eastAsia" w:ascii="Times New Roman" w:hAnsi="Times New Roman" w:eastAsia="仿宋_GB2312" w:cs="Times New Roman"/>
          <w:spacing w:val="-6"/>
          <w:sz w:val="28"/>
          <w:szCs w:val="20"/>
          <w14:ligatures w14:val="standardContextual"/>
        </w:rPr>
        <w:t>）原型系统支持异构网络接入：包括蜂窝网络、WiFi网络以及无线传感器网络等多种主流无线通信制式混合组网；</w:t>
      </w:r>
    </w:p>
    <w:p w14:paraId="18DD4D31">
      <w:pPr>
        <w:spacing w:line="560" w:lineRule="exact"/>
        <w:ind w:firstLine="541" w:firstLineChars="202"/>
        <w:rPr>
          <w:rFonts w:ascii="Times New Roman" w:hAnsi="Times New Roman" w:eastAsia="仿宋_GB2312" w:cs="Times New Roman"/>
          <w:spacing w:val="-6"/>
          <w:sz w:val="28"/>
          <w:szCs w:val="20"/>
          <w14:ligatures w14:val="standardContextual"/>
        </w:rPr>
      </w:pPr>
      <w:r>
        <w:rPr>
          <w:rFonts w:ascii="Times New Roman" w:hAnsi="Times New Roman" w:eastAsia="仿宋_GB2312" w:cs="Times New Roman"/>
          <w:spacing w:val="-6"/>
          <w:sz w:val="28"/>
          <w:szCs w:val="20"/>
          <w14:ligatures w14:val="standardContextual"/>
        </w:rPr>
        <w:t>3</w:t>
      </w:r>
      <w:r>
        <w:rPr>
          <w:rFonts w:hint="eastAsia" w:ascii="Times New Roman" w:hAnsi="Times New Roman" w:eastAsia="仿宋_GB2312" w:cs="Times New Roman"/>
          <w:spacing w:val="-6"/>
          <w:sz w:val="28"/>
          <w:szCs w:val="20"/>
          <w14:ligatures w14:val="standardContextual"/>
        </w:rPr>
        <w:t>）原型系统</w:t>
      </w:r>
      <w:r>
        <w:rPr>
          <w:rFonts w:ascii="Times New Roman" w:hAnsi="Times New Roman" w:eastAsia="仿宋_GB2312" w:cs="Times New Roman"/>
          <w:spacing w:val="-6"/>
          <w:sz w:val="28"/>
          <w:szCs w:val="20"/>
          <w14:ligatures w14:val="standardContextual"/>
        </w:rPr>
        <w:t>的</w:t>
      </w:r>
      <w:r>
        <w:rPr>
          <w:rFonts w:hint="eastAsia" w:ascii="Times New Roman" w:hAnsi="Times New Roman" w:eastAsia="仿宋_GB2312" w:cs="Times New Roman"/>
          <w:spacing w:val="-6"/>
          <w:sz w:val="28"/>
          <w:szCs w:val="20"/>
          <w14:ligatures w14:val="standardContextual"/>
        </w:rPr>
        <w:t>无线通信速率支持上行300Mbps、下行500</w:t>
      </w:r>
      <w:r>
        <w:rPr>
          <w:rFonts w:ascii="Times New Roman" w:hAnsi="Times New Roman" w:eastAsia="仿宋_GB2312" w:cs="Times New Roman"/>
          <w:spacing w:val="-6"/>
          <w:sz w:val="28"/>
          <w:szCs w:val="20"/>
          <w14:ligatures w14:val="standardContextual"/>
        </w:rPr>
        <w:t>Mbps</w:t>
      </w:r>
      <w:r>
        <w:rPr>
          <w:rFonts w:hint="eastAsia" w:ascii="Times New Roman" w:hAnsi="Times New Roman" w:eastAsia="仿宋_GB2312" w:cs="Times New Roman"/>
          <w:spacing w:val="-6"/>
          <w:sz w:val="28"/>
          <w:szCs w:val="20"/>
          <w14:ligatures w14:val="standardContextual"/>
        </w:rPr>
        <w:t>，端到端延迟不高于20ms；</w:t>
      </w:r>
    </w:p>
    <w:p w14:paraId="7CE70300">
      <w:pPr>
        <w:spacing w:line="560" w:lineRule="exact"/>
        <w:ind w:firstLine="541" w:firstLineChars="202"/>
        <w:rPr>
          <w:rFonts w:ascii="Times New Roman" w:hAnsi="Times New Roman" w:eastAsia="仿宋_GB2312" w:cs="Times New Roman"/>
          <w:spacing w:val="-6"/>
          <w:sz w:val="28"/>
          <w:szCs w:val="20"/>
          <w14:ligatures w14:val="standardContextual"/>
        </w:rPr>
      </w:pPr>
      <w:r>
        <w:rPr>
          <w:rFonts w:ascii="Times New Roman" w:hAnsi="Times New Roman" w:eastAsia="仿宋_GB2312" w:cs="Times New Roman"/>
          <w:spacing w:val="-6"/>
          <w:sz w:val="28"/>
          <w:szCs w:val="20"/>
          <w14:ligatures w14:val="standardContextual"/>
        </w:rPr>
        <w:t>4</w:t>
      </w:r>
      <w:r>
        <w:rPr>
          <w:rFonts w:hint="eastAsia" w:ascii="Times New Roman" w:hAnsi="Times New Roman" w:eastAsia="仿宋_GB2312" w:cs="Times New Roman"/>
          <w:spacing w:val="-6"/>
          <w:sz w:val="28"/>
          <w:szCs w:val="20"/>
          <w14:ligatures w14:val="standardContextual"/>
        </w:rPr>
        <w:t>）支持面向6G应用的智能边缘计算</w:t>
      </w:r>
      <w:r>
        <w:rPr>
          <w:rFonts w:ascii="Times New Roman" w:hAnsi="Times New Roman" w:eastAsia="仿宋_GB2312" w:cs="Times New Roman"/>
          <w:spacing w:val="-6"/>
          <w:sz w:val="28"/>
          <w:szCs w:val="20"/>
          <w14:ligatures w14:val="standardContextual"/>
        </w:rPr>
        <w:t>任务</w:t>
      </w:r>
      <w:r>
        <w:rPr>
          <w:rFonts w:hint="eastAsia" w:ascii="Times New Roman" w:hAnsi="Times New Roman" w:eastAsia="仿宋_GB2312" w:cs="Times New Roman"/>
          <w:spacing w:val="-6"/>
          <w:sz w:val="28"/>
          <w:szCs w:val="20"/>
          <w14:ligatures w14:val="standardContextual"/>
        </w:rPr>
        <w:t>，支持AI训练、边缘部署等任务，模型种类不少于3种；</w:t>
      </w:r>
    </w:p>
    <w:p w14:paraId="456B0BAA">
      <w:pPr>
        <w:spacing w:line="560" w:lineRule="exact"/>
        <w:ind w:firstLine="541" w:firstLineChars="202"/>
        <w:rPr>
          <w:rFonts w:ascii="Times New Roman" w:hAnsi="Times New Roman" w:eastAsia="仿宋_GB2312" w:cs="Times New Roman"/>
          <w:spacing w:val="-6"/>
          <w:sz w:val="28"/>
          <w:szCs w:val="20"/>
          <w14:ligatures w14:val="standardContextual"/>
        </w:rPr>
      </w:pPr>
      <w:r>
        <w:rPr>
          <w:rFonts w:ascii="Times New Roman" w:hAnsi="Times New Roman" w:eastAsia="仿宋_GB2312" w:cs="Times New Roman"/>
          <w:spacing w:val="-6"/>
          <w:sz w:val="28"/>
          <w:szCs w:val="20"/>
          <w14:ligatures w14:val="standardContextual"/>
        </w:rPr>
        <w:t>5</w:t>
      </w:r>
      <w:r>
        <w:rPr>
          <w:rFonts w:hint="eastAsia" w:ascii="Times New Roman" w:hAnsi="Times New Roman" w:eastAsia="仿宋_GB2312" w:cs="Times New Roman"/>
          <w:spacing w:val="-6"/>
          <w:sz w:val="28"/>
          <w:szCs w:val="20"/>
          <w14:ligatures w14:val="standardContextual"/>
        </w:rPr>
        <w:t>）支持以信息为中心的寻址及路由方式，如基于命名（标识）的智能寻址、AI路由优化等实验；</w:t>
      </w:r>
    </w:p>
    <w:p w14:paraId="36AB4B8E">
      <w:pPr>
        <w:spacing w:line="560" w:lineRule="exact"/>
        <w:ind w:firstLine="541" w:firstLineChars="202"/>
        <w:rPr>
          <w:rFonts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6）支持无线传感网协议验证等功能，测试验证网络覆盖面积不低于15万平方米。</w:t>
      </w:r>
    </w:p>
    <w:p w14:paraId="647E5569">
      <w:pPr>
        <w:spacing w:line="560" w:lineRule="exact"/>
        <w:ind w:firstLine="544" w:firstLineChars="202"/>
        <w:rPr>
          <w:rFonts w:ascii="仿宋" w:hAnsi="仿宋" w:eastAsia="仿宋" w:cs="Times New Roman"/>
          <w:b/>
          <w:spacing w:val="-6"/>
          <w:sz w:val="28"/>
          <w:szCs w:val="20"/>
          <w14:ligatures w14:val="standardContextual"/>
        </w:rPr>
      </w:pPr>
      <w:r>
        <w:rPr>
          <w:rFonts w:ascii="仿宋" w:hAnsi="仿宋" w:eastAsia="仿宋" w:cs="Times New Roman"/>
          <w:b/>
          <w:spacing w:val="-6"/>
          <w:sz w:val="28"/>
          <w:szCs w:val="20"/>
          <w14:ligatures w14:val="standardContextual"/>
        </w:rPr>
        <w:t>C.</w:t>
      </w:r>
      <w:r>
        <w:rPr>
          <w:rFonts w:hint="eastAsia" w:ascii="仿宋" w:hAnsi="仿宋" w:eastAsia="仿宋" w:cs="Times New Roman"/>
          <w:b/>
          <w:spacing w:val="-6"/>
          <w:sz w:val="28"/>
          <w:szCs w:val="20"/>
          <w14:ligatures w14:val="standardContextual"/>
        </w:rPr>
        <w:t xml:space="preserve"> 人才培养类</w:t>
      </w:r>
    </w:p>
    <w:p w14:paraId="5D9F7A47">
      <w:pPr>
        <w:spacing w:line="560" w:lineRule="exact"/>
        <w:ind w:firstLine="541" w:firstLineChars="202"/>
        <w:rPr>
          <w:rFonts w:ascii="Times New Roman" w:hAnsi="Times New Roman" w:eastAsia="仿宋_GB2312" w:cs="Times New Roman"/>
          <w:spacing w:val="-6"/>
          <w:sz w:val="28"/>
          <w:szCs w:val="20"/>
          <w14:ligatures w14:val="standardContextual"/>
        </w:rPr>
      </w:pPr>
      <w:r>
        <w:rPr>
          <w:rFonts w:hint="eastAsia" w:ascii="Times New Roman" w:hAnsi="Times New Roman" w:eastAsia="仿宋_GB2312" w:cs="Times New Roman"/>
          <w:spacing w:val="-6"/>
          <w:sz w:val="28"/>
          <w:szCs w:val="20"/>
          <w14:ligatures w14:val="standardContextual"/>
        </w:rPr>
        <w:t>1）培养研究生1</w:t>
      </w:r>
      <w:r>
        <w:rPr>
          <w:rFonts w:ascii="Times New Roman" w:hAnsi="Times New Roman" w:eastAsia="仿宋_GB2312" w:cs="Times New Roman"/>
          <w:spacing w:val="-6"/>
          <w:sz w:val="28"/>
          <w:szCs w:val="20"/>
          <w14:ligatures w14:val="standardContextual"/>
        </w:rPr>
        <w:t>0</w:t>
      </w:r>
      <w:r>
        <w:rPr>
          <w:rFonts w:hint="eastAsia" w:ascii="Times New Roman" w:hAnsi="Times New Roman" w:eastAsia="仿宋_GB2312" w:cs="Times New Roman"/>
          <w:spacing w:val="-6"/>
          <w:sz w:val="28"/>
          <w:szCs w:val="20"/>
          <w14:ligatures w14:val="standardContextual"/>
        </w:rPr>
        <w:t>名。</w:t>
      </w:r>
    </w:p>
    <w:p w14:paraId="4A22ED87">
      <w:pPr>
        <w:spacing w:line="560" w:lineRule="exact"/>
        <w:ind w:firstLine="622" w:firstLineChars="202"/>
        <w:rPr>
          <w:rFonts w:ascii="Times New Roman" w:hAnsi="Times New Roman" w:eastAsia="仿宋_GB2312" w:cs="Times New Roman"/>
          <w:spacing w:val="-6"/>
          <w:sz w:val="32"/>
          <w:szCs w:val="20"/>
          <w14:ligatures w14:val="standardContextual"/>
        </w:rPr>
      </w:pPr>
    </w:p>
    <w:p w14:paraId="38FF37EC">
      <w:pPr>
        <w:spacing w:line="560" w:lineRule="exact"/>
        <w:rPr>
          <w:rFonts w:ascii="Times New Roman" w:hAnsi="Times New Roman" w:eastAsia="仿宋_GB2312" w:cs="Times New Roman"/>
          <w:spacing w:val="-6"/>
          <w:sz w:val="32"/>
          <w:szCs w:val="20"/>
          <w14:ligatures w14:val="standardContextual"/>
        </w:rPr>
      </w:pPr>
      <w:r>
        <w:rPr>
          <w:rFonts w:hint="eastAsia" w:ascii="Times New Roman" w:hAnsi="Times New Roman" w:eastAsia="仿宋_GB2312" w:cs="Times New Roman"/>
          <w:spacing w:val="-6"/>
          <w:sz w:val="32"/>
          <w:szCs w:val="20"/>
          <w14:ligatures w14:val="standardContextual"/>
        </w:rPr>
        <w:t>2、项目进度安排（按季度填写）：</w:t>
      </w:r>
    </w:p>
    <w:p w14:paraId="32113772">
      <w:pPr>
        <w:spacing w:line="560" w:lineRule="exact"/>
        <w:ind w:firstLine="544" w:firstLineChars="202"/>
        <w:rPr>
          <w:rFonts w:ascii="仿宋" w:hAnsi="仿宋" w:eastAsia="仿宋" w:cs="Times New Roman"/>
          <w:b/>
          <w:spacing w:val="-6"/>
          <w:sz w:val="28"/>
          <w:szCs w:val="20"/>
          <w14:ligatures w14:val="standardContextual"/>
        </w:rPr>
      </w:pPr>
      <w:r>
        <w:rPr>
          <w:rFonts w:hint="eastAsia" w:ascii="仿宋" w:hAnsi="仿宋" w:eastAsia="仿宋" w:cs="Times New Roman"/>
          <w:b/>
          <w:spacing w:val="-6"/>
          <w:sz w:val="28"/>
          <w:szCs w:val="20"/>
          <w14:ligatures w14:val="standardContextual"/>
        </w:rPr>
        <w:t>第一季度：2024.10-2024.12</w:t>
      </w:r>
    </w:p>
    <w:p w14:paraId="5988DAAB">
      <w:pPr>
        <w:spacing w:line="560" w:lineRule="exact"/>
        <w:ind w:firstLine="541" w:firstLineChars="202"/>
        <w:rPr>
          <w:rFonts w:ascii="Times New Roman" w:hAnsi="Times New Roman" w:eastAsia="仿宋_GB2312" w:cs="Times New Roman"/>
          <w:spacing w:val="-6"/>
          <w:sz w:val="28"/>
          <w:szCs w:val="28"/>
          <w14:ligatures w14:val="standardContextual"/>
        </w:rPr>
      </w:pPr>
      <w:r>
        <w:rPr>
          <w:rFonts w:ascii="Times New Roman" w:hAnsi="Times New Roman" w:eastAsia="仿宋_GB2312" w:cs="Times New Roman"/>
          <w:spacing w:val="-6"/>
          <w:sz w:val="28"/>
          <w:szCs w:val="28"/>
          <w14:ligatures w14:val="standardContextual"/>
        </w:rPr>
        <w:t>整理项目纲要，确定研究进度与考核指标，布置研究推进计划。</w:t>
      </w:r>
    </w:p>
    <w:p w14:paraId="7239AC2F">
      <w:pPr>
        <w:spacing w:line="560" w:lineRule="exact"/>
        <w:ind w:firstLine="544" w:firstLineChars="202"/>
        <w:rPr>
          <w:rFonts w:ascii="仿宋" w:hAnsi="仿宋" w:eastAsia="仿宋" w:cs="Times New Roman"/>
          <w:b/>
          <w:spacing w:val="-6"/>
          <w:sz w:val="28"/>
          <w:szCs w:val="20"/>
          <w14:ligatures w14:val="standardContextual"/>
        </w:rPr>
      </w:pPr>
      <w:r>
        <w:rPr>
          <w:rFonts w:hint="eastAsia" w:ascii="仿宋" w:hAnsi="仿宋" w:eastAsia="仿宋" w:cs="Times New Roman"/>
          <w:b/>
          <w:spacing w:val="-6"/>
          <w:sz w:val="28"/>
          <w:szCs w:val="20"/>
          <w14:ligatures w14:val="standardContextual"/>
        </w:rPr>
        <w:t xml:space="preserve">第二季度：2025.1-2025.3 </w:t>
      </w:r>
    </w:p>
    <w:p w14:paraId="298F6DA7">
      <w:pPr>
        <w:spacing w:line="560" w:lineRule="exact"/>
        <w:ind w:firstLine="541" w:firstLineChars="202"/>
        <w:rPr>
          <w:rFonts w:ascii="黑体" w:hAnsi="黑体" w:eastAsia="黑体" w:cs="Times New Roman"/>
          <w:b/>
          <w:spacing w:val="-6"/>
          <w:sz w:val="28"/>
          <w:szCs w:val="20"/>
          <w14:ligatures w14:val="standardContextual"/>
        </w:rPr>
      </w:pPr>
      <w:r>
        <w:rPr>
          <w:rFonts w:ascii="Times New Roman" w:hAnsi="Times New Roman" w:eastAsia="仿宋_GB2312" w:cs="Times New Roman"/>
          <w:spacing w:val="-6"/>
          <w:sz w:val="28"/>
          <w:szCs w:val="28"/>
          <w14:ligatures w14:val="standardContextual"/>
        </w:rPr>
        <w:t>分析6G通信终端多样化、灵活化、高速化的发展趋势，</w:t>
      </w:r>
      <w:r>
        <w:rPr>
          <w:rFonts w:hint="eastAsia" w:ascii="Times New Roman" w:hAnsi="Times New Roman" w:eastAsia="仿宋_GB2312" w:cs="Times New Roman"/>
          <w:spacing w:val="-6"/>
          <w:sz w:val="28"/>
          <w:szCs w:val="28"/>
          <w14:ligatures w14:val="standardContextual"/>
        </w:rPr>
        <w:t>解构信息中心网络使能的多维度无线网络资源智能感知技术的关键瓶颈</w:t>
      </w:r>
      <w:r>
        <w:rPr>
          <w:rFonts w:ascii="Times New Roman" w:hAnsi="Times New Roman" w:eastAsia="仿宋_GB2312" w:cs="Times New Roman"/>
          <w:spacing w:val="-6"/>
          <w:sz w:val="28"/>
          <w:szCs w:val="28"/>
          <w14:ligatures w14:val="standardContextual"/>
        </w:rPr>
        <w:t>；</w:t>
      </w:r>
      <w:r>
        <w:rPr>
          <w:rFonts w:hint="eastAsia" w:ascii="Times New Roman" w:hAnsi="Times New Roman" w:eastAsia="仿宋_GB2312" w:cs="Times New Roman"/>
          <w:spacing w:val="-6"/>
          <w:sz w:val="28"/>
          <w:szCs w:val="28"/>
          <w14:ligatures w14:val="standardContextual"/>
        </w:rPr>
        <w:t>启动搭建6G内生智能的无线信息中心网络原型系统。</w:t>
      </w:r>
    </w:p>
    <w:p w14:paraId="7E6E6CC4">
      <w:pPr>
        <w:spacing w:line="560" w:lineRule="exact"/>
        <w:ind w:firstLine="544" w:firstLineChars="202"/>
        <w:rPr>
          <w:rFonts w:ascii="仿宋" w:hAnsi="仿宋" w:eastAsia="仿宋" w:cs="Times New Roman"/>
          <w:b/>
          <w:spacing w:val="-6"/>
          <w:sz w:val="28"/>
          <w:szCs w:val="20"/>
          <w14:ligatures w14:val="standardContextual"/>
        </w:rPr>
      </w:pPr>
      <w:r>
        <w:rPr>
          <w:rFonts w:hint="eastAsia" w:ascii="仿宋" w:hAnsi="仿宋" w:eastAsia="仿宋" w:cs="Times New Roman"/>
          <w:b/>
          <w:spacing w:val="-6"/>
          <w:sz w:val="28"/>
          <w:szCs w:val="20"/>
          <w14:ligatures w14:val="standardContextual"/>
        </w:rPr>
        <w:t>第三季度</w:t>
      </w:r>
      <w:r>
        <w:rPr>
          <w:rFonts w:ascii="仿宋" w:hAnsi="仿宋" w:eastAsia="仿宋" w:cs="Times New Roman"/>
          <w:b/>
          <w:spacing w:val="-6"/>
          <w:sz w:val="28"/>
          <w:szCs w:val="20"/>
          <w14:ligatures w14:val="standardContextual"/>
        </w:rPr>
        <w:t>：</w:t>
      </w:r>
      <w:r>
        <w:rPr>
          <w:rFonts w:hint="eastAsia" w:ascii="仿宋" w:hAnsi="仿宋" w:eastAsia="仿宋" w:cs="Times New Roman"/>
          <w:b/>
          <w:spacing w:val="-6"/>
          <w:sz w:val="28"/>
          <w:szCs w:val="20"/>
          <w14:ligatures w14:val="standardContextual"/>
        </w:rPr>
        <w:t>2025.4-2025.6</w:t>
      </w:r>
    </w:p>
    <w:p w14:paraId="6D4F97E2">
      <w:pPr>
        <w:spacing w:line="560" w:lineRule="exact"/>
        <w:ind w:firstLine="541" w:firstLineChars="202"/>
        <w:rPr>
          <w:rFonts w:ascii="Times New Roman" w:hAnsi="Times New Roman" w:eastAsia="仿宋_GB2312" w:cs="Times New Roman"/>
          <w:spacing w:val="-6"/>
          <w:sz w:val="28"/>
          <w:szCs w:val="28"/>
          <w14:ligatures w14:val="standardContextual"/>
        </w:rPr>
      </w:pPr>
      <w:r>
        <w:rPr>
          <w:rFonts w:hint="eastAsia" w:ascii="Times New Roman" w:hAnsi="Times New Roman" w:eastAsia="仿宋_GB2312" w:cs="Times New Roman"/>
          <w:spacing w:val="-6"/>
          <w:sz w:val="28"/>
          <w:szCs w:val="28"/>
          <w14:ligatures w14:val="standardContextual"/>
        </w:rPr>
        <w:t>研究智能调控的可重构无线环境基础理论及多维环境信息感知技术</w:t>
      </w:r>
      <w:r>
        <w:rPr>
          <w:rFonts w:ascii="Times New Roman" w:hAnsi="Times New Roman" w:eastAsia="仿宋_GB2312" w:cs="Times New Roman"/>
          <w:spacing w:val="-6"/>
          <w:sz w:val="28"/>
          <w:szCs w:val="28"/>
          <w14:ligatures w14:val="standardContextual"/>
        </w:rPr>
        <w:t>；</w:t>
      </w:r>
      <w:r>
        <w:rPr>
          <w:rFonts w:ascii="仿宋" w:hAnsi="仿宋" w:eastAsia="仿宋" w:cs="Times New Roman"/>
          <w:color w:val="000000"/>
          <w:sz w:val="28"/>
          <w:szCs w:val="28"/>
          <w14:ligatures w14:val="standardContextual"/>
        </w:rPr>
        <w:t>无线信息中心网络导向的分布式缓存技术</w:t>
      </w:r>
      <w:r>
        <w:rPr>
          <w:rFonts w:ascii="Times New Roman" w:hAnsi="Times New Roman" w:eastAsia="仿宋_GB2312" w:cs="Times New Roman"/>
          <w:spacing w:val="-6"/>
          <w:sz w:val="28"/>
          <w:szCs w:val="28"/>
          <w14:ligatures w14:val="standardContextual"/>
        </w:rPr>
        <w:t>；</w:t>
      </w:r>
      <w:r>
        <w:rPr>
          <w:rFonts w:hint="eastAsia" w:ascii="Times New Roman" w:hAnsi="Times New Roman" w:eastAsia="仿宋_GB2312" w:cs="Times New Roman"/>
          <w:spacing w:val="-6"/>
          <w:sz w:val="28"/>
          <w:szCs w:val="28"/>
          <w14:ligatures w14:val="standardContextual"/>
        </w:rPr>
        <w:t>进一步</w:t>
      </w:r>
      <w:r>
        <w:rPr>
          <w:rFonts w:ascii="Times New Roman" w:hAnsi="Times New Roman" w:eastAsia="仿宋_GB2312" w:cs="Times New Roman"/>
          <w:spacing w:val="-6"/>
          <w:sz w:val="28"/>
          <w:szCs w:val="28"/>
          <w14:ligatures w14:val="standardContextual"/>
        </w:rPr>
        <w:t>优化</w:t>
      </w:r>
      <w:r>
        <w:rPr>
          <w:rFonts w:hint="eastAsia" w:ascii="Times New Roman" w:hAnsi="Times New Roman" w:eastAsia="仿宋_GB2312" w:cs="Times New Roman"/>
          <w:spacing w:val="-6"/>
          <w:sz w:val="28"/>
          <w:szCs w:val="28"/>
          <w14:ligatures w14:val="standardContextual"/>
        </w:rPr>
        <w:t>6G内生智能的信息中心网络</w:t>
      </w:r>
      <w:r>
        <w:rPr>
          <w:rFonts w:ascii="仿宋" w:hAnsi="仿宋" w:eastAsia="仿宋" w:cs="Times New Roman"/>
          <w:color w:val="000000"/>
          <w:sz w:val="28"/>
          <w:szCs w:val="28"/>
          <w14:ligatures w14:val="standardContextual"/>
        </w:rPr>
        <w:t>原型系统</w:t>
      </w:r>
      <w:r>
        <w:rPr>
          <w:rFonts w:hint="eastAsia" w:ascii="仿宋" w:hAnsi="仿宋" w:eastAsia="仿宋" w:cs="Times New Roman"/>
          <w:color w:val="000000"/>
          <w:sz w:val="28"/>
          <w:szCs w:val="28"/>
          <w14:ligatures w14:val="standardContextual"/>
        </w:rPr>
        <w:t>。</w:t>
      </w:r>
    </w:p>
    <w:p w14:paraId="21829C89">
      <w:pPr>
        <w:spacing w:line="560" w:lineRule="exact"/>
        <w:ind w:firstLine="544" w:firstLineChars="202"/>
        <w:rPr>
          <w:rFonts w:ascii="仿宋" w:hAnsi="仿宋" w:eastAsia="仿宋" w:cs="Times New Roman"/>
          <w:b/>
          <w:spacing w:val="-6"/>
          <w:sz w:val="28"/>
          <w:szCs w:val="20"/>
          <w14:ligatures w14:val="standardContextual"/>
        </w:rPr>
      </w:pPr>
      <w:r>
        <w:rPr>
          <w:rFonts w:hint="eastAsia" w:ascii="仿宋" w:hAnsi="仿宋" w:eastAsia="仿宋" w:cs="Times New Roman"/>
          <w:b/>
          <w:spacing w:val="-6"/>
          <w:sz w:val="28"/>
          <w:szCs w:val="20"/>
          <w14:ligatures w14:val="standardContextual"/>
        </w:rPr>
        <w:t>第四季度</w:t>
      </w:r>
      <w:r>
        <w:rPr>
          <w:rFonts w:ascii="仿宋" w:hAnsi="仿宋" w:eastAsia="仿宋" w:cs="Times New Roman"/>
          <w:b/>
          <w:spacing w:val="-6"/>
          <w:sz w:val="28"/>
          <w:szCs w:val="20"/>
          <w14:ligatures w14:val="standardContextual"/>
        </w:rPr>
        <w:t>：</w:t>
      </w:r>
      <w:r>
        <w:rPr>
          <w:rFonts w:hint="eastAsia" w:ascii="仿宋" w:hAnsi="仿宋" w:eastAsia="仿宋" w:cs="Times New Roman"/>
          <w:b/>
          <w:spacing w:val="-6"/>
          <w:sz w:val="28"/>
          <w:szCs w:val="20"/>
          <w14:ligatures w14:val="standardContextual"/>
        </w:rPr>
        <w:t>2025.7-2025.9</w:t>
      </w:r>
    </w:p>
    <w:p w14:paraId="2ABBE8BF">
      <w:pPr>
        <w:spacing w:line="560" w:lineRule="exact"/>
        <w:ind w:firstLine="565" w:firstLineChars="202"/>
        <w:rPr>
          <w:rFonts w:ascii="Times New Roman" w:hAnsi="Times New Roman" w:eastAsia="仿宋_GB2312" w:cs="Times New Roman"/>
          <w:spacing w:val="-6"/>
          <w:sz w:val="28"/>
          <w:szCs w:val="28"/>
          <w14:ligatures w14:val="standardContextual"/>
        </w:rPr>
      </w:pPr>
      <w:r>
        <w:rPr>
          <w:rFonts w:ascii="仿宋" w:hAnsi="仿宋" w:eastAsia="仿宋" w:cs="Times New Roman"/>
          <w:color w:val="000000"/>
          <w:sz w:val="28"/>
          <w:szCs w:val="28"/>
          <w14:ligatures w14:val="standardContextual"/>
        </w:rPr>
        <w:t>研究空间活跃用户密度导向的频谱感知与干扰避免机制；</w:t>
      </w:r>
      <w:r>
        <w:rPr>
          <w:rFonts w:hint="eastAsia" w:ascii="Times New Roman" w:hAnsi="Times New Roman" w:eastAsia="仿宋_GB2312" w:cs="Times New Roman"/>
          <w:spacing w:val="-6"/>
          <w:sz w:val="28"/>
          <w:szCs w:val="28"/>
          <w14:ligatures w14:val="standardContextual"/>
        </w:rPr>
        <w:t>完成6G内生智能的无线信息中心网络</w:t>
      </w:r>
      <w:r>
        <w:rPr>
          <w:rFonts w:ascii="仿宋" w:hAnsi="仿宋" w:eastAsia="仿宋" w:cs="Times New Roman"/>
          <w:color w:val="000000"/>
          <w:sz w:val="28"/>
          <w:szCs w:val="28"/>
          <w14:ligatures w14:val="standardContextual"/>
        </w:rPr>
        <w:t>原型系统的功能验证与业务验证</w:t>
      </w:r>
      <w:r>
        <w:rPr>
          <w:rFonts w:ascii="Times New Roman" w:hAnsi="Times New Roman" w:eastAsia="仿宋_GB2312" w:cs="Times New Roman"/>
          <w:spacing w:val="-6"/>
          <w:sz w:val="28"/>
          <w:szCs w:val="28"/>
          <w14:ligatures w14:val="standardContextual"/>
        </w:rPr>
        <w:t>。</w:t>
      </w:r>
    </w:p>
    <w:p w14:paraId="05DCAAFA">
      <w:pPr>
        <w:spacing w:line="560" w:lineRule="exact"/>
        <w:ind w:firstLine="544" w:firstLineChars="202"/>
        <w:rPr>
          <w:rFonts w:ascii="仿宋" w:hAnsi="仿宋" w:eastAsia="仿宋" w:cs="Times New Roman"/>
          <w:b/>
          <w:spacing w:val="-6"/>
          <w:sz w:val="28"/>
          <w:szCs w:val="20"/>
          <w14:ligatures w14:val="standardContextual"/>
        </w:rPr>
      </w:pPr>
      <w:r>
        <w:rPr>
          <w:rFonts w:hint="eastAsia" w:ascii="仿宋" w:hAnsi="仿宋" w:eastAsia="仿宋" w:cs="Times New Roman"/>
          <w:b/>
          <w:spacing w:val="-6"/>
          <w:sz w:val="28"/>
          <w:szCs w:val="20"/>
          <w14:ligatures w14:val="standardContextual"/>
        </w:rPr>
        <w:t>第五季度：202</w:t>
      </w:r>
      <w:r>
        <w:rPr>
          <w:rFonts w:ascii="仿宋" w:hAnsi="仿宋" w:eastAsia="仿宋" w:cs="Times New Roman"/>
          <w:b/>
          <w:spacing w:val="-6"/>
          <w:sz w:val="28"/>
          <w:szCs w:val="20"/>
          <w14:ligatures w14:val="standardContextual"/>
        </w:rPr>
        <w:t>5</w:t>
      </w:r>
      <w:r>
        <w:rPr>
          <w:rFonts w:hint="eastAsia" w:ascii="仿宋" w:hAnsi="仿宋" w:eastAsia="仿宋" w:cs="Times New Roman"/>
          <w:b/>
          <w:spacing w:val="-6"/>
          <w:sz w:val="28"/>
          <w:szCs w:val="20"/>
          <w14:ligatures w14:val="standardContextual"/>
        </w:rPr>
        <w:t>.10-202</w:t>
      </w:r>
      <w:r>
        <w:rPr>
          <w:rFonts w:ascii="仿宋" w:hAnsi="仿宋" w:eastAsia="仿宋" w:cs="Times New Roman"/>
          <w:b/>
          <w:spacing w:val="-6"/>
          <w:sz w:val="28"/>
          <w:szCs w:val="20"/>
          <w14:ligatures w14:val="standardContextual"/>
        </w:rPr>
        <w:t>5</w:t>
      </w:r>
      <w:r>
        <w:rPr>
          <w:rFonts w:hint="eastAsia" w:ascii="仿宋" w:hAnsi="仿宋" w:eastAsia="仿宋" w:cs="Times New Roman"/>
          <w:b/>
          <w:spacing w:val="-6"/>
          <w:sz w:val="28"/>
          <w:szCs w:val="20"/>
          <w14:ligatures w14:val="standardContextual"/>
        </w:rPr>
        <w:t>.12</w:t>
      </w:r>
    </w:p>
    <w:p w14:paraId="7D97E626">
      <w:pPr>
        <w:spacing w:line="560" w:lineRule="exact"/>
        <w:ind w:firstLine="565" w:firstLineChars="202"/>
        <w:rPr>
          <w:rFonts w:ascii="黑体" w:hAnsi="黑体" w:eastAsia="黑体" w:cs="Times New Roman"/>
          <w:b/>
          <w:spacing w:val="-6"/>
          <w:sz w:val="28"/>
          <w:szCs w:val="20"/>
          <w14:ligatures w14:val="standardContextual"/>
        </w:rPr>
      </w:pPr>
      <w:r>
        <w:rPr>
          <w:rFonts w:ascii="仿宋" w:hAnsi="仿宋" w:eastAsia="仿宋" w:cs="Times New Roman"/>
          <w:color w:val="000000"/>
          <w:sz w:val="28"/>
          <w:szCs w:val="28"/>
          <w14:ligatures w14:val="standardContextual"/>
        </w:rPr>
        <w:t>面向跨域异构场景下的差异化服务需求，基于解析算力标识获取目标算力服务、算力需求等信息，</w:t>
      </w:r>
      <w:r>
        <w:rPr>
          <w:rFonts w:hint="eastAsia" w:ascii="仿宋" w:hAnsi="仿宋" w:eastAsia="仿宋" w:cs="Times New Roman"/>
          <w:color w:val="000000"/>
          <w:sz w:val="28"/>
          <w:szCs w:val="28"/>
          <w14:ligatures w14:val="standardContextual"/>
        </w:rPr>
        <w:t>研究</w:t>
      </w:r>
      <w:r>
        <w:rPr>
          <w:rFonts w:ascii="仿宋" w:hAnsi="仿宋" w:eastAsia="仿宋" w:cs="Times New Roman"/>
          <w:color w:val="000000"/>
          <w:sz w:val="28"/>
          <w:szCs w:val="28"/>
          <w14:ligatures w14:val="standardContextual"/>
        </w:rPr>
        <w:t>算力资源感知与按需匹配技术。</w:t>
      </w:r>
    </w:p>
    <w:p w14:paraId="47653BE3">
      <w:pPr>
        <w:spacing w:line="560" w:lineRule="exact"/>
        <w:ind w:firstLine="544" w:firstLineChars="202"/>
        <w:rPr>
          <w:rFonts w:ascii="仿宋" w:hAnsi="仿宋" w:eastAsia="仿宋" w:cs="Times New Roman"/>
          <w:b/>
          <w:spacing w:val="-6"/>
          <w:sz w:val="28"/>
          <w:szCs w:val="20"/>
          <w14:ligatures w14:val="standardContextual"/>
        </w:rPr>
      </w:pPr>
      <w:r>
        <w:rPr>
          <w:rFonts w:hint="eastAsia" w:ascii="仿宋" w:hAnsi="仿宋" w:eastAsia="仿宋" w:cs="Times New Roman"/>
          <w:b/>
          <w:spacing w:val="-6"/>
          <w:sz w:val="28"/>
          <w:szCs w:val="20"/>
          <w14:ligatures w14:val="standardContextual"/>
        </w:rPr>
        <w:t>第六季度：202</w:t>
      </w:r>
      <w:r>
        <w:rPr>
          <w:rFonts w:ascii="仿宋" w:hAnsi="仿宋" w:eastAsia="仿宋" w:cs="Times New Roman"/>
          <w:b/>
          <w:spacing w:val="-6"/>
          <w:sz w:val="28"/>
          <w:szCs w:val="20"/>
          <w14:ligatures w14:val="standardContextual"/>
        </w:rPr>
        <w:t>6</w:t>
      </w:r>
      <w:r>
        <w:rPr>
          <w:rFonts w:hint="eastAsia" w:ascii="仿宋" w:hAnsi="仿宋" w:eastAsia="仿宋" w:cs="Times New Roman"/>
          <w:b/>
          <w:spacing w:val="-6"/>
          <w:sz w:val="28"/>
          <w:szCs w:val="20"/>
          <w14:ligatures w14:val="standardContextual"/>
        </w:rPr>
        <w:t>.1-202</w:t>
      </w:r>
      <w:r>
        <w:rPr>
          <w:rFonts w:ascii="仿宋" w:hAnsi="仿宋" w:eastAsia="仿宋" w:cs="Times New Roman"/>
          <w:b/>
          <w:spacing w:val="-6"/>
          <w:sz w:val="28"/>
          <w:szCs w:val="20"/>
          <w14:ligatures w14:val="standardContextual"/>
        </w:rPr>
        <w:t>6</w:t>
      </w:r>
      <w:r>
        <w:rPr>
          <w:rFonts w:hint="eastAsia" w:ascii="仿宋" w:hAnsi="仿宋" w:eastAsia="仿宋" w:cs="Times New Roman"/>
          <w:b/>
          <w:spacing w:val="-6"/>
          <w:sz w:val="28"/>
          <w:szCs w:val="20"/>
          <w14:ligatures w14:val="standardContextual"/>
        </w:rPr>
        <w:t xml:space="preserve">.3 </w:t>
      </w:r>
    </w:p>
    <w:p w14:paraId="11B74584">
      <w:pPr>
        <w:spacing w:line="560" w:lineRule="exact"/>
        <w:ind w:firstLine="541" w:firstLineChars="202"/>
        <w:rPr>
          <w:rFonts w:ascii="黑体" w:hAnsi="黑体" w:eastAsia="黑体" w:cs="Times New Roman"/>
          <w:b/>
          <w:spacing w:val="-6"/>
          <w:sz w:val="28"/>
          <w:szCs w:val="20"/>
          <w14:ligatures w14:val="standardContextual"/>
        </w:rPr>
      </w:pPr>
      <w:r>
        <w:rPr>
          <w:rFonts w:hint="eastAsia" w:ascii="Times New Roman" w:hAnsi="Times New Roman" w:eastAsia="仿宋_GB2312" w:cs="Times New Roman"/>
          <w:spacing w:val="-6"/>
          <w:sz w:val="28"/>
          <w:szCs w:val="28"/>
          <w14:ligatures w14:val="standardContextual"/>
        </w:rPr>
        <w:t>基于无线信息中心网络架构，研究无线信息中心网络导向异构跨系统直连技术；结合</w:t>
      </w:r>
      <w:r>
        <w:rPr>
          <w:rFonts w:ascii="Times New Roman" w:hAnsi="Times New Roman" w:eastAsia="仿宋_GB2312" w:cs="Times New Roman"/>
          <w:spacing w:val="-6"/>
          <w:sz w:val="28"/>
          <w:szCs w:val="28"/>
          <w14:ligatures w14:val="standardContextual"/>
        </w:rPr>
        <w:t>前期理论研究基础，全面</w:t>
      </w:r>
      <w:r>
        <w:rPr>
          <w:rFonts w:hint="eastAsia" w:ascii="Times New Roman" w:hAnsi="Times New Roman" w:eastAsia="仿宋_GB2312" w:cs="Times New Roman"/>
          <w:spacing w:val="-6"/>
          <w:sz w:val="28"/>
          <w:szCs w:val="28"/>
          <w14:ligatures w14:val="standardContextual"/>
        </w:rPr>
        <w:t>完成6G内生智能的信息中心网络</w:t>
      </w:r>
      <w:r>
        <w:rPr>
          <w:rFonts w:ascii="仿宋" w:hAnsi="仿宋" w:eastAsia="仿宋" w:cs="Times New Roman"/>
          <w:color w:val="000000"/>
          <w:sz w:val="28"/>
          <w:szCs w:val="28"/>
          <w14:ligatures w14:val="standardContextual"/>
        </w:rPr>
        <w:t>原型系统</w:t>
      </w:r>
      <w:r>
        <w:rPr>
          <w:rFonts w:hint="eastAsia" w:ascii="仿宋" w:hAnsi="仿宋" w:eastAsia="仿宋" w:cs="Times New Roman"/>
          <w:color w:val="000000"/>
          <w:sz w:val="28"/>
          <w:szCs w:val="28"/>
          <w14:ligatures w14:val="standardContextual"/>
        </w:rPr>
        <w:t>搭建。</w:t>
      </w:r>
    </w:p>
    <w:p w14:paraId="3EF28875">
      <w:pPr>
        <w:spacing w:line="560" w:lineRule="exact"/>
        <w:ind w:firstLine="544" w:firstLineChars="202"/>
        <w:rPr>
          <w:rFonts w:ascii="仿宋" w:hAnsi="仿宋" w:eastAsia="仿宋" w:cs="Times New Roman"/>
          <w:b/>
          <w:spacing w:val="-6"/>
          <w:sz w:val="28"/>
          <w:szCs w:val="20"/>
          <w14:ligatures w14:val="standardContextual"/>
        </w:rPr>
      </w:pPr>
      <w:r>
        <w:rPr>
          <w:rFonts w:hint="eastAsia" w:ascii="仿宋" w:hAnsi="仿宋" w:eastAsia="仿宋" w:cs="Times New Roman"/>
          <w:b/>
          <w:spacing w:val="-6"/>
          <w:sz w:val="28"/>
          <w:szCs w:val="20"/>
          <w14:ligatures w14:val="standardContextual"/>
        </w:rPr>
        <w:t>第七季度</w:t>
      </w:r>
      <w:r>
        <w:rPr>
          <w:rFonts w:ascii="仿宋" w:hAnsi="仿宋" w:eastAsia="仿宋" w:cs="Times New Roman"/>
          <w:b/>
          <w:spacing w:val="-6"/>
          <w:sz w:val="28"/>
          <w:szCs w:val="20"/>
          <w14:ligatures w14:val="standardContextual"/>
        </w:rPr>
        <w:t>：</w:t>
      </w:r>
      <w:r>
        <w:rPr>
          <w:rFonts w:hint="eastAsia" w:ascii="仿宋" w:hAnsi="仿宋" w:eastAsia="仿宋" w:cs="Times New Roman"/>
          <w:b/>
          <w:spacing w:val="-6"/>
          <w:sz w:val="28"/>
          <w:szCs w:val="20"/>
          <w14:ligatures w14:val="standardContextual"/>
        </w:rPr>
        <w:t>202</w:t>
      </w:r>
      <w:r>
        <w:rPr>
          <w:rFonts w:ascii="仿宋" w:hAnsi="仿宋" w:eastAsia="仿宋" w:cs="Times New Roman"/>
          <w:b/>
          <w:spacing w:val="-6"/>
          <w:sz w:val="28"/>
          <w:szCs w:val="20"/>
          <w14:ligatures w14:val="standardContextual"/>
        </w:rPr>
        <w:t>6</w:t>
      </w:r>
      <w:r>
        <w:rPr>
          <w:rFonts w:hint="eastAsia" w:ascii="仿宋" w:hAnsi="仿宋" w:eastAsia="仿宋" w:cs="Times New Roman"/>
          <w:b/>
          <w:spacing w:val="-6"/>
          <w:sz w:val="28"/>
          <w:szCs w:val="20"/>
          <w14:ligatures w14:val="standardContextual"/>
        </w:rPr>
        <w:t>.4-202</w:t>
      </w:r>
      <w:r>
        <w:rPr>
          <w:rFonts w:ascii="仿宋" w:hAnsi="仿宋" w:eastAsia="仿宋" w:cs="Times New Roman"/>
          <w:b/>
          <w:spacing w:val="-6"/>
          <w:sz w:val="28"/>
          <w:szCs w:val="20"/>
          <w14:ligatures w14:val="standardContextual"/>
        </w:rPr>
        <w:t>6</w:t>
      </w:r>
      <w:r>
        <w:rPr>
          <w:rFonts w:hint="eastAsia" w:ascii="仿宋" w:hAnsi="仿宋" w:eastAsia="仿宋" w:cs="Times New Roman"/>
          <w:b/>
          <w:spacing w:val="-6"/>
          <w:sz w:val="28"/>
          <w:szCs w:val="20"/>
          <w14:ligatures w14:val="standardContextual"/>
        </w:rPr>
        <w:t>.6</w:t>
      </w:r>
    </w:p>
    <w:p w14:paraId="7969D07C">
      <w:pPr>
        <w:spacing w:line="560" w:lineRule="exact"/>
        <w:ind w:firstLine="541" w:firstLineChars="202"/>
        <w:rPr>
          <w:rFonts w:ascii="Times New Roman" w:hAnsi="Times New Roman" w:eastAsia="仿宋_GB2312" w:cs="Times New Roman"/>
          <w:spacing w:val="-6"/>
          <w:sz w:val="28"/>
          <w:szCs w:val="28"/>
          <w14:ligatures w14:val="standardContextual"/>
        </w:rPr>
      </w:pPr>
      <w:r>
        <w:rPr>
          <w:rFonts w:hint="eastAsia" w:ascii="Times New Roman" w:hAnsi="Times New Roman" w:eastAsia="仿宋_GB2312" w:cs="Times New Roman"/>
          <w:spacing w:val="-6"/>
          <w:sz w:val="28"/>
          <w:szCs w:val="28"/>
          <w14:ligatures w14:val="standardContextual"/>
        </w:rPr>
        <w:t>依托前期搭建</w:t>
      </w:r>
      <w:r>
        <w:rPr>
          <w:rFonts w:ascii="Times New Roman" w:hAnsi="Times New Roman" w:eastAsia="仿宋_GB2312" w:cs="Times New Roman"/>
          <w:spacing w:val="-6"/>
          <w:sz w:val="28"/>
          <w:szCs w:val="28"/>
          <w14:ligatures w14:val="standardContextual"/>
        </w:rPr>
        <w:t>的</w:t>
      </w:r>
      <w:r>
        <w:rPr>
          <w:rFonts w:ascii="仿宋" w:hAnsi="仿宋" w:eastAsia="仿宋" w:cs="Times New Roman"/>
          <w:color w:val="000000"/>
          <w:sz w:val="28"/>
          <w:szCs w:val="28"/>
          <w14:ligatures w14:val="standardContextual"/>
        </w:rPr>
        <w:t>原型应用示范系统</w:t>
      </w:r>
      <w:r>
        <w:rPr>
          <w:rFonts w:hint="eastAsia" w:ascii="仿宋" w:hAnsi="仿宋" w:eastAsia="仿宋" w:cs="Times New Roman"/>
          <w:color w:val="000000"/>
          <w:sz w:val="28"/>
          <w:szCs w:val="28"/>
          <w14:ligatures w14:val="standardContextual"/>
        </w:rPr>
        <w:t>、结合</w:t>
      </w:r>
      <w:r>
        <w:rPr>
          <w:rFonts w:ascii="仿宋" w:hAnsi="仿宋" w:eastAsia="仿宋" w:cs="Times New Roman"/>
          <w:color w:val="000000"/>
          <w:sz w:val="28"/>
          <w:szCs w:val="28"/>
          <w14:ligatures w14:val="standardContextual"/>
        </w:rPr>
        <w:t>网络环境建设与测试验证</w:t>
      </w:r>
      <w:r>
        <w:rPr>
          <w:rFonts w:hint="eastAsia" w:ascii="仿宋" w:hAnsi="仿宋" w:eastAsia="仿宋" w:cs="Times New Roman"/>
          <w:color w:val="000000"/>
          <w:sz w:val="28"/>
          <w:szCs w:val="28"/>
          <w14:ligatures w14:val="standardContextual"/>
        </w:rPr>
        <w:t>平台</w:t>
      </w:r>
      <w:r>
        <w:rPr>
          <w:rFonts w:ascii="Times New Roman" w:hAnsi="Times New Roman" w:eastAsia="仿宋_GB2312" w:cs="Times New Roman"/>
          <w:spacing w:val="-6"/>
          <w:sz w:val="28"/>
          <w:szCs w:val="28"/>
          <w14:ligatures w14:val="standardContextual"/>
        </w:rPr>
        <w:t>，</w:t>
      </w:r>
      <w:r>
        <w:rPr>
          <w:rFonts w:hint="eastAsia" w:ascii="Times New Roman" w:hAnsi="Times New Roman" w:eastAsia="仿宋_GB2312" w:cs="Times New Roman"/>
          <w:spacing w:val="-6"/>
          <w:sz w:val="28"/>
          <w:szCs w:val="28"/>
          <w14:ligatures w14:val="standardContextual"/>
        </w:rPr>
        <w:t>开展全面</w:t>
      </w:r>
      <w:r>
        <w:rPr>
          <w:rFonts w:ascii="Times New Roman" w:hAnsi="Times New Roman" w:eastAsia="仿宋_GB2312" w:cs="Times New Roman"/>
          <w:spacing w:val="-6"/>
          <w:sz w:val="28"/>
          <w:szCs w:val="28"/>
          <w14:ligatures w14:val="standardContextual"/>
        </w:rPr>
        <w:t>调试</w:t>
      </w:r>
      <w:r>
        <w:rPr>
          <w:rFonts w:hint="eastAsia" w:ascii="Times New Roman" w:hAnsi="Times New Roman" w:eastAsia="仿宋_GB2312" w:cs="Times New Roman"/>
          <w:spacing w:val="-6"/>
          <w:sz w:val="28"/>
          <w:szCs w:val="28"/>
          <w14:ligatures w14:val="standardContextual"/>
        </w:rPr>
        <w:t>、</w:t>
      </w:r>
      <w:r>
        <w:rPr>
          <w:rFonts w:ascii="Times New Roman" w:hAnsi="Times New Roman" w:eastAsia="仿宋_GB2312" w:cs="Times New Roman"/>
          <w:spacing w:val="-6"/>
          <w:sz w:val="28"/>
          <w:szCs w:val="28"/>
          <w14:ligatures w14:val="standardContextual"/>
        </w:rPr>
        <w:t>测试、及验证工作。</w:t>
      </w:r>
    </w:p>
    <w:p w14:paraId="6B701909">
      <w:pPr>
        <w:spacing w:line="560" w:lineRule="exact"/>
        <w:ind w:firstLine="544" w:firstLineChars="202"/>
        <w:rPr>
          <w:rFonts w:ascii="仿宋" w:hAnsi="仿宋" w:eastAsia="仿宋" w:cs="Times New Roman"/>
          <w:b/>
          <w:spacing w:val="-6"/>
          <w:sz w:val="28"/>
          <w:szCs w:val="20"/>
          <w14:ligatures w14:val="standardContextual"/>
        </w:rPr>
      </w:pPr>
      <w:r>
        <w:rPr>
          <w:rFonts w:hint="eastAsia" w:ascii="仿宋" w:hAnsi="仿宋" w:eastAsia="仿宋" w:cs="Times New Roman"/>
          <w:b/>
          <w:spacing w:val="-6"/>
          <w:sz w:val="28"/>
          <w:szCs w:val="20"/>
          <w14:ligatures w14:val="standardContextual"/>
        </w:rPr>
        <w:t>第八季度</w:t>
      </w:r>
      <w:r>
        <w:rPr>
          <w:rFonts w:ascii="仿宋" w:hAnsi="仿宋" w:eastAsia="仿宋" w:cs="Times New Roman"/>
          <w:b/>
          <w:spacing w:val="-6"/>
          <w:sz w:val="28"/>
          <w:szCs w:val="20"/>
          <w14:ligatures w14:val="standardContextual"/>
        </w:rPr>
        <w:t>：</w:t>
      </w:r>
      <w:r>
        <w:rPr>
          <w:rFonts w:hint="eastAsia" w:ascii="仿宋" w:hAnsi="仿宋" w:eastAsia="仿宋" w:cs="Times New Roman"/>
          <w:b/>
          <w:spacing w:val="-6"/>
          <w:sz w:val="28"/>
          <w:szCs w:val="20"/>
          <w14:ligatures w14:val="standardContextual"/>
        </w:rPr>
        <w:t>202</w:t>
      </w:r>
      <w:r>
        <w:rPr>
          <w:rFonts w:ascii="仿宋" w:hAnsi="仿宋" w:eastAsia="仿宋" w:cs="Times New Roman"/>
          <w:b/>
          <w:spacing w:val="-6"/>
          <w:sz w:val="28"/>
          <w:szCs w:val="20"/>
          <w14:ligatures w14:val="standardContextual"/>
        </w:rPr>
        <w:t>6</w:t>
      </w:r>
      <w:r>
        <w:rPr>
          <w:rFonts w:hint="eastAsia" w:ascii="仿宋" w:hAnsi="仿宋" w:eastAsia="仿宋" w:cs="Times New Roman"/>
          <w:b/>
          <w:spacing w:val="-6"/>
          <w:sz w:val="28"/>
          <w:szCs w:val="20"/>
          <w14:ligatures w14:val="standardContextual"/>
        </w:rPr>
        <w:t>.7-202</w:t>
      </w:r>
      <w:r>
        <w:rPr>
          <w:rFonts w:ascii="仿宋" w:hAnsi="仿宋" w:eastAsia="仿宋" w:cs="Times New Roman"/>
          <w:b/>
          <w:spacing w:val="-6"/>
          <w:sz w:val="28"/>
          <w:szCs w:val="20"/>
          <w14:ligatures w14:val="standardContextual"/>
        </w:rPr>
        <w:t>6</w:t>
      </w:r>
      <w:r>
        <w:rPr>
          <w:rFonts w:hint="eastAsia" w:ascii="仿宋" w:hAnsi="仿宋" w:eastAsia="仿宋" w:cs="Times New Roman"/>
          <w:b/>
          <w:spacing w:val="-6"/>
          <w:sz w:val="28"/>
          <w:szCs w:val="20"/>
          <w14:ligatures w14:val="standardContextual"/>
        </w:rPr>
        <w:t>.9</w:t>
      </w:r>
    </w:p>
    <w:p w14:paraId="467D4F00">
      <w:pPr>
        <w:spacing w:line="560" w:lineRule="exact"/>
        <w:ind w:firstLine="541" w:firstLineChars="202"/>
        <w:rPr>
          <w:rFonts w:ascii="Times New Roman" w:hAnsi="Times New Roman" w:eastAsia="仿宋_GB2312" w:cs="Times New Roman"/>
          <w:spacing w:val="-6"/>
          <w:sz w:val="28"/>
          <w:szCs w:val="28"/>
          <w14:ligatures w14:val="standardContextual"/>
        </w:rPr>
      </w:pPr>
      <w:r>
        <w:rPr>
          <w:rFonts w:ascii="Times New Roman" w:hAnsi="Times New Roman" w:eastAsia="仿宋_GB2312" w:cs="Times New Roman"/>
          <w:spacing w:val="-6"/>
          <w:sz w:val="28"/>
          <w:szCs w:val="28"/>
          <w14:ligatures w14:val="standardContextual"/>
        </w:rPr>
        <w:t>检查项目研究进度，完成</w:t>
      </w:r>
      <w:r>
        <w:rPr>
          <w:rFonts w:hint="eastAsia" w:ascii="Times New Roman" w:hAnsi="Times New Roman" w:eastAsia="仿宋_GB2312" w:cs="Times New Roman"/>
          <w:spacing w:val="-6"/>
          <w:sz w:val="28"/>
          <w:szCs w:val="28"/>
          <w14:ligatures w14:val="standardContextual"/>
        </w:rPr>
        <w:t>结题</w:t>
      </w:r>
      <w:r>
        <w:rPr>
          <w:rFonts w:ascii="Times New Roman" w:hAnsi="Times New Roman" w:eastAsia="仿宋_GB2312" w:cs="Times New Roman"/>
          <w:spacing w:val="-6"/>
          <w:sz w:val="28"/>
          <w:szCs w:val="28"/>
          <w14:ligatures w14:val="standardContextual"/>
        </w:rPr>
        <w:t>验收检查。</w:t>
      </w:r>
    </w:p>
    <w:p w14:paraId="504CA005">
      <w:pPr>
        <w:spacing w:line="560" w:lineRule="exact"/>
        <w:ind w:firstLine="622" w:firstLineChars="202"/>
        <w:jc w:val="left"/>
        <w:rPr>
          <w:rFonts w:ascii="Times New Roman" w:hAnsi="Times New Roman" w:eastAsia="仿宋_GB2312" w:cs="Times New Roman"/>
          <w:spacing w:val="-6"/>
          <w:sz w:val="32"/>
          <w:szCs w:val="20"/>
          <w14:ligatures w14:val="standardContextual"/>
        </w:rPr>
      </w:pPr>
    </w:p>
    <w:p w14:paraId="26A3C4AC">
      <w:pPr>
        <w:spacing w:line="560" w:lineRule="exact"/>
        <w:jc w:val="left"/>
        <w:rPr>
          <w:rFonts w:ascii="Times New Roman" w:hAnsi="Times New Roman" w:eastAsia="仿宋_GB2312" w:cs="Times New Roman"/>
          <w:spacing w:val="-6"/>
          <w:sz w:val="32"/>
          <w:szCs w:val="20"/>
          <w14:ligatures w14:val="standardContextual"/>
        </w:rPr>
      </w:pPr>
      <w:r>
        <w:rPr>
          <w:rFonts w:hint="eastAsia" w:ascii="Times New Roman" w:hAnsi="Times New Roman" w:eastAsia="仿宋_GB2312" w:cs="Times New Roman"/>
          <w:spacing w:val="-6"/>
          <w:sz w:val="32"/>
          <w:szCs w:val="20"/>
          <w14:ligatures w14:val="standardContextual"/>
        </w:rPr>
        <w:t>3、里程碑节点目标及考核指标（按半年度填写）：</w:t>
      </w:r>
    </w:p>
    <w:p w14:paraId="73BCC0B0">
      <w:pPr>
        <w:spacing w:line="560" w:lineRule="exact"/>
        <w:jc w:val="left"/>
        <w:rPr>
          <w:rFonts w:ascii="Times New Roman" w:hAnsi="Times New Roman" w:eastAsia="仿宋_GB2312" w:cs="Times New Roman"/>
          <w:i/>
          <w:iCs/>
          <w:color w:val="FF0000"/>
          <w:spacing w:val="-6"/>
          <w:sz w:val="32"/>
          <w:szCs w:val="20"/>
          <w14:ligatures w14:val="standardContextual"/>
        </w:rPr>
      </w:pPr>
      <w:r>
        <w:rPr>
          <w:rFonts w:hint="eastAsia" w:ascii="Times New Roman" w:hAnsi="Times New Roman" w:eastAsia="仿宋_GB2312" w:cs="Times New Roman"/>
          <w:i/>
          <w:iCs/>
          <w:color w:val="FF0000"/>
          <w:spacing w:val="-6"/>
          <w:sz w:val="32"/>
          <w:szCs w:val="20"/>
          <w14:ligatures w14:val="standardContextual"/>
        </w:rPr>
        <w:t>每个里程碑节点必须有具体可考核指标</w:t>
      </w:r>
    </w:p>
    <w:tbl>
      <w:tblPr>
        <w:tblStyle w:val="4"/>
        <w:tblW w:w="8495" w:type="dxa"/>
        <w:jc w:val="center"/>
        <w:tblLayout w:type="autofit"/>
        <w:tblCellMar>
          <w:top w:w="0" w:type="dxa"/>
          <w:left w:w="0" w:type="dxa"/>
          <w:bottom w:w="0" w:type="dxa"/>
          <w:right w:w="0" w:type="dxa"/>
        </w:tblCellMar>
      </w:tblPr>
      <w:tblGrid>
        <w:gridCol w:w="846"/>
        <w:gridCol w:w="1838"/>
        <w:gridCol w:w="5811"/>
      </w:tblGrid>
      <w:tr w14:paraId="4A2EA0C8">
        <w:trPr>
          <w:jc w:val="center"/>
        </w:trPr>
        <w:tc>
          <w:tcPr>
            <w:tcW w:w="846"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2B3927B6">
            <w:pPr>
              <w:snapToGrid w:val="0"/>
              <w:jc w:val="center"/>
              <w:rPr>
                <w:rFonts w:ascii="仿宋" w:hAnsi="仿宋" w:eastAsia="仿宋" w:cs="Times New Roman"/>
                <w:b/>
                <w:color w:val="000000"/>
                <w:sz w:val="24"/>
                <w14:ligatures w14:val="standardContextual"/>
              </w:rPr>
            </w:pPr>
            <w:r>
              <w:rPr>
                <w:rFonts w:hint="eastAsia" w:ascii="仿宋" w:hAnsi="仿宋" w:eastAsia="仿宋" w:cs="Times New Roman"/>
                <w:b/>
                <w:color w:val="000000"/>
                <w:sz w:val="24"/>
                <w14:ligatures w14:val="standardContextual"/>
              </w:rPr>
              <w:t>序号</w:t>
            </w:r>
          </w:p>
        </w:tc>
        <w:tc>
          <w:tcPr>
            <w:tcW w:w="1838" w:type="dxa"/>
            <w:tcBorders>
              <w:top w:val="single" w:color="auto" w:sz="8" w:space="0"/>
              <w:left w:val="nil"/>
              <w:bottom w:val="single" w:color="auto" w:sz="8" w:space="0"/>
              <w:right w:val="single" w:color="auto" w:sz="8" w:space="0"/>
            </w:tcBorders>
            <w:tcMar>
              <w:top w:w="0" w:type="dxa"/>
              <w:left w:w="108" w:type="dxa"/>
              <w:bottom w:w="0" w:type="dxa"/>
              <w:right w:w="108" w:type="dxa"/>
            </w:tcMar>
          </w:tcPr>
          <w:p w14:paraId="4AB529B0">
            <w:pPr>
              <w:snapToGrid w:val="0"/>
              <w:jc w:val="center"/>
              <w:rPr>
                <w:rFonts w:ascii="仿宋" w:hAnsi="仿宋" w:eastAsia="仿宋" w:cs="Times New Roman"/>
                <w:b/>
                <w:color w:val="000000"/>
                <w:sz w:val="24"/>
                <w14:ligatures w14:val="standardContextual"/>
              </w:rPr>
            </w:pPr>
            <w:r>
              <w:rPr>
                <w:rFonts w:hint="eastAsia" w:ascii="仿宋" w:hAnsi="仿宋" w:eastAsia="仿宋" w:cs="Times New Roman"/>
                <w:b/>
                <w:color w:val="000000"/>
                <w:sz w:val="24"/>
                <w14:ligatures w14:val="standardContextual"/>
              </w:rPr>
              <w:t>里程碑节点</w:t>
            </w:r>
          </w:p>
        </w:tc>
        <w:tc>
          <w:tcPr>
            <w:tcW w:w="5811" w:type="dxa"/>
            <w:tcBorders>
              <w:top w:val="single" w:color="auto" w:sz="8" w:space="0"/>
              <w:left w:val="nil"/>
              <w:bottom w:val="single" w:color="auto" w:sz="8" w:space="0"/>
              <w:right w:val="single" w:color="auto" w:sz="8" w:space="0"/>
            </w:tcBorders>
            <w:tcMar>
              <w:top w:w="0" w:type="dxa"/>
              <w:left w:w="108" w:type="dxa"/>
              <w:bottom w:w="0" w:type="dxa"/>
              <w:right w:w="108" w:type="dxa"/>
            </w:tcMar>
          </w:tcPr>
          <w:p w14:paraId="230D2419">
            <w:pPr>
              <w:snapToGrid w:val="0"/>
              <w:jc w:val="center"/>
              <w:rPr>
                <w:rFonts w:ascii="仿宋" w:hAnsi="仿宋" w:eastAsia="仿宋" w:cs="Times New Roman"/>
                <w:b/>
                <w:color w:val="000000"/>
                <w:sz w:val="24"/>
                <w14:ligatures w14:val="standardContextual"/>
              </w:rPr>
            </w:pPr>
            <w:r>
              <w:rPr>
                <w:rFonts w:hint="eastAsia" w:ascii="仿宋" w:hAnsi="仿宋" w:eastAsia="仿宋" w:cs="Times New Roman"/>
                <w:b/>
                <w:color w:val="000000"/>
                <w:sz w:val="24"/>
                <w14:ligatures w14:val="standardContextual"/>
              </w:rPr>
              <w:t>阶段目标和考核指标</w:t>
            </w:r>
          </w:p>
        </w:tc>
      </w:tr>
      <w:tr w14:paraId="79BD0576">
        <w:trPr>
          <w:jc w:val="center"/>
        </w:trPr>
        <w:tc>
          <w:tcPr>
            <w:tcW w:w="846"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79DB005B">
            <w:pPr>
              <w:snapToGrid w:val="0"/>
              <w:jc w:val="center"/>
              <w:rPr>
                <w:rFonts w:ascii="仿宋" w:hAnsi="仿宋" w:eastAsia="仿宋" w:cs="Times New Roman"/>
                <w:color w:val="000000"/>
                <w:sz w:val="24"/>
                <w14:ligatures w14:val="standardContextual"/>
              </w:rPr>
            </w:pPr>
            <w:r>
              <w:rPr>
                <w:rFonts w:hint="eastAsia" w:ascii="仿宋" w:hAnsi="仿宋" w:eastAsia="仿宋" w:cs="Times New Roman"/>
                <w:color w:val="000000"/>
                <w:sz w:val="24"/>
                <w14:ligatures w14:val="standardContextual"/>
              </w:rPr>
              <w:t>1</w:t>
            </w:r>
          </w:p>
        </w:tc>
        <w:tc>
          <w:tcPr>
            <w:tcW w:w="1838" w:type="dxa"/>
            <w:tcBorders>
              <w:top w:val="nil"/>
              <w:left w:val="nil"/>
              <w:bottom w:val="single" w:color="auto" w:sz="8" w:space="0"/>
              <w:right w:val="single" w:color="auto" w:sz="8" w:space="0"/>
            </w:tcBorders>
            <w:tcMar>
              <w:top w:w="0" w:type="dxa"/>
              <w:left w:w="108" w:type="dxa"/>
              <w:bottom w:w="0" w:type="dxa"/>
              <w:right w:w="108" w:type="dxa"/>
            </w:tcMar>
          </w:tcPr>
          <w:p w14:paraId="61A98BE2">
            <w:pPr>
              <w:snapToGrid w:val="0"/>
              <w:jc w:val="center"/>
              <w:rPr>
                <w:rFonts w:ascii="仿宋" w:hAnsi="仿宋" w:eastAsia="仿宋" w:cs="Times New Roman"/>
                <w:color w:val="000000"/>
                <w:sz w:val="24"/>
                <w14:ligatures w14:val="standardContextual"/>
              </w:rPr>
            </w:pPr>
            <w:r>
              <w:rPr>
                <w:rFonts w:hint="eastAsia" w:ascii="仿宋" w:hAnsi="仿宋" w:eastAsia="仿宋" w:cs="Times New Roman"/>
                <w:color w:val="000000"/>
                <w:sz w:val="24"/>
                <w14:ligatures w14:val="standardContextual"/>
              </w:rPr>
              <w:t>2025年3月</w:t>
            </w:r>
          </w:p>
        </w:tc>
        <w:tc>
          <w:tcPr>
            <w:tcW w:w="5811" w:type="dxa"/>
            <w:tcBorders>
              <w:top w:val="nil"/>
              <w:left w:val="nil"/>
              <w:bottom w:val="single" w:color="auto" w:sz="8" w:space="0"/>
              <w:right w:val="single" w:color="auto" w:sz="8" w:space="0"/>
            </w:tcBorders>
            <w:tcMar>
              <w:top w:w="0" w:type="dxa"/>
              <w:left w:w="108" w:type="dxa"/>
              <w:bottom w:w="0" w:type="dxa"/>
              <w:right w:w="108" w:type="dxa"/>
            </w:tcMar>
            <w:vAlign w:val="center"/>
          </w:tcPr>
          <w:p w14:paraId="40683B70">
            <w:pPr>
              <w:widowControl/>
              <w:snapToGrid w:val="0"/>
              <w:ind w:firstLine="456" w:firstLineChars="200"/>
              <w:rPr>
                <w:rFonts w:ascii="仿宋" w:hAnsi="仿宋" w:eastAsia="仿宋" w:cs="Times New Roman"/>
                <w:color w:val="000000"/>
                <w:sz w:val="24"/>
                <w14:ligatures w14:val="standardContextual"/>
              </w:rPr>
            </w:pPr>
            <w:r>
              <w:rPr>
                <w:rFonts w:hint="eastAsia" w:ascii="仿宋" w:hAnsi="仿宋" w:eastAsia="仿宋" w:cs="Times New Roman"/>
                <w:spacing w:val="-6"/>
                <w:sz w:val="24"/>
                <w:szCs w:val="28"/>
                <w14:ligatures w14:val="standardContextual"/>
              </w:rPr>
              <w:t>完成网络架构设计和需求定义，输出多维度无线网络资源感知与无线信息中心网络赋能</w:t>
            </w:r>
            <w:r>
              <w:rPr>
                <w:rFonts w:ascii="仿宋" w:hAnsi="仿宋" w:eastAsia="仿宋" w:cs="Times New Roman"/>
                <w:spacing w:val="-6"/>
                <w:sz w:val="24"/>
                <w:szCs w:val="28"/>
                <w14:ligatures w14:val="standardContextual"/>
              </w:rPr>
              <w:t>AI研究报告1份；完成基于无线信息中心网络的环境信息、频谱资源、算力资源等多维度无线网络资源的智能感知机制设计，输出研究报告1份。</w:t>
            </w:r>
          </w:p>
        </w:tc>
      </w:tr>
      <w:tr w14:paraId="753BE664">
        <w:trPr>
          <w:jc w:val="center"/>
        </w:trPr>
        <w:tc>
          <w:tcPr>
            <w:tcW w:w="846"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63876E89">
            <w:pPr>
              <w:snapToGrid w:val="0"/>
              <w:jc w:val="center"/>
              <w:rPr>
                <w:rFonts w:ascii="仿宋" w:hAnsi="仿宋" w:eastAsia="仿宋" w:cs="Times New Roman"/>
                <w:color w:val="000000"/>
                <w:sz w:val="24"/>
                <w14:ligatures w14:val="standardContextual"/>
              </w:rPr>
            </w:pPr>
            <w:r>
              <w:rPr>
                <w:rFonts w:hint="eastAsia" w:ascii="仿宋" w:hAnsi="仿宋" w:eastAsia="仿宋" w:cs="Times New Roman"/>
                <w:color w:val="000000"/>
                <w:sz w:val="24"/>
                <w14:ligatures w14:val="standardContextual"/>
              </w:rPr>
              <w:t>2</w:t>
            </w:r>
          </w:p>
        </w:tc>
        <w:tc>
          <w:tcPr>
            <w:tcW w:w="1838" w:type="dxa"/>
            <w:tcBorders>
              <w:top w:val="nil"/>
              <w:left w:val="nil"/>
              <w:bottom w:val="single" w:color="auto" w:sz="8" w:space="0"/>
              <w:right w:val="single" w:color="auto" w:sz="8" w:space="0"/>
            </w:tcBorders>
            <w:tcMar>
              <w:top w:w="0" w:type="dxa"/>
              <w:left w:w="108" w:type="dxa"/>
              <w:bottom w:w="0" w:type="dxa"/>
              <w:right w:w="108" w:type="dxa"/>
            </w:tcMar>
          </w:tcPr>
          <w:p w14:paraId="5DA8628C">
            <w:pPr>
              <w:snapToGrid w:val="0"/>
              <w:jc w:val="center"/>
              <w:rPr>
                <w:rFonts w:ascii="仿宋" w:hAnsi="仿宋" w:eastAsia="仿宋" w:cs="Times New Roman"/>
                <w:color w:val="000000"/>
                <w:sz w:val="24"/>
                <w14:ligatures w14:val="standardContextual"/>
              </w:rPr>
            </w:pPr>
            <w:r>
              <w:rPr>
                <w:rFonts w:hint="eastAsia" w:ascii="仿宋" w:hAnsi="仿宋" w:eastAsia="仿宋" w:cs="Times New Roman"/>
                <w:color w:val="000000"/>
                <w:sz w:val="24"/>
                <w14:ligatures w14:val="standardContextual"/>
              </w:rPr>
              <w:t>2025年9月</w:t>
            </w:r>
          </w:p>
        </w:tc>
        <w:tc>
          <w:tcPr>
            <w:tcW w:w="5811" w:type="dxa"/>
            <w:tcBorders>
              <w:top w:val="nil"/>
              <w:left w:val="nil"/>
              <w:bottom w:val="single" w:color="auto" w:sz="8" w:space="0"/>
              <w:right w:val="single" w:color="auto" w:sz="8" w:space="0"/>
            </w:tcBorders>
            <w:tcMar>
              <w:top w:w="0" w:type="dxa"/>
              <w:left w:w="108" w:type="dxa"/>
              <w:bottom w:w="0" w:type="dxa"/>
              <w:right w:w="108" w:type="dxa"/>
            </w:tcMar>
            <w:vAlign w:val="center"/>
          </w:tcPr>
          <w:p w14:paraId="1FD97A77">
            <w:pPr>
              <w:widowControl/>
              <w:snapToGrid w:val="0"/>
              <w:ind w:firstLine="456" w:firstLineChars="200"/>
              <w:rPr>
                <w:rFonts w:ascii="仿宋" w:hAnsi="仿宋" w:eastAsia="仿宋" w:cs="Times New Roman"/>
                <w:spacing w:val="-6"/>
                <w:sz w:val="24"/>
                <w:szCs w:val="28"/>
                <w14:ligatures w14:val="standardContextual"/>
              </w:rPr>
            </w:pPr>
            <w:r>
              <w:rPr>
                <w:rFonts w:hint="eastAsia" w:ascii="仿宋" w:hAnsi="仿宋" w:eastAsia="仿宋" w:cs="Times New Roman"/>
                <w:spacing w:val="-6"/>
                <w:sz w:val="24"/>
                <w:szCs w:val="28"/>
                <w14:ligatures w14:val="standardContextual"/>
              </w:rPr>
              <w:t>完成以信息为中心的分布式边缘缓存、异构多连接、泛在算力效能优化关键技术研究，完成网络系统的仿真验证，较</w:t>
            </w:r>
            <w:r>
              <w:rPr>
                <w:rFonts w:ascii="仿宋" w:hAnsi="仿宋" w:eastAsia="仿宋" w:cs="Times New Roman"/>
                <w:spacing w:val="-6"/>
                <w:sz w:val="24"/>
                <w:szCs w:val="28"/>
                <w14:ligatures w14:val="standardContextual"/>
              </w:rPr>
              <w:t>5G系统提升网络边缘算力的利用率25%以上。牵头提交标准化提案1项。</w:t>
            </w:r>
          </w:p>
        </w:tc>
      </w:tr>
      <w:tr w14:paraId="7AE0C0F5">
        <w:trPr>
          <w:jc w:val="center"/>
        </w:trPr>
        <w:tc>
          <w:tcPr>
            <w:tcW w:w="846"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16028F41">
            <w:pPr>
              <w:snapToGrid w:val="0"/>
              <w:jc w:val="center"/>
              <w:rPr>
                <w:rFonts w:ascii="仿宋" w:hAnsi="仿宋" w:eastAsia="仿宋" w:cs="Times New Roman"/>
                <w:color w:val="000000"/>
                <w:sz w:val="24"/>
                <w14:ligatures w14:val="standardContextual"/>
              </w:rPr>
            </w:pPr>
            <w:r>
              <w:rPr>
                <w:rFonts w:hint="eastAsia" w:ascii="仿宋" w:hAnsi="仿宋" w:eastAsia="仿宋" w:cs="Times New Roman"/>
                <w:color w:val="000000"/>
                <w:sz w:val="24"/>
                <w14:ligatures w14:val="standardContextual"/>
              </w:rPr>
              <w:t>3</w:t>
            </w:r>
          </w:p>
        </w:tc>
        <w:tc>
          <w:tcPr>
            <w:tcW w:w="1838" w:type="dxa"/>
            <w:tcBorders>
              <w:top w:val="nil"/>
              <w:left w:val="nil"/>
              <w:bottom w:val="single" w:color="auto" w:sz="8" w:space="0"/>
              <w:right w:val="single" w:color="auto" w:sz="8" w:space="0"/>
            </w:tcBorders>
            <w:tcMar>
              <w:top w:w="0" w:type="dxa"/>
              <w:left w:w="108" w:type="dxa"/>
              <w:bottom w:w="0" w:type="dxa"/>
              <w:right w:w="108" w:type="dxa"/>
            </w:tcMar>
          </w:tcPr>
          <w:p w14:paraId="7B3E6D14">
            <w:pPr>
              <w:snapToGrid w:val="0"/>
              <w:jc w:val="center"/>
              <w:rPr>
                <w:rFonts w:ascii="仿宋" w:hAnsi="仿宋" w:eastAsia="仿宋" w:cs="Times New Roman"/>
                <w:color w:val="000000"/>
                <w:sz w:val="24"/>
                <w14:ligatures w14:val="standardContextual"/>
              </w:rPr>
            </w:pPr>
            <w:r>
              <w:rPr>
                <w:rFonts w:hint="eastAsia" w:ascii="仿宋" w:hAnsi="仿宋" w:eastAsia="仿宋" w:cs="Times New Roman"/>
                <w:color w:val="000000"/>
                <w:sz w:val="24"/>
                <w14:ligatures w14:val="standardContextual"/>
              </w:rPr>
              <w:t>2026年3月</w:t>
            </w:r>
          </w:p>
        </w:tc>
        <w:tc>
          <w:tcPr>
            <w:tcW w:w="5811" w:type="dxa"/>
            <w:tcBorders>
              <w:top w:val="nil"/>
              <w:left w:val="nil"/>
              <w:bottom w:val="single" w:color="auto" w:sz="8" w:space="0"/>
              <w:right w:val="single" w:color="auto" w:sz="8" w:space="0"/>
            </w:tcBorders>
            <w:tcMar>
              <w:top w:w="0" w:type="dxa"/>
              <w:left w:w="108" w:type="dxa"/>
              <w:bottom w:w="0" w:type="dxa"/>
              <w:right w:w="108" w:type="dxa"/>
            </w:tcMar>
            <w:vAlign w:val="center"/>
          </w:tcPr>
          <w:p w14:paraId="24EB8883">
            <w:pPr>
              <w:widowControl/>
              <w:snapToGrid w:val="0"/>
              <w:ind w:firstLine="456" w:firstLineChars="200"/>
              <w:rPr>
                <w:rFonts w:ascii="仿宋" w:hAnsi="仿宋" w:eastAsia="仿宋" w:cs="Times New Roman"/>
                <w:spacing w:val="-6"/>
                <w:sz w:val="24"/>
                <w:szCs w:val="28"/>
                <w14:ligatures w14:val="standardContextual"/>
              </w:rPr>
            </w:pPr>
            <w:r>
              <w:rPr>
                <w:rFonts w:hint="eastAsia" w:ascii="仿宋" w:hAnsi="仿宋" w:eastAsia="仿宋" w:cs="Times New Roman"/>
                <w:spacing w:val="-6"/>
                <w:sz w:val="24"/>
                <w:szCs w:val="28"/>
                <w14:ligatures w14:val="standardContextual"/>
              </w:rPr>
              <w:t>完成无线信息中心网络赋能</w:t>
            </w:r>
            <w:r>
              <w:rPr>
                <w:rFonts w:ascii="仿宋" w:hAnsi="仿宋" w:eastAsia="仿宋" w:cs="Times New Roman"/>
                <w:spacing w:val="-6"/>
                <w:sz w:val="24"/>
                <w:szCs w:val="28"/>
                <w14:ligatures w14:val="standardContextual"/>
              </w:rPr>
              <w:t>AI的原型系统的软硬件开发，开展分布式AI训练与推理、模型验证与部署等原型验证，输出设计文档与系统性能报告。牵头提交标准化提案1项。</w:t>
            </w:r>
          </w:p>
        </w:tc>
      </w:tr>
      <w:tr w14:paraId="55B9138B">
        <w:trPr>
          <w:jc w:val="center"/>
        </w:trPr>
        <w:tc>
          <w:tcPr>
            <w:tcW w:w="846"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1B578020">
            <w:pPr>
              <w:snapToGrid w:val="0"/>
              <w:jc w:val="center"/>
              <w:rPr>
                <w:rFonts w:ascii="仿宋" w:hAnsi="仿宋" w:eastAsia="仿宋" w:cs="Times New Roman"/>
                <w:color w:val="000000"/>
                <w:sz w:val="24"/>
                <w14:ligatures w14:val="standardContextual"/>
              </w:rPr>
            </w:pPr>
            <w:r>
              <w:rPr>
                <w:rFonts w:hint="eastAsia" w:ascii="仿宋" w:hAnsi="仿宋" w:eastAsia="仿宋" w:cs="Times New Roman"/>
                <w:color w:val="000000"/>
                <w:sz w:val="24"/>
                <w14:ligatures w14:val="standardContextual"/>
              </w:rPr>
              <w:t>4</w:t>
            </w:r>
          </w:p>
        </w:tc>
        <w:tc>
          <w:tcPr>
            <w:tcW w:w="1838" w:type="dxa"/>
            <w:tcBorders>
              <w:top w:val="nil"/>
              <w:left w:val="nil"/>
              <w:bottom w:val="single" w:color="auto" w:sz="8" w:space="0"/>
              <w:right w:val="single" w:color="auto" w:sz="8" w:space="0"/>
            </w:tcBorders>
            <w:tcMar>
              <w:top w:w="0" w:type="dxa"/>
              <w:left w:w="108" w:type="dxa"/>
              <w:bottom w:w="0" w:type="dxa"/>
              <w:right w:w="108" w:type="dxa"/>
            </w:tcMar>
          </w:tcPr>
          <w:p w14:paraId="06DB0EB1">
            <w:pPr>
              <w:snapToGrid w:val="0"/>
              <w:jc w:val="center"/>
              <w:rPr>
                <w:rFonts w:ascii="仿宋" w:hAnsi="仿宋" w:eastAsia="仿宋" w:cs="Times New Roman"/>
                <w:color w:val="000000"/>
                <w:sz w:val="24"/>
                <w14:ligatures w14:val="standardContextual"/>
              </w:rPr>
            </w:pPr>
            <w:r>
              <w:rPr>
                <w:rFonts w:hint="eastAsia" w:ascii="仿宋" w:hAnsi="仿宋" w:eastAsia="仿宋" w:cs="Times New Roman"/>
                <w:color w:val="000000"/>
                <w:sz w:val="24"/>
                <w14:ligatures w14:val="standardContextual"/>
              </w:rPr>
              <w:t>2026年9月</w:t>
            </w:r>
          </w:p>
        </w:tc>
        <w:tc>
          <w:tcPr>
            <w:tcW w:w="5811" w:type="dxa"/>
            <w:tcBorders>
              <w:top w:val="nil"/>
              <w:left w:val="nil"/>
              <w:bottom w:val="single" w:color="auto" w:sz="8" w:space="0"/>
              <w:right w:val="single" w:color="auto" w:sz="8" w:space="0"/>
            </w:tcBorders>
            <w:tcMar>
              <w:top w:w="0" w:type="dxa"/>
              <w:left w:w="108" w:type="dxa"/>
              <w:bottom w:w="0" w:type="dxa"/>
              <w:right w:w="108" w:type="dxa"/>
            </w:tcMar>
            <w:vAlign w:val="center"/>
          </w:tcPr>
          <w:p w14:paraId="1CCF3F38">
            <w:pPr>
              <w:widowControl/>
              <w:snapToGrid w:val="0"/>
              <w:ind w:firstLine="456" w:firstLineChars="200"/>
              <w:rPr>
                <w:rFonts w:ascii="仿宋" w:hAnsi="仿宋" w:eastAsia="仿宋" w:cs="Times New Roman"/>
                <w:spacing w:val="-6"/>
                <w:sz w:val="24"/>
                <w:szCs w:val="28"/>
                <w14:ligatures w14:val="standardContextual"/>
              </w:rPr>
            </w:pPr>
            <w:r>
              <w:rPr>
                <w:rFonts w:hint="eastAsia" w:ascii="仿宋" w:hAnsi="仿宋" w:eastAsia="仿宋" w:cs="Times New Roman"/>
                <w:spacing w:val="-6"/>
                <w:sz w:val="24"/>
                <w:szCs w:val="28"/>
                <w14:ligatures w14:val="standardContextual"/>
              </w:rPr>
              <w:t>原型系统与算法集成调试调优，满足项目整体技术考核指标要求。牵头在</w:t>
            </w:r>
            <w:r>
              <w:rPr>
                <w:rFonts w:ascii="仿宋" w:hAnsi="仿宋" w:eastAsia="仿宋" w:cs="Times New Roman"/>
                <w:spacing w:val="-6"/>
                <w:sz w:val="24"/>
                <w:szCs w:val="28"/>
                <w14:ligatures w14:val="standardContextual"/>
              </w:rPr>
              <w:t>ITU、IMT-2030等国内外标准化组织完成相关标准立项。</w:t>
            </w:r>
          </w:p>
        </w:tc>
      </w:tr>
    </w:tbl>
    <w:p w14:paraId="382FB149">
      <w:pPr>
        <w:spacing w:line="560" w:lineRule="exact"/>
        <w:jc w:val="left"/>
        <w:rPr>
          <w:rFonts w:ascii="等线" w:hAnsi="等线" w:eastAsia="等线" w:cs="Times New Roman"/>
          <w14:ligatures w14:val="standardContextual"/>
        </w:rPr>
      </w:pPr>
    </w:p>
    <w:p w14:paraId="2608E65F">
      <w:pPr>
        <w:spacing w:line="560" w:lineRule="exact"/>
        <w:ind w:firstLine="646" w:firstLineChars="202"/>
        <w:jc w:val="left"/>
        <w:rPr>
          <w:rFonts w:ascii="仿宋_GB2312" w:hAnsi="仿宋_GB2312" w:eastAsia="仿宋_GB2312" w:cs="仿宋_GB2312"/>
          <w:sz w:val="32"/>
          <w:szCs w:val="32"/>
        </w:rPr>
      </w:pPr>
    </w:p>
    <w:p w14:paraId="572FE9AB">
      <w:pPr>
        <w:pStyle w:val="2"/>
        <w:numPr>
          <w:ilvl w:val="0"/>
          <w:numId w:val="1"/>
        </w:numPr>
        <w:spacing w:line="560" w:lineRule="exact"/>
        <w:ind w:firstLineChars="0"/>
        <w:rPr>
          <w:rFonts w:ascii="仿宋_GB2312" w:hAnsi="仿宋_GB2312" w:eastAsia="仿宋_GB2312" w:cs="仿宋_GB2312"/>
          <w:szCs w:val="32"/>
        </w:rPr>
      </w:pPr>
      <w:r>
        <w:rPr>
          <w:rFonts w:hint="eastAsia" w:ascii="仿宋_GB2312" w:hAnsi="仿宋_GB2312" w:eastAsia="仿宋_GB2312" w:cs="仿宋_GB2312"/>
          <w:szCs w:val="32"/>
        </w:rPr>
        <w:t>工作条件和环境保障</w:t>
      </w:r>
    </w:p>
    <w:p w14:paraId="4D42179F">
      <w:pPr>
        <w:spacing w:line="560" w:lineRule="exact"/>
        <w:ind w:firstLine="622" w:firstLineChars="202"/>
        <w:jc w:val="left"/>
        <w:rPr>
          <w:rFonts w:ascii="仿宋_GB2312" w:hAnsi="仿宋_GB2312" w:eastAsia="仿宋_GB2312" w:cs="仿宋_GB2312"/>
          <w:spacing w:val="-6"/>
          <w:sz w:val="32"/>
          <w:szCs w:val="32"/>
        </w:rPr>
      </w:pPr>
      <w:r>
        <w:rPr>
          <w:rFonts w:hint="eastAsia" w:ascii="仿宋_GB2312" w:hAnsi="仿宋_GB2312" w:eastAsia="仿宋_GB2312" w:cs="仿宋_GB2312"/>
          <w:spacing w:val="-6"/>
          <w:sz w:val="32"/>
          <w:szCs w:val="32"/>
        </w:rPr>
        <w:t>（简述项目负责人及主要团队成员在项目中承担的任务、参与程度，介绍团队主要人员的情况、技术优势，项目申请单位情况、资金保障条件，项目组织机制设计等。）</w:t>
      </w:r>
    </w:p>
    <w:p w14:paraId="076ED28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公文小标宋">
    <w:altName w:val="汉仪书宋二KW"/>
    <w:panose1 w:val="00000000000000000000"/>
    <w:charset w:val="86"/>
    <w:family w:val="auto"/>
    <w:pitch w:val="default"/>
    <w:sig w:usb0="00000000" w:usb1="00000000" w:usb2="00000016" w:usb3="00000000" w:csb0="00040001" w:csb1="00000000"/>
  </w:font>
  <w:font w:name="仿宋">
    <w:altName w:val="方正仿宋_GBK"/>
    <w:panose1 w:val="02010609060101010101"/>
    <w:charset w:val="86"/>
    <w:family w:val="modern"/>
    <w:pitch w:val="default"/>
    <w:sig w:usb0="00000000" w:usb1="00000000" w:usb2="00000016" w:usb3="00000000" w:csb0="00040001" w:csb1="00000000"/>
  </w:font>
  <w:font w:name="仿宋_GB2312">
    <w:altName w:val="方正仿宋_GBK"/>
    <w:panose1 w:val="00000000000000000000"/>
    <w:charset w:val="86"/>
    <w:family w:val="modern"/>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 w:name="等线">
    <w:altName w:val="汉仪中等线KW"/>
    <w:panose1 w:val="02010600030101010101"/>
    <w:charset w:val="86"/>
    <w:family w:val="auto"/>
    <w:pitch w:val="default"/>
    <w:sig w:usb0="00000000" w:usb1="00000000" w:usb2="00000016" w:usb3="00000000" w:csb0="0004000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37C861"/>
    <w:multiLevelType w:val="singleLevel"/>
    <w:tmpl w:val="F237C861"/>
    <w:lvl w:ilvl="0" w:tentative="0">
      <w:start w:val="1"/>
      <w:numFmt w:val="bullet"/>
      <w:lvlText w:val=""/>
      <w:lvlJc w:val="left"/>
      <w:pPr>
        <w:ind w:left="420" w:hanging="420"/>
      </w:pPr>
      <w:rPr>
        <w:rFonts w:hint="default" w:ascii="Wingdings" w:hAnsi="Wingdings"/>
      </w:rPr>
    </w:lvl>
  </w:abstractNum>
  <w:abstractNum w:abstractNumId="1">
    <w:nsid w:val="0239640C"/>
    <w:multiLevelType w:val="multilevel"/>
    <w:tmpl w:val="0239640C"/>
    <w:lvl w:ilvl="0" w:tentative="0">
      <w:start w:val="1"/>
      <w:numFmt w:val="decimal"/>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Y4ZTQyMzY5YmJjOWIwOTQ1OWUyYTU1NTk0NTM4MjkifQ=="/>
  </w:docVars>
  <w:rsids>
    <w:rsidRoot w:val="30A21D47"/>
    <w:rsid w:val="00131BF9"/>
    <w:rsid w:val="0022467A"/>
    <w:rsid w:val="002E4BDD"/>
    <w:rsid w:val="004E1BD6"/>
    <w:rsid w:val="00581997"/>
    <w:rsid w:val="006B0788"/>
    <w:rsid w:val="007755C8"/>
    <w:rsid w:val="00B23AFF"/>
    <w:rsid w:val="00BC4719"/>
    <w:rsid w:val="0FF74E89"/>
    <w:rsid w:val="17ED83AE"/>
    <w:rsid w:val="1DD86BEB"/>
    <w:rsid w:val="1FF77D21"/>
    <w:rsid w:val="2F3DE721"/>
    <w:rsid w:val="2F5DAB06"/>
    <w:rsid w:val="2F7E68EB"/>
    <w:rsid w:val="2FAE8CC2"/>
    <w:rsid w:val="2FAF46E4"/>
    <w:rsid w:val="30A21D47"/>
    <w:rsid w:val="34AF85FB"/>
    <w:rsid w:val="37D91CB2"/>
    <w:rsid w:val="37F77CC7"/>
    <w:rsid w:val="37FF3C46"/>
    <w:rsid w:val="38AE78BA"/>
    <w:rsid w:val="3FF3FF8B"/>
    <w:rsid w:val="45F796B5"/>
    <w:rsid w:val="4777B8F5"/>
    <w:rsid w:val="4D2E6271"/>
    <w:rsid w:val="4DFFF238"/>
    <w:rsid w:val="4F761998"/>
    <w:rsid w:val="4F9EE613"/>
    <w:rsid w:val="57774180"/>
    <w:rsid w:val="57BFE6DB"/>
    <w:rsid w:val="5AF16B77"/>
    <w:rsid w:val="5BEF6ACB"/>
    <w:rsid w:val="5BF9DE85"/>
    <w:rsid w:val="5DFE67E6"/>
    <w:rsid w:val="5F3A4801"/>
    <w:rsid w:val="632C1229"/>
    <w:rsid w:val="6D5E787F"/>
    <w:rsid w:val="6DD59415"/>
    <w:rsid w:val="6DF7E288"/>
    <w:rsid w:val="6E7DC47B"/>
    <w:rsid w:val="6FB7F397"/>
    <w:rsid w:val="6FCF3134"/>
    <w:rsid w:val="733F491E"/>
    <w:rsid w:val="73BF934A"/>
    <w:rsid w:val="73D7395E"/>
    <w:rsid w:val="73F7A756"/>
    <w:rsid w:val="73FE1F5A"/>
    <w:rsid w:val="73FF1F12"/>
    <w:rsid w:val="74B641BE"/>
    <w:rsid w:val="75AFBEC4"/>
    <w:rsid w:val="775F56C3"/>
    <w:rsid w:val="77725728"/>
    <w:rsid w:val="77BF9C95"/>
    <w:rsid w:val="77CFE8F2"/>
    <w:rsid w:val="77E9EB2B"/>
    <w:rsid w:val="77FBEF54"/>
    <w:rsid w:val="784F8D79"/>
    <w:rsid w:val="79EF7FC8"/>
    <w:rsid w:val="7B499FC8"/>
    <w:rsid w:val="7BDFB4B1"/>
    <w:rsid w:val="7BF448FF"/>
    <w:rsid w:val="7CBF441A"/>
    <w:rsid w:val="7D6FE738"/>
    <w:rsid w:val="7D97BDCF"/>
    <w:rsid w:val="7DFD4CB6"/>
    <w:rsid w:val="7DFECB36"/>
    <w:rsid w:val="7DFF4E62"/>
    <w:rsid w:val="7E8F7957"/>
    <w:rsid w:val="7EDF9EDF"/>
    <w:rsid w:val="7EEF5686"/>
    <w:rsid w:val="7F6F1B9F"/>
    <w:rsid w:val="7F8F10C2"/>
    <w:rsid w:val="7F9D2306"/>
    <w:rsid w:val="7FD9A28D"/>
    <w:rsid w:val="7FDB89A7"/>
    <w:rsid w:val="7FDBAC18"/>
    <w:rsid w:val="7FDF263D"/>
    <w:rsid w:val="7FDF6C74"/>
    <w:rsid w:val="7FE5F8A9"/>
    <w:rsid w:val="7FECADA1"/>
    <w:rsid w:val="7FF5C5C2"/>
    <w:rsid w:val="7FF79D41"/>
    <w:rsid w:val="7FFD7034"/>
    <w:rsid w:val="86EEDCE6"/>
    <w:rsid w:val="8EFB34D1"/>
    <w:rsid w:val="94E3EEEB"/>
    <w:rsid w:val="9767EDB7"/>
    <w:rsid w:val="97DE7B09"/>
    <w:rsid w:val="9DFBEB6E"/>
    <w:rsid w:val="A2C5D371"/>
    <w:rsid w:val="A2F7FE69"/>
    <w:rsid w:val="A753B418"/>
    <w:rsid w:val="A77FCC0A"/>
    <w:rsid w:val="ABFF9A0C"/>
    <w:rsid w:val="AEBB7E67"/>
    <w:rsid w:val="AFDEA6FE"/>
    <w:rsid w:val="B6FBE27D"/>
    <w:rsid w:val="B75B8043"/>
    <w:rsid w:val="BAD651A2"/>
    <w:rsid w:val="BB93ADA6"/>
    <w:rsid w:val="BBF772FE"/>
    <w:rsid w:val="BEF9A037"/>
    <w:rsid w:val="C9F9ABD2"/>
    <w:rsid w:val="CE6EB00B"/>
    <w:rsid w:val="CF87C429"/>
    <w:rsid w:val="D1FEE86B"/>
    <w:rsid w:val="D5F5DEA7"/>
    <w:rsid w:val="D7FD5566"/>
    <w:rsid w:val="D97DE4DA"/>
    <w:rsid w:val="DBC3B199"/>
    <w:rsid w:val="DBFE3A88"/>
    <w:rsid w:val="DF7D5697"/>
    <w:rsid w:val="DFEB2D24"/>
    <w:rsid w:val="E0DD5726"/>
    <w:rsid w:val="E5D60CA4"/>
    <w:rsid w:val="E7FF478A"/>
    <w:rsid w:val="E7FFD056"/>
    <w:rsid w:val="EE5A0801"/>
    <w:rsid w:val="EF0FAE04"/>
    <w:rsid w:val="EFE90A6A"/>
    <w:rsid w:val="F5EAC5C7"/>
    <w:rsid w:val="F7F31D0B"/>
    <w:rsid w:val="F93EF430"/>
    <w:rsid w:val="FB3FD724"/>
    <w:rsid w:val="FB743425"/>
    <w:rsid w:val="FBCEB2D8"/>
    <w:rsid w:val="FBD6634A"/>
    <w:rsid w:val="FBEE1FD1"/>
    <w:rsid w:val="FBFB1E01"/>
    <w:rsid w:val="FBFC5F5D"/>
    <w:rsid w:val="FBFFE40B"/>
    <w:rsid w:val="FCB31E4B"/>
    <w:rsid w:val="FCE9F17F"/>
    <w:rsid w:val="FD5D22A9"/>
    <w:rsid w:val="FDF58BF5"/>
    <w:rsid w:val="FDF9F92C"/>
    <w:rsid w:val="FE9F450E"/>
    <w:rsid w:val="FEDBBC36"/>
    <w:rsid w:val="FEFA32AC"/>
    <w:rsid w:val="FF3C5FE2"/>
    <w:rsid w:val="FF57D144"/>
    <w:rsid w:val="FFAA6227"/>
    <w:rsid w:val="FFB6E087"/>
    <w:rsid w:val="FFBFDD7F"/>
    <w:rsid w:val="FFEE0107"/>
    <w:rsid w:val="FFF90B5B"/>
    <w:rsid w:val="FFFDCA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line="520" w:lineRule="atLeast"/>
      <w:ind w:firstLine="200" w:firstLineChars="200"/>
      <w:outlineLvl w:val="0"/>
    </w:pPr>
    <w:rPr>
      <w:rFonts w:ascii="黑体" w:hAnsi="黑体" w:eastAsia="黑体"/>
      <w:sz w:val="32"/>
    </w:rPr>
  </w:style>
  <w:style w:type="paragraph" w:styleId="3">
    <w:name w:val="heading 2"/>
    <w:basedOn w:val="1"/>
    <w:next w:val="1"/>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780</Words>
  <Characters>4450</Characters>
  <Lines>37</Lines>
  <Paragraphs>10</Paragraphs>
  <TotalTime>57</TotalTime>
  <ScaleCrop>false</ScaleCrop>
  <LinksUpToDate>false</LinksUpToDate>
  <CharactersWithSpaces>5220</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2025-06-11T09:41:00Z</dcterms:created>
  <dc:creator>willow</dc:creator>
  <cp:lastModifiedBy>吴伯涛</cp:lastModifiedBy>
  <dcterms:modified xsi:type="dcterms:W3CDTF">2025-06-17T21:00:08Z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FE2B29E1006C4E7BB2023425DB2CCBB7_11</vt:lpwstr>
  </property>
  <property fmtid="{D5CDD505-2E9C-101B-9397-08002B2CF9AE}" pid="4" name="KSOTemplateDocerSaveRecord">
    <vt:lpwstr>eyJoZGlkIjoiZTYyYTdjNGRkYmU2YWRkNmUwZDdkNTA4MzMyZjc1YWIiLCJ1c2VySWQiOiIxMjExNzA4OTMwIn0=</vt:lpwstr>
  </property>
</Properties>
</file>