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F2148">
      <w:pPr>
        <w:pStyle w:val="3"/>
        <w:spacing w:before="120" w:after="0" w:line="360" w:lineRule="auto"/>
        <w:ind w:firstLine="640" w:firstLineChars="200"/>
        <w:rPr>
          <w:rFonts w:ascii="Times New Roman" w:hAnsi="Times New Roman" w:cs="Times New Roman"/>
        </w:rPr>
      </w:pPr>
      <w:r>
        <w:rPr>
          <w:rFonts w:ascii="Times New Roman" w:hAnsi="Times New Roman" w:cs="Times New Roman"/>
        </w:rPr>
        <w:t>项目分解</w:t>
      </w:r>
    </w:p>
    <w:p w14:paraId="3EEC802D">
      <w:pPr>
        <w:spacing w:line="360" w:lineRule="auto"/>
        <w:ind w:firstLine="560" w:firstLineChars="200"/>
        <w:rPr>
          <w:rFonts w:ascii="Times New Roman" w:hAnsi="Times New Roman" w:eastAsia="仿宋_GB2312" w:cs="Times New Roman"/>
        </w:rPr>
      </w:pPr>
      <w:r>
        <w:rPr>
          <w:rFonts w:ascii="Times New Roman" w:hAnsi="Times New Roman" w:eastAsia="仿宋_GB2312" w:cs="Times New Roman"/>
        </w:rPr>
        <w:t>根据项目目标要求和包含的基础性问题，本项目设立</w:t>
      </w:r>
      <w:bookmarkStart w:id="0" w:name="课题数量"/>
      <w:r>
        <w:rPr>
          <w:rFonts w:ascii="Times New Roman" w:hAnsi="Times New Roman" w:eastAsia="仿宋_GB2312" w:cs="Times New Roman"/>
          <w:i/>
          <w:iCs/>
        </w:rPr>
        <w:t>4</w:t>
      </w:r>
      <w:bookmarkEnd w:id="0"/>
      <w:r>
        <w:rPr>
          <w:rFonts w:ascii="Times New Roman" w:hAnsi="Times New Roman" w:eastAsia="仿宋_GB2312" w:cs="Times New Roman"/>
        </w:rPr>
        <w:t>个课题：</w:t>
      </w:r>
    </w:p>
    <w:p w14:paraId="11FE20F5">
      <w:pPr>
        <w:ind w:firstLine="560" w:firstLineChars="200"/>
        <w:rPr>
          <w:rFonts w:eastAsia="仿宋_GB2312"/>
          <w:i/>
        </w:rPr>
      </w:pPr>
      <w:r>
        <w:rPr>
          <w:rFonts w:hint="eastAsia" w:eastAsia="仿宋_GB2312"/>
          <w:i/>
          <w:szCs w:val="32"/>
        </w:rPr>
        <w:t>(围绕如何全面、有效实现项目目标，进行项目分解，</w:t>
      </w:r>
      <w:r>
        <w:rPr>
          <w:rFonts w:hint="eastAsia" w:eastAsia="仿宋_GB2312"/>
          <w:i/>
        </w:rPr>
        <w:t>明确每个课题的密级，并简述研究内容；申报单位</w:t>
      </w:r>
      <w:r>
        <w:rPr>
          <w:rFonts w:hint="eastAsia" w:eastAsia="仿宋_GB2312"/>
          <w:i/>
          <w:szCs w:val="32"/>
        </w:rPr>
        <w:t>承担的课题数</w:t>
      </w:r>
      <w:r>
        <w:rPr>
          <w:rFonts w:eastAsia="仿宋_GB2312"/>
          <w:i/>
          <w:szCs w:val="32"/>
        </w:rPr>
        <w:t>一般</w:t>
      </w:r>
      <w:r>
        <w:rPr>
          <w:rFonts w:hint="eastAsia" w:eastAsia="仿宋_GB2312"/>
          <w:i/>
          <w:szCs w:val="32"/>
        </w:rPr>
        <w:t>不超过课题总数的三分之二</w:t>
      </w:r>
      <w:r>
        <w:rPr>
          <w:rFonts w:hint="eastAsia" w:eastAsia="仿宋_GB2312"/>
          <w:i/>
        </w:rPr>
        <w:t>)。</w:t>
      </w:r>
    </w:p>
    <w:p w14:paraId="60FCA0E5">
      <w:pPr>
        <w:ind w:firstLine="560" w:firstLineChars="200"/>
        <w:rPr>
          <w:rFonts w:eastAsia="仿宋_GB2312"/>
        </w:rPr>
      </w:pPr>
      <w:r>
        <w:rPr>
          <w:rFonts w:hint="eastAsia" w:eastAsia="仿宋_GB2312"/>
        </w:rPr>
        <w:t>基础性问题与课题之间的关系如下图所示，其中</w:t>
      </w:r>
      <w:r>
        <w:rPr>
          <w:rFonts w:eastAsia="仿宋_GB2312"/>
        </w:rPr>
        <w:t>…</w:t>
      </w:r>
      <w:r>
        <w:rPr>
          <w:rFonts w:hint="eastAsia" w:eastAsia="仿宋_GB2312"/>
          <w:i/>
        </w:rPr>
        <w:t>（简要叙述基础性问题与课题之间的关系，500字以内，可用图表示）</w:t>
      </w:r>
    </w:p>
    <w:p w14:paraId="56B5518C">
      <w:pPr>
        <w:ind w:firstLine="560" w:firstLineChars="200"/>
        <w:rPr>
          <w:rFonts w:eastAsia="仿宋_GB2312"/>
        </w:rPr>
      </w:pPr>
    </w:p>
    <w:p w14:paraId="05065855">
      <w:pPr>
        <w:ind w:firstLine="560" w:firstLineChars="200"/>
        <w:rPr>
          <w:rFonts w:eastAsia="仿宋_GB2312"/>
          <w:i/>
          <w:szCs w:val="32"/>
        </w:rPr>
      </w:pPr>
      <w:r>
        <w:rPr>
          <w:rFonts w:hint="eastAsia" w:eastAsia="仿宋_GB2312"/>
        </w:rPr>
        <w:t>各课题之间的关系是</w:t>
      </w:r>
      <w:r>
        <w:rPr>
          <w:rFonts w:eastAsia="仿宋_GB2312"/>
        </w:rPr>
        <w:t>…</w:t>
      </w:r>
      <w:r>
        <w:rPr>
          <w:rFonts w:hint="eastAsia" w:eastAsia="仿宋_GB2312"/>
          <w:i/>
        </w:rPr>
        <w:t>（简要叙述课题之间的关系，500字以内，可用图表示）</w:t>
      </w:r>
    </w:p>
    <w:p w14:paraId="5F775AA4">
      <w:pPr>
        <w:pStyle w:val="2"/>
      </w:pPr>
    </w:p>
    <w:p w14:paraId="00DD3467">
      <w:pPr>
        <w:pStyle w:val="4"/>
        <w:ind w:firstLine="640"/>
      </w:pPr>
      <w:bookmarkStart w:id="1" w:name="_Toc192928698"/>
      <w:r>
        <w:t>课题1:</w:t>
      </w:r>
      <w:r>
        <w:rPr>
          <w:rFonts w:hint="eastAsia"/>
        </w:rPr>
        <w:t xml:space="preserve"> </w:t>
      </w:r>
      <w:r>
        <w:rPr>
          <w:i/>
          <w:iCs/>
        </w:rPr>
        <w:t>低功耗全频段超宽带近场信号敏捷侦收架构设计</w:t>
      </w:r>
      <w:bookmarkEnd w:id="1"/>
    </w:p>
    <w:p w14:paraId="412FF955">
      <w:pPr>
        <w:pStyle w:val="5"/>
        <w:ind w:firstLine="640"/>
        <w:rPr>
          <w:sz w:val="28"/>
          <w:szCs w:val="28"/>
        </w:rPr>
      </w:pPr>
      <w:bookmarkStart w:id="2" w:name="课题详细_1"/>
      <w:bookmarkEnd w:id="2"/>
      <w:bookmarkStart w:id="3" w:name="_Toc256000008"/>
      <w:bookmarkStart w:id="4" w:name="_Toc192928699"/>
      <w:r>
        <w:rPr>
          <w:sz w:val="28"/>
          <w:szCs w:val="28"/>
        </w:rPr>
        <w:t>.研究目标</w:t>
      </w:r>
      <w:bookmarkEnd w:id="3"/>
      <w:bookmarkEnd w:id="4"/>
    </w:p>
    <w:p w14:paraId="687D0845">
      <w:pPr>
        <w:adjustRightInd w:val="0"/>
        <w:snapToGrid w:val="0"/>
        <w:ind w:firstLine="560" w:firstLineChars="200"/>
        <w:rPr>
          <w:rFonts w:ascii="Times New Roman" w:hAnsi="Times New Roman" w:eastAsia="仿宋_GB2312" w:cs="Times New Roman"/>
        </w:rPr>
      </w:pPr>
      <w:r>
        <w:rPr>
          <w:rFonts w:hint="eastAsia" w:ascii="Times New Roman" w:hAnsi="Times New Roman" w:eastAsia="仿宋_GB2312" w:cs="Times New Roman"/>
        </w:rPr>
        <w:t>……</w:t>
      </w:r>
    </w:p>
    <w:p w14:paraId="1FB334EE">
      <w:pPr>
        <w:pStyle w:val="5"/>
        <w:ind w:firstLine="640"/>
        <w:rPr>
          <w:sz w:val="28"/>
          <w:szCs w:val="28"/>
        </w:rPr>
      </w:pPr>
      <w:bookmarkStart w:id="5" w:name="课题详细_1_1"/>
      <w:bookmarkEnd w:id="5"/>
      <w:bookmarkStart w:id="6" w:name="_Toc256000009"/>
      <w:bookmarkStart w:id="7" w:name="_Toc192928700"/>
      <w:r>
        <w:rPr>
          <w:sz w:val="28"/>
          <w:szCs w:val="28"/>
        </w:rPr>
        <w:t>.研究内容</w:t>
      </w:r>
      <w:bookmarkEnd w:id="6"/>
      <w:bookmarkEnd w:id="7"/>
    </w:p>
    <w:p w14:paraId="39025D96">
      <w:pPr>
        <w:widowControl/>
        <w:spacing w:line="420" w:lineRule="exact"/>
        <w:ind w:firstLine="480"/>
        <w:jc w:val="left"/>
        <w:rPr>
          <w:rFonts w:ascii="Times New Roman" w:hAnsi="Times New Roman" w:eastAsia="仿宋_GB2312" w:cs="Times New Roman"/>
          <w:kern w:val="0"/>
        </w:rPr>
      </w:pPr>
      <w:r>
        <w:rPr>
          <w:rFonts w:hint="eastAsia" w:ascii="Times New Roman" w:hAnsi="Times New Roman" w:eastAsia="仿宋_GB2312" w:cs="Times New Roman"/>
          <w:kern w:val="0"/>
        </w:rPr>
        <w:t>……</w:t>
      </w:r>
      <w:r>
        <w:rPr>
          <w:rFonts w:ascii="Times New Roman" w:hAnsi="Times New Roman" w:eastAsia="仿宋_GB2312" w:cs="Times New Roman"/>
          <w:kern w:val="0"/>
        </w:rPr>
        <w:t>a)</w:t>
      </w:r>
      <w:r>
        <w:rPr>
          <w:rFonts w:ascii="Times New Roman" w:hAnsi="Times New Roman" w:eastAsia="仿宋_GB2312" w:cs="Times New Roman"/>
          <w:kern w:val="0"/>
        </w:rPr>
        <w:tab/>
      </w:r>
      <w:r>
        <w:rPr>
          <w:rFonts w:ascii="Times New Roman" w:hAnsi="Times New Roman" w:eastAsia="仿宋_GB2312" w:cs="Times New Roman"/>
          <w:kern w:val="0"/>
        </w:rPr>
        <w:t>全频段超宽带小型化接收天线及微波射频模块设计</w:t>
      </w:r>
    </w:p>
    <w:p w14:paraId="2ACD1624">
      <w:pPr>
        <w:widowControl/>
        <w:spacing w:line="420" w:lineRule="exact"/>
        <w:ind w:firstLine="480"/>
        <w:jc w:val="left"/>
        <w:rPr>
          <w:rFonts w:ascii="Times New Roman" w:hAnsi="Times New Roman" w:eastAsia="仿宋_GB2312" w:cs="Times New Roman"/>
          <w:kern w:val="0"/>
        </w:rPr>
      </w:pPr>
      <w:r>
        <w:rPr>
          <w:rFonts w:ascii="Times New Roman" w:hAnsi="Times New Roman" w:eastAsia="仿宋_GB2312" w:cs="Times New Roman"/>
          <w:kern w:val="0"/>
        </w:rPr>
        <w:t>b)</w:t>
      </w:r>
      <w:r>
        <w:rPr>
          <w:rFonts w:ascii="Times New Roman" w:hAnsi="Times New Roman" w:eastAsia="仿宋_GB2312" w:cs="Times New Roman"/>
          <w:kern w:val="0"/>
        </w:rPr>
        <w:tab/>
      </w:r>
      <w:r>
        <w:rPr>
          <w:rFonts w:ascii="Times New Roman" w:hAnsi="Times New Roman" w:eastAsia="仿宋_GB2312" w:cs="Times New Roman"/>
          <w:kern w:val="0"/>
        </w:rPr>
        <w:t>基于压缩感知的次奈奎斯特高速采样模块设计</w:t>
      </w:r>
      <w:r>
        <w:rPr>
          <w:rFonts w:hint="eastAsia" w:ascii="Times New Roman" w:hAnsi="Times New Roman" w:eastAsia="仿宋_GB2312" w:cs="Times New Roman"/>
          <w:kern w:val="0"/>
        </w:rPr>
        <w:t>（</w:t>
      </w:r>
      <w:r>
        <w:rPr>
          <w:rFonts w:hint="eastAsia" w:ascii="Times New Roman" w:hAnsi="Times New Roman" w:eastAsia="仿宋_GB2312" w:cs="Times New Roman"/>
          <w:kern w:val="0"/>
          <w:highlight w:val="yellow"/>
        </w:rPr>
        <w:t>恩松</w:t>
      </w:r>
      <w:r>
        <w:rPr>
          <w:rFonts w:hint="eastAsia" w:ascii="Times New Roman" w:hAnsi="Times New Roman" w:eastAsia="仿宋_GB2312" w:cs="Times New Roman"/>
          <w:kern w:val="0"/>
        </w:rPr>
        <w:t>）</w:t>
      </w:r>
    </w:p>
    <w:p w14:paraId="18D723F8">
      <w:pPr>
        <w:pStyle w:val="5"/>
        <w:ind w:firstLine="640"/>
        <w:rPr>
          <w:sz w:val="28"/>
          <w:szCs w:val="28"/>
        </w:rPr>
      </w:pPr>
      <w:bookmarkStart w:id="8" w:name="课题详细_1_2"/>
      <w:bookmarkEnd w:id="8"/>
      <w:bookmarkStart w:id="9" w:name="_Toc192928701"/>
      <w:bookmarkStart w:id="10" w:name="_Toc256000010"/>
      <w:r>
        <w:rPr>
          <w:sz w:val="28"/>
          <w:szCs w:val="28"/>
        </w:rPr>
        <w:t>.研究思路</w:t>
      </w:r>
      <w:bookmarkEnd w:id="9"/>
      <w:bookmarkEnd w:id="10"/>
    </w:p>
    <w:p w14:paraId="108BA01D">
      <w:pPr>
        <w:widowControl/>
        <w:adjustRightInd w:val="0"/>
        <w:snapToGrid w:val="0"/>
        <w:ind w:firstLine="560" w:firstLineChars="200"/>
        <w:jc w:val="left"/>
        <w:rPr>
          <w:rFonts w:ascii="仿宋_GB2312" w:eastAsia="仿宋_GB2312" w:cs="Times New Roman"/>
          <w:i/>
          <w:kern w:val="0"/>
        </w:rPr>
      </w:pPr>
      <w:r>
        <w:rPr>
          <w:rFonts w:hint="eastAsia" w:ascii="Times New Roman" w:hAnsi="Times New Roman" w:eastAsia="仿宋_GB2312" w:cs="Times New Roman"/>
          <w:kern w:val="0"/>
        </w:rPr>
        <w:t>……</w:t>
      </w:r>
    </w:p>
    <w:p w14:paraId="578A22CB">
      <w:pPr>
        <w:pStyle w:val="5"/>
        <w:ind w:firstLine="640"/>
        <w:rPr>
          <w:sz w:val="28"/>
          <w:szCs w:val="28"/>
        </w:rPr>
      </w:pPr>
      <w:bookmarkStart w:id="11" w:name="课题详细_1_3"/>
      <w:bookmarkEnd w:id="11"/>
      <w:bookmarkStart w:id="12" w:name="_Toc256000011"/>
      <w:bookmarkStart w:id="13" w:name="_Toc192928702"/>
      <w:r>
        <w:rPr>
          <w:sz w:val="28"/>
          <w:szCs w:val="28"/>
        </w:rPr>
        <w:t>.负责单位及负责人</w:t>
      </w:r>
      <w:bookmarkEnd w:id="12"/>
      <w:bookmarkEnd w:id="13"/>
    </w:p>
    <w:p w14:paraId="6965B0AB">
      <w:pPr>
        <w:widowControl/>
        <w:spacing w:line="240" w:lineRule="auto"/>
        <w:jc w:val="left"/>
        <w:rPr>
          <w:rFonts w:ascii="仿宋_GB2312" w:hAnsi="仿宋_GB2312" w:eastAsia="仿宋_GB2312" w:cs="仿宋_GB2312"/>
          <w:kern w:val="0"/>
          <w:sz w:val="29"/>
          <w:szCs w:val="24"/>
        </w:rPr>
      </w:pPr>
    </w:p>
    <w:p w14:paraId="7D3771AD">
      <w:pPr>
        <w:widowControl/>
        <w:spacing w:line="240" w:lineRule="auto"/>
        <w:ind w:firstLine="580"/>
        <w:jc w:val="left"/>
        <w:rPr>
          <w:rFonts w:ascii="仿宋_GB2312" w:hAnsi="仿宋_GB2312" w:eastAsia="仿宋_GB2312" w:cs="仿宋_GB2312"/>
          <w:i/>
          <w:iCs/>
          <w:kern w:val="0"/>
          <w:sz w:val="29"/>
          <w:szCs w:val="24"/>
        </w:rPr>
      </w:pPr>
      <w:r>
        <w:rPr>
          <w:rFonts w:ascii="仿宋_GB2312" w:hAnsi="仿宋_GB2312" w:eastAsia="仿宋_GB2312" w:cs="仿宋_GB2312"/>
          <w:kern w:val="0"/>
          <w:sz w:val="29"/>
          <w:szCs w:val="24"/>
        </w:rPr>
        <w:t>负责单位:</w:t>
      </w:r>
      <w:r>
        <w:rPr>
          <w:rFonts w:ascii="仿宋_GB2312" w:hAnsi="仿宋_GB2312" w:eastAsia="仿宋_GB2312" w:cs="仿宋_GB2312"/>
          <w:i/>
          <w:iCs/>
          <w:kern w:val="0"/>
          <w:sz w:val="29"/>
          <w:szCs w:val="24"/>
        </w:rPr>
        <w:t>**单位</w:t>
      </w:r>
    </w:p>
    <w:p w14:paraId="5310E6B8">
      <w:pPr>
        <w:widowControl/>
        <w:spacing w:line="240" w:lineRule="auto"/>
        <w:ind w:firstLine="580"/>
        <w:jc w:val="left"/>
        <w:rPr>
          <w:rFonts w:ascii="仿宋_GB2312" w:hAnsi="仿宋_GB2312" w:eastAsia="仿宋_GB2312" w:cs="仿宋_GB2312"/>
          <w:kern w:val="0"/>
          <w:sz w:val="29"/>
          <w:szCs w:val="24"/>
        </w:rPr>
      </w:pPr>
      <w:r>
        <w:rPr>
          <w:rFonts w:ascii="仿宋_GB2312" w:hAnsi="仿宋_GB2312" w:eastAsia="仿宋_GB2312" w:cs="仿宋_GB2312"/>
          <w:kern w:val="0"/>
          <w:sz w:val="29"/>
          <w:szCs w:val="24"/>
        </w:rPr>
        <w:t>负责人:</w:t>
      </w:r>
      <w:r>
        <w:rPr>
          <w:rFonts w:ascii="仿宋_GB2312" w:hAnsi="仿宋_GB2312" w:eastAsia="仿宋_GB2312" w:cs="仿宋_GB2312"/>
          <w:i/>
          <w:iCs/>
          <w:kern w:val="0"/>
          <w:sz w:val="29"/>
          <w:szCs w:val="24"/>
        </w:rPr>
        <w:t>张三</w:t>
      </w:r>
    </w:p>
    <w:p w14:paraId="4A6FF7D6">
      <w:pPr>
        <w:pStyle w:val="5"/>
        <w:ind w:firstLine="640"/>
        <w:rPr>
          <w:sz w:val="28"/>
          <w:szCs w:val="28"/>
        </w:rPr>
      </w:pPr>
      <w:bookmarkStart w:id="14" w:name="课题详细_1_4"/>
      <w:bookmarkEnd w:id="14"/>
      <w:bookmarkStart w:id="15" w:name="_Toc256000012"/>
      <w:bookmarkStart w:id="16" w:name="_Toc192928703"/>
      <w:r>
        <w:rPr>
          <w:sz w:val="28"/>
          <w:szCs w:val="28"/>
        </w:rPr>
        <w:t>.研究经费</w:t>
      </w:r>
      <w:bookmarkEnd w:id="15"/>
      <w:bookmarkEnd w:id="16"/>
    </w:p>
    <w:p w14:paraId="4483A229">
      <w:pPr>
        <w:widowControl/>
        <w:spacing w:line="240" w:lineRule="auto"/>
        <w:jc w:val="left"/>
        <w:rPr>
          <w:rFonts w:ascii="仿宋_GB2312" w:hAnsi="仿宋_GB2312" w:eastAsia="仿宋_GB2312" w:cs="仿宋_GB2312"/>
          <w:i/>
          <w:iCs/>
          <w:kern w:val="0"/>
          <w:sz w:val="29"/>
          <w:szCs w:val="24"/>
          <w:lang w:eastAsia="en-US"/>
        </w:rPr>
      </w:pPr>
      <w:r>
        <w:rPr>
          <w:rFonts w:ascii="仿宋_GB2312" w:hAnsi="仿宋_GB2312" w:eastAsia="仿宋_GB2312" w:cs="仿宋_GB2312"/>
          <w:i/>
          <w:iCs/>
          <w:kern w:val="0"/>
          <w:sz w:val="29"/>
          <w:szCs w:val="24"/>
          <w:lang w:eastAsia="en-US"/>
        </w:rPr>
        <w:t xml:space="preserve">    1000万</w:t>
      </w:r>
    </w:p>
    <w:p w14:paraId="08F0DB6F">
      <w:pPr>
        <w:pStyle w:val="4"/>
        <w:ind w:firstLine="640"/>
      </w:pPr>
      <w:bookmarkStart w:id="17" w:name="_Toc192928704"/>
      <w:r>
        <w:t>课题2:</w:t>
      </w:r>
      <w:r>
        <w:rPr>
          <w:rFonts w:hint="eastAsia"/>
        </w:rPr>
        <w:t xml:space="preserve"> </w:t>
      </w:r>
      <w:r>
        <w:rPr>
          <w:i/>
          <w:iCs/>
        </w:rPr>
        <w:t>超宽带超线性基带信号处理技术</w:t>
      </w:r>
      <w:bookmarkEnd w:id="17"/>
    </w:p>
    <w:p w14:paraId="1B1EF151">
      <w:pPr>
        <w:adjustRightInd w:val="0"/>
        <w:snapToGrid w:val="0"/>
        <w:ind w:firstLine="560" w:firstLineChars="200"/>
        <w:jc w:val="left"/>
        <w:rPr>
          <w:rFonts w:eastAsia="仿宋_GB2312"/>
          <w:i/>
          <w:szCs w:val="32"/>
        </w:rPr>
      </w:pPr>
      <w:bookmarkStart w:id="18" w:name="课题详细_2"/>
      <w:bookmarkEnd w:id="18"/>
      <w:r>
        <w:rPr>
          <w:rFonts w:hint="eastAsia" w:eastAsia="仿宋_GB2312"/>
          <w:i/>
          <w:szCs w:val="32"/>
        </w:rPr>
        <w:t>（同课题一）</w:t>
      </w:r>
    </w:p>
    <w:p w14:paraId="0D1C688D">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w:t>
      </w:r>
      <w:r>
        <w:rPr>
          <w:rFonts w:ascii="Times New Roman" w:hAnsi="Times New Roman" w:eastAsia="仿宋_GB2312" w:cs="Times New Roman"/>
          <w:kern w:val="0"/>
          <w:szCs w:val="32"/>
        </w:rPr>
        <w:t>a)</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超宽带稀疏采样信号快速重构技术</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恩松</w:t>
      </w:r>
      <w:r>
        <w:rPr>
          <w:rFonts w:hint="eastAsia" w:ascii="Times New Roman" w:hAnsi="Times New Roman" w:eastAsia="仿宋_GB2312" w:cs="Times New Roman"/>
          <w:kern w:val="0"/>
          <w:szCs w:val="32"/>
        </w:rPr>
        <w:t>）</w:t>
      </w:r>
    </w:p>
    <w:p w14:paraId="15E39E93">
      <w:pPr>
        <w:widowControl/>
        <w:adjustRightInd w:val="0"/>
        <w:snapToGrid w:val="0"/>
        <w:ind w:firstLine="560" w:firstLineChars="200"/>
        <w:jc w:val="left"/>
        <w:rPr>
          <w:rFonts w:ascii="Times New Roman" w:hAnsi="Times New Roman" w:eastAsia="仿宋_GB2312" w:cs="Times New Roman"/>
          <w:kern w:val="0"/>
          <w:szCs w:val="32"/>
        </w:rPr>
      </w:pPr>
      <w:r>
        <w:rPr>
          <w:rFonts w:ascii="Times New Roman" w:hAnsi="Times New Roman" w:eastAsia="仿宋_GB2312" w:cs="Times New Roman"/>
          <w:kern w:val="0"/>
          <w:szCs w:val="32"/>
        </w:rPr>
        <w:t>b)</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面向高动态范围高保真信号恢复的超宽带超线性超平坦均衡技术</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炜明</w:t>
      </w:r>
      <w:r>
        <w:rPr>
          <w:rFonts w:hint="eastAsia" w:ascii="Times New Roman" w:hAnsi="Times New Roman" w:eastAsia="仿宋_GB2312" w:cs="Times New Roman"/>
          <w:kern w:val="0"/>
          <w:szCs w:val="32"/>
        </w:rPr>
        <w:t>）</w:t>
      </w:r>
    </w:p>
    <w:p w14:paraId="58472D77">
      <w:pPr>
        <w:pStyle w:val="4"/>
        <w:ind w:firstLine="640"/>
      </w:pPr>
      <w:bookmarkStart w:id="19" w:name="课题详细_2_3"/>
      <w:bookmarkEnd w:id="19"/>
      <w:bookmarkStart w:id="20" w:name="_Toc192928705"/>
      <w:r>
        <w:t>课题3:</w:t>
      </w:r>
      <w:r>
        <w:rPr>
          <w:rFonts w:hint="eastAsia"/>
        </w:rPr>
        <w:t xml:space="preserve"> </w:t>
      </w:r>
      <w:r>
        <w:t>物理层波形快速识别技术</w:t>
      </w:r>
      <w:bookmarkEnd w:id="20"/>
    </w:p>
    <w:p w14:paraId="3DA813AF">
      <w:pPr>
        <w:adjustRightInd w:val="0"/>
        <w:snapToGrid w:val="0"/>
        <w:ind w:firstLine="560" w:firstLineChars="200"/>
        <w:jc w:val="left"/>
        <w:rPr>
          <w:rFonts w:eastAsia="仿宋_GB2312"/>
          <w:i/>
          <w:szCs w:val="32"/>
        </w:rPr>
      </w:pPr>
      <w:bookmarkStart w:id="21" w:name="课题详细_3_4"/>
      <w:bookmarkEnd w:id="21"/>
      <w:bookmarkStart w:id="22" w:name="课题详细_3"/>
      <w:bookmarkEnd w:id="22"/>
      <w:r>
        <w:rPr>
          <w:rFonts w:hint="eastAsia" w:eastAsia="仿宋_GB2312"/>
          <w:i/>
          <w:szCs w:val="32"/>
        </w:rPr>
        <w:t>（同课题一）</w:t>
      </w:r>
    </w:p>
    <w:p w14:paraId="7407F82A">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w:t>
      </w:r>
      <w:r>
        <w:rPr>
          <w:rFonts w:ascii="Times New Roman" w:hAnsi="Times New Roman" w:eastAsia="仿宋_GB2312" w:cs="Times New Roman"/>
          <w:kern w:val="0"/>
          <w:szCs w:val="32"/>
        </w:rPr>
        <w:t>a)</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多域捷变信号毫秒级捕获与识别</w:t>
      </w:r>
      <w:r>
        <w:rPr>
          <w:rFonts w:hint="eastAsia" w:ascii="Times New Roman" w:hAnsi="Times New Roman" w:eastAsia="仿宋_GB2312" w:cs="Times New Roman"/>
          <w:kern w:val="0"/>
          <w:szCs w:val="32"/>
        </w:rPr>
        <w:t>（小曹）</w:t>
      </w:r>
    </w:p>
    <w:p w14:paraId="70C84A0F">
      <w:pPr>
        <w:widowControl/>
        <w:adjustRightInd w:val="0"/>
        <w:snapToGrid w:val="0"/>
        <w:ind w:firstLine="560" w:firstLineChars="200"/>
        <w:jc w:val="left"/>
        <w:rPr>
          <w:rFonts w:ascii="Times New Roman" w:hAnsi="Times New Roman" w:eastAsia="仿宋_GB2312" w:cs="Times New Roman"/>
          <w:kern w:val="0"/>
          <w:szCs w:val="32"/>
        </w:rPr>
      </w:pPr>
      <w:r>
        <w:rPr>
          <w:rFonts w:ascii="Times New Roman" w:hAnsi="Times New Roman" w:eastAsia="仿宋_GB2312" w:cs="Times New Roman"/>
          <w:kern w:val="0"/>
          <w:szCs w:val="32"/>
        </w:rPr>
        <w:t>b)</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航天业务典型调制样式识别</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嘉怡，模型</w:t>
      </w:r>
      <w:r>
        <w:rPr>
          <w:rFonts w:hint="eastAsia" w:ascii="Times New Roman" w:hAnsi="Times New Roman" w:eastAsia="仿宋_GB2312" w:cs="Times New Roman"/>
          <w:kern w:val="0"/>
          <w:szCs w:val="32"/>
        </w:rPr>
        <w:t>）</w:t>
      </w:r>
    </w:p>
    <w:p w14:paraId="4ECE0361">
      <w:pPr>
        <w:pStyle w:val="4"/>
        <w:ind w:firstLine="640"/>
      </w:pPr>
      <w:bookmarkStart w:id="23" w:name="_Toc192928706"/>
      <w:r>
        <w:t>课题4:</w:t>
      </w:r>
      <w:r>
        <w:rPr>
          <w:rFonts w:hint="eastAsia"/>
        </w:rPr>
        <w:t xml:space="preserve"> </w:t>
      </w:r>
      <w:r>
        <w:t>近场测量与远场特性的内隐关系建模与反演</w:t>
      </w:r>
      <w:bookmarkEnd w:id="23"/>
    </w:p>
    <w:p w14:paraId="506489A9">
      <w:pPr>
        <w:adjustRightInd w:val="0"/>
        <w:snapToGrid w:val="0"/>
        <w:ind w:firstLine="560" w:firstLineChars="200"/>
        <w:jc w:val="left"/>
        <w:rPr>
          <w:rFonts w:eastAsia="仿宋_GB2312"/>
          <w:i/>
          <w:szCs w:val="32"/>
        </w:rPr>
      </w:pPr>
      <w:bookmarkStart w:id="24" w:name="课题详细_4"/>
      <w:bookmarkEnd w:id="24"/>
      <w:bookmarkStart w:id="25" w:name="_Toc256000026"/>
      <w:r>
        <w:rPr>
          <w:rFonts w:hint="eastAsia" w:eastAsia="仿宋_GB2312"/>
          <w:i/>
          <w:szCs w:val="32"/>
        </w:rPr>
        <w:t>（同课题一）</w:t>
      </w:r>
    </w:p>
    <w:p w14:paraId="3C02080A">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w:t>
      </w:r>
      <w:r>
        <w:rPr>
          <w:rFonts w:ascii="Times New Roman" w:hAnsi="Times New Roman" w:eastAsia="仿宋_GB2312" w:cs="Times New Roman"/>
          <w:kern w:val="0"/>
          <w:szCs w:val="32"/>
        </w:rPr>
        <w:t>a)</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基于空间稀疏性的空间采样点选取与空间电磁信号重构</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恩松</w:t>
      </w:r>
      <w:r>
        <w:rPr>
          <w:rFonts w:hint="eastAsia" w:ascii="Times New Roman" w:hAnsi="Times New Roman" w:eastAsia="仿宋_GB2312" w:cs="Times New Roman"/>
          <w:kern w:val="0"/>
          <w:szCs w:val="32"/>
        </w:rPr>
        <w:t>）</w:t>
      </w:r>
    </w:p>
    <w:p w14:paraId="34FB33D6">
      <w:pPr>
        <w:widowControl/>
        <w:adjustRightInd w:val="0"/>
        <w:snapToGrid w:val="0"/>
        <w:ind w:firstLine="560" w:firstLineChars="200"/>
        <w:jc w:val="left"/>
        <w:rPr>
          <w:rFonts w:ascii="Times New Roman" w:hAnsi="Times New Roman" w:eastAsia="仿宋_GB2312" w:cs="Times New Roman"/>
          <w:kern w:val="0"/>
          <w:szCs w:val="32"/>
        </w:rPr>
      </w:pPr>
      <w:r>
        <w:rPr>
          <w:rFonts w:ascii="Times New Roman" w:hAnsi="Times New Roman" w:eastAsia="仿宋_GB2312" w:cs="Times New Roman"/>
          <w:kern w:val="0"/>
          <w:szCs w:val="32"/>
        </w:rPr>
        <w:t>b)</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针对典型航天电磁波形传输下的天线近场测量与远场</w:t>
      </w:r>
      <w:r>
        <w:rPr>
          <w:rFonts w:hint="eastAsia" w:ascii="Times New Roman" w:hAnsi="Times New Roman" w:eastAsia="仿宋_GB2312" w:cs="Times New Roman"/>
          <w:kern w:val="0"/>
          <w:szCs w:val="32"/>
        </w:rPr>
        <w:t>方向图</w:t>
      </w:r>
      <w:r>
        <w:rPr>
          <w:rFonts w:ascii="Times New Roman" w:hAnsi="Times New Roman" w:eastAsia="仿宋_GB2312" w:cs="Times New Roman"/>
          <w:kern w:val="0"/>
          <w:szCs w:val="32"/>
        </w:rPr>
        <w:t>的内隐关系建模与反演</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迪笙</w:t>
      </w:r>
      <w:r>
        <w:rPr>
          <w:rFonts w:hint="eastAsia" w:ascii="Times New Roman" w:hAnsi="Times New Roman" w:eastAsia="仿宋_GB2312" w:cs="Times New Roman"/>
          <w:kern w:val="0"/>
          <w:szCs w:val="32"/>
        </w:rPr>
        <w:t>）</w:t>
      </w:r>
    </w:p>
    <w:p w14:paraId="2400682B">
      <w:pPr>
        <w:widowControl/>
        <w:adjustRightInd w:val="0"/>
        <w:snapToGrid w:val="0"/>
        <w:ind w:firstLine="560" w:firstLineChars="200"/>
        <w:jc w:val="left"/>
        <w:rPr>
          <w:rFonts w:ascii="Times New Roman" w:hAnsi="Times New Roman" w:eastAsia="仿宋_GB2312" w:cs="Times New Roman"/>
          <w:kern w:val="0"/>
          <w:szCs w:val="32"/>
        </w:rPr>
      </w:pPr>
      <w:r>
        <w:rPr>
          <w:rFonts w:ascii="Times New Roman" w:hAnsi="Times New Roman" w:eastAsia="仿宋_GB2312" w:cs="Times New Roman"/>
          <w:kern w:val="0"/>
          <w:szCs w:val="32"/>
        </w:rPr>
        <w:t>c)</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相控阵天线波束的波位识别与反演跟踪</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迪笙</w:t>
      </w:r>
      <w:r>
        <w:rPr>
          <w:rFonts w:hint="eastAsia" w:ascii="Times New Roman" w:hAnsi="Times New Roman" w:eastAsia="仿宋_GB2312" w:cs="Times New Roman"/>
          <w:kern w:val="0"/>
          <w:szCs w:val="32"/>
        </w:rPr>
        <w:t>）</w:t>
      </w:r>
    </w:p>
    <w:p w14:paraId="3EA901C7">
      <w:pPr>
        <w:pStyle w:val="4"/>
        <w:ind w:firstLine="640"/>
      </w:pPr>
      <w:bookmarkStart w:id="26" w:name="_Toc192928707"/>
      <w:r>
        <w:t>辐射源动态行为意图认知技术</w:t>
      </w:r>
      <w:bookmarkEnd w:id="26"/>
    </w:p>
    <w:p w14:paraId="74B6060F">
      <w:pPr>
        <w:adjustRightInd w:val="0"/>
        <w:snapToGrid w:val="0"/>
        <w:ind w:firstLine="560" w:firstLineChars="200"/>
        <w:jc w:val="left"/>
        <w:rPr>
          <w:rFonts w:eastAsia="仿宋_GB2312"/>
          <w:i/>
          <w:szCs w:val="32"/>
        </w:rPr>
      </w:pPr>
      <w:r>
        <w:rPr>
          <w:rFonts w:hint="eastAsia" w:eastAsia="仿宋_GB2312"/>
          <w:i/>
          <w:szCs w:val="32"/>
        </w:rPr>
        <w:t>（同课题一）</w:t>
      </w:r>
    </w:p>
    <w:p w14:paraId="06135454">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w:t>
      </w:r>
      <w:r>
        <w:rPr>
          <w:rFonts w:ascii="Times New Roman" w:hAnsi="Times New Roman" w:eastAsia="仿宋_GB2312" w:cs="Times New Roman"/>
          <w:kern w:val="0"/>
          <w:szCs w:val="32"/>
        </w:rPr>
        <w:t>a)</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基于多元异构数据的XB动态电磁环境</w:t>
      </w:r>
      <w:r>
        <w:rPr>
          <w:rFonts w:hint="eastAsia" w:ascii="Times New Roman" w:hAnsi="Times New Roman" w:eastAsia="仿宋_GB2312" w:cs="Times New Roman"/>
          <w:kern w:val="0"/>
          <w:szCs w:val="32"/>
        </w:rPr>
        <w:t>多维电磁特征集</w:t>
      </w:r>
      <w:r>
        <w:rPr>
          <w:rFonts w:ascii="Times New Roman" w:hAnsi="Times New Roman" w:eastAsia="仿宋_GB2312" w:cs="Times New Roman"/>
          <w:kern w:val="0"/>
          <w:szCs w:val="32"/>
        </w:rPr>
        <w:t>构建</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夏青</w:t>
      </w:r>
      <w:r>
        <w:rPr>
          <w:rFonts w:hint="eastAsia" w:ascii="Times New Roman" w:hAnsi="Times New Roman" w:eastAsia="仿宋_GB2312" w:cs="Times New Roman"/>
          <w:kern w:val="0"/>
          <w:szCs w:val="32"/>
        </w:rPr>
        <w:t>）</w:t>
      </w:r>
    </w:p>
    <w:p w14:paraId="24CE8431">
      <w:pPr>
        <w:widowControl/>
        <w:adjustRightInd w:val="0"/>
        <w:snapToGrid w:val="0"/>
        <w:ind w:firstLine="560" w:firstLineChars="200"/>
        <w:jc w:val="left"/>
        <w:rPr>
          <w:rFonts w:hint="eastAsia"/>
        </w:rPr>
      </w:pPr>
      <w:r>
        <w:rPr>
          <w:rFonts w:ascii="Times New Roman" w:hAnsi="Times New Roman" w:eastAsia="仿宋_GB2312" w:cs="Times New Roman"/>
          <w:kern w:val="0"/>
          <w:szCs w:val="32"/>
        </w:rPr>
        <w:t>b)</w:t>
      </w:r>
      <w:r>
        <w:rPr>
          <w:rFonts w:ascii="Times New Roman" w:hAnsi="Times New Roman" w:eastAsia="仿宋_GB2312" w:cs="Times New Roman"/>
          <w:kern w:val="0"/>
          <w:szCs w:val="32"/>
        </w:rPr>
        <w:tab/>
      </w:r>
      <w:r>
        <w:rPr>
          <w:rFonts w:ascii="Times New Roman" w:hAnsi="Times New Roman" w:eastAsia="仿宋_GB2312" w:cs="Times New Roman"/>
          <w:kern w:val="0"/>
          <w:szCs w:val="32"/>
        </w:rPr>
        <w:t>基于知识嵌入的辐射源动态电磁行为态势深度认知与智能预测</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鹏轩</w:t>
      </w:r>
      <w:r>
        <w:rPr>
          <w:rFonts w:hint="eastAsia" w:ascii="Times New Roman" w:hAnsi="Times New Roman" w:eastAsia="仿宋_GB2312" w:cs="Times New Roman"/>
          <w:kern w:val="0"/>
          <w:szCs w:val="32"/>
        </w:rPr>
        <w:t>+</w:t>
      </w:r>
      <w:r>
        <w:rPr>
          <w:rFonts w:hint="eastAsia" w:ascii="Times New Roman" w:hAnsi="Times New Roman" w:eastAsia="仿宋_GB2312" w:cs="Times New Roman"/>
          <w:kern w:val="0"/>
          <w:szCs w:val="32"/>
          <w:highlight w:val="yellow"/>
        </w:rPr>
        <w:t>伯涛</w:t>
      </w:r>
      <w:r>
        <w:rPr>
          <w:rFonts w:hint="eastAsia" w:ascii="Times New Roman" w:hAnsi="Times New Roman" w:eastAsia="仿宋_GB2312" w:cs="Times New Roman"/>
          <w:kern w:val="0"/>
          <w:szCs w:val="32"/>
        </w:rPr>
        <w:t>）</w:t>
      </w:r>
    </w:p>
    <w:p w14:paraId="59E97CDB">
      <w:pPr>
        <w:pStyle w:val="2"/>
        <w:ind w:firstLine="420" w:firstLineChars="0"/>
        <w:rPr>
          <w:rFonts w:hint="eastAsia"/>
        </w:rPr>
      </w:pPr>
      <w:r>
        <w:rPr>
          <w:rFonts w:hint="eastAsia"/>
        </w:rPr>
        <w:t>在现代电子对抗与频谱管理中，如何精准地认知并预测辐射源的动态电磁行为是一个关键问题。传统的基于规则的方法在复杂电磁环境中表现有限，而基于知识嵌入的深度学习技术为该问题提供了一种新的解决思路。本文主要探讨关键技术及其实现方案，包括知识嵌入、动态电磁行为建模、智能预测方法以及系统优化策略等方面。</w:t>
      </w:r>
      <w:bookmarkStart w:id="36" w:name="_GoBack"/>
      <w:bookmarkEnd w:id="36"/>
    </w:p>
    <w:p w14:paraId="0EBA0220">
      <w:pPr>
        <w:pStyle w:val="2"/>
        <w:rPr>
          <w:rFonts w:hint="eastAsia"/>
        </w:rPr>
      </w:pPr>
      <w:r>
        <w:rPr>
          <w:rFonts w:hint="eastAsia"/>
        </w:rPr>
        <w:t>1. 知识嵌入技术</w:t>
      </w:r>
    </w:p>
    <w:p w14:paraId="30ADF4F5">
      <w:pPr>
        <w:pStyle w:val="2"/>
        <w:ind w:firstLine="420" w:firstLineChars="0"/>
        <w:rPr>
          <w:rFonts w:hint="eastAsia"/>
        </w:rPr>
      </w:pPr>
      <w:r>
        <w:rPr>
          <w:rFonts w:hint="eastAsia"/>
        </w:rPr>
        <w:t>知识嵌入是本研究的核心，它通过构建知识图谱，将领域知识结构化，并结合深度学习进行推理与预测。</w:t>
      </w:r>
    </w:p>
    <w:p w14:paraId="759B1630">
      <w:pPr>
        <w:pStyle w:val="2"/>
        <w:ind w:firstLine="420" w:firstLineChars="0"/>
        <w:rPr>
          <w:rFonts w:hint="eastAsia"/>
        </w:rPr>
      </w:pPr>
      <w:r>
        <w:rPr>
          <w:rFonts w:hint="eastAsia"/>
        </w:rPr>
        <w:t>首先，知识图谱构建是知识嵌入的基础。知识图谱通过实体与关系的建模，将辐射源的不同属性进行关联。例如，雷达信号的调制方式、频段、功率谱特征等都可以表示为图结构中的节点和边。其次，知识嵌入学习采用深度神经网络（如 TransE、DistMult）将知识图谱映射到低维空间，使得系统能够基于这些嵌入向量进行高效计算。此外，基于图神经网络（GNN）的知识推理方法可以进一步优化知识推理效果，提高对未知辐射源的识别能力。</w:t>
      </w:r>
    </w:p>
    <w:p w14:paraId="52B96195">
      <w:pPr>
        <w:pStyle w:val="2"/>
        <w:rPr>
          <w:rFonts w:hint="eastAsia"/>
        </w:rPr>
      </w:pPr>
    </w:p>
    <w:p w14:paraId="4A35C5A6">
      <w:pPr>
        <w:pStyle w:val="2"/>
        <w:rPr>
          <w:rFonts w:hint="eastAsia"/>
        </w:rPr>
      </w:pPr>
      <w:r>
        <w:rPr>
          <w:rFonts w:hint="eastAsia"/>
        </w:rPr>
        <w:t>2. 动态电磁行为建模</w:t>
      </w:r>
    </w:p>
    <w:p w14:paraId="26D56EAF">
      <w:pPr>
        <w:pStyle w:val="2"/>
        <w:ind w:firstLine="420" w:firstLineChars="0"/>
        <w:rPr>
          <w:rFonts w:hint="eastAsia"/>
        </w:rPr>
      </w:pPr>
      <w:r>
        <w:rPr>
          <w:rFonts w:hint="eastAsia"/>
        </w:rPr>
        <w:t>辐射源的动态电磁行为建模主要涉及时间序列分析、信号模式挖掘以及多尺度特征提取等技术。</w:t>
      </w:r>
    </w:p>
    <w:p w14:paraId="7B5276AC">
      <w:pPr>
        <w:pStyle w:val="2"/>
        <w:ind w:firstLine="420" w:firstLineChars="0"/>
        <w:rPr>
          <w:rFonts w:hint="eastAsia"/>
        </w:rPr>
      </w:pPr>
      <w:r>
        <w:rPr>
          <w:rFonts w:hint="eastAsia"/>
        </w:rPr>
        <w:t>时间序列建模方面，长短时记忆网络（LSTM）和 Transformer 结构是主流方法。LSTM 能够有效捕捉长期依赖关系，而 Transformer 通过自注意力机制提升对复杂信号的处理能力。此外，多尺度特征提取方法（如傅里叶变换、小波变换）能够提取不同时间尺度上的信号特征，增强系统对突变信号的检测能力。</w:t>
      </w:r>
    </w:p>
    <w:p w14:paraId="2A94D308">
      <w:pPr>
        <w:pStyle w:val="2"/>
        <w:ind w:firstLine="420" w:firstLineChars="0"/>
        <w:rPr>
          <w:rFonts w:hint="eastAsia"/>
        </w:rPr>
      </w:pPr>
      <w:r>
        <w:rPr>
          <w:rFonts w:hint="eastAsia"/>
        </w:rPr>
        <w:t>在信号模式挖掘方面，自动编码器（AE）可以学习辐射源信号的低维特征表示，用于异常检测。聚类分析（K-Means、DBSCAN）可以用于归纳不同辐射源的信号模式，提高分类能力。同时，频谱特征提取方法（如 STFT、MFCC）可以捕捉信号的频率变化，提高模型的泛化能力。</w:t>
      </w:r>
    </w:p>
    <w:p w14:paraId="3DAAD749">
      <w:pPr>
        <w:pStyle w:val="2"/>
        <w:rPr>
          <w:rFonts w:hint="eastAsia"/>
        </w:rPr>
      </w:pPr>
      <w:r>
        <w:rPr>
          <w:rFonts w:hint="eastAsia"/>
        </w:rPr>
        <w:t>3. 智能预测方法</w:t>
      </w:r>
    </w:p>
    <w:p w14:paraId="24412FB0">
      <w:pPr>
        <w:pStyle w:val="2"/>
        <w:ind w:firstLine="420" w:firstLineChars="0"/>
        <w:rPr>
          <w:rFonts w:hint="eastAsia"/>
        </w:rPr>
      </w:pPr>
      <w:r>
        <w:rPr>
          <w:rFonts w:hint="eastAsia"/>
        </w:rPr>
        <w:t>在智能预测方面，深度学习和知识增强推理是两个关键技术。</w:t>
      </w:r>
    </w:p>
    <w:p w14:paraId="18278674">
      <w:pPr>
        <w:pStyle w:val="2"/>
        <w:rPr>
          <w:rFonts w:hint="eastAsia"/>
        </w:rPr>
      </w:pPr>
      <w:r>
        <w:rPr>
          <w:rFonts w:hint="eastAsia"/>
        </w:rPr>
        <w:t>基于深度学习的预测方法主要包括时序预测模型、图神经网络（GNN）推理和多任务学习。时序预测模型采用 LSTM、GRU 或 Transformer 进行信号演变预测，而 GNN 则用于在知识图谱上进行关系推理，提高预测的准确性。多任务学习可以同时预测多个目标（如频谱占用、功率变化、调制模式等），提高系统的综合能力。</w:t>
      </w:r>
    </w:p>
    <w:p w14:paraId="3D163AE4">
      <w:pPr>
        <w:pStyle w:val="2"/>
        <w:ind w:firstLine="420" w:firstLineChars="0"/>
        <w:rPr>
          <w:rFonts w:hint="eastAsia"/>
        </w:rPr>
      </w:pPr>
      <w:r>
        <w:rPr>
          <w:rFonts w:hint="eastAsia"/>
        </w:rPr>
        <w:t>结合知识增强的推理方法包括规则约束学习、可解释 AI（XAI）和不确定性建模。规则约束学习通过知识图谱中的逻辑规则提高预测可信度，而 XAI 技术（如注意力机制或 SHAP）可以提供预测决策的解释性。此外，不确定性建模（如贝叶斯神经网络、Monte Carlo Dropout）可以评估预测置信度，提高模型在复杂环境下的可靠性。</w:t>
      </w:r>
    </w:p>
    <w:bookmarkEnd w:id="25"/>
    <w:p w14:paraId="6A625D37">
      <w:pPr>
        <w:pStyle w:val="3"/>
        <w:spacing w:before="120" w:after="0" w:line="360" w:lineRule="auto"/>
        <w:ind w:firstLine="640" w:firstLineChars="200"/>
        <w:rPr>
          <w:rFonts w:ascii="Times New Roman" w:hAnsi="Times New Roman" w:cs="Times New Roman"/>
        </w:rPr>
      </w:pPr>
      <w:bookmarkStart w:id="27" w:name="课题详细_4_3"/>
      <w:bookmarkEnd w:id="27"/>
      <w:bookmarkStart w:id="28" w:name="_Toc1552872"/>
      <w:bookmarkStart w:id="29" w:name="_Toc192928708"/>
      <w:r>
        <w:rPr>
          <w:rFonts w:ascii="Times New Roman" w:hAnsi="Times New Roman" w:cs="Times New Roman"/>
        </w:rPr>
        <w:t>、研究成果</w:t>
      </w:r>
      <w:bookmarkEnd w:id="28"/>
      <w:bookmarkEnd w:id="29"/>
    </w:p>
    <w:p w14:paraId="5A9EFA98">
      <w:pPr>
        <w:pStyle w:val="4"/>
        <w:spacing w:before="0" w:after="0" w:line="560" w:lineRule="exact"/>
        <w:ind w:firstLine="640" w:firstLineChars="200"/>
        <w:rPr>
          <w:rFonts w:ascii="Times New Roman" w:hAnsi="Times New Roman" w:cs="Times New Roman"/>
        </w:rPr>
      </w:pPr>
      <w:bookmarkStart w:id="30" w:name="_Toc1552873"/>
      <w:bookmarkStart w:id="31" w:name="_Toc192928709"/>
      <w:r>
        <w:rPr>
          <w:rFonts w:ascii="Times New Roman" w:hAnsi="Times New Roman" w:cs="Times New Roman"/>
        </w:rPr>
        <w:t>研究成果及考核指标</w:t>
      </w:r>
      <w:bookmarkEnd w:id="30"/>
      <w:bookmarkEnd w:id="31"/>
    </w:p>
    <w:p w14:paraId="20007D7A">
      <w:pPr>
        <w:adjustRightInd w:val="0"/>
        <w:snapToGrid w:val="0"/>
        <w:spacing w:line="560" w:lineRule="exact"/>
        <w:ind w:firstLine="560" w:firstLineChars="200"/>
        <w:jc w:val="left"/>
        <w:rPr>
          <w:rFonts w:ascii="仿宋_GB2312" w:eastAsia="仿宋_GB2312"/>
          <w:i/>
        </w:rPr>
      </w:pPr>
      <w:r>
        <w:rPr>
          <w:rFonts w:hint="eastAsia" w:ascii="仿宋_GB2312" w:eastAsia="仿宋_GB2312"/>
          <w:i/>
        </w:rPr>
        <w:t>（分类逐项列出研究成果及考核指标。研究成果形式包括试验（验证）系统、样机、样品</w:t>
      </w:r>
      <w:r>
        <w:rPr>
          <w:rFonts w:ascii="仿宋_GB2312" w:eastAsia="仿宋_GB2312"/>
          <w:i/>
        </w:rPr>
        <w:t>/样件</w:t>
      </w:r>
      <w:r>
        <w:rPr>
          <w:rFonts w:hint="eastAsia" w:ascii="仿宋_GB2312" w:eastAsia="仿宋_GB2312"/>
          <w:i/>
        </w:rPr>
        <w:t>、软件、数据库、工程</w:t>
      </w:r>
      <w:r>
        <w:rPr>
          <w:rFonts w:ascii="仿宋_GB2312" w:eastAsia="仿宋_GB2312"/>
          <w:i/>
        </w:rPr>
        <w:t>/</w:t>
      </w:r>
      <w:r>
        <w:rPr>
          <w:rFonts w:hint="eastAsia" w:ascii="仿宋_GB2312" w:eastAsia="仿宋_GB2312"/>
          <w:i/>
        </w:rPr>
        <w:t>工艺、标准</w:t>
      </w:r>
      <w:r>
        <w:rPr>
          <w:rFonts w:ascii="仿宋_GB2312" w:eastAsia="仿宋_GB2312"/>
          <w:i/>
        </w:rPr>
        <w:t>/</w:t>
      </w:r>
      <w:r>
        <w:rPr>
          <w:rFonts w:hint="eastAsia" w:ascii="仿宋_GB2312" w:eastAsia="仿宋_GB2312"/>
          <w:i/>
        </w:rPr>
        <w:t>规范、研究报告、试验（测试）方案、试验（测试）结果分析报告等。指标体系应系统完整。）</w:t>
      </w:r>
    </w:p>
    <w:p w14:paraId="4DDA6625">
      <w:pPr>
        <w:pStyle w:val="2"/>
        <w:rPr>
          <w:highlight w:val="yellow"/>
        </w:rPr>
      </w:pPr>
      <w:r>
        <w:rPr>
          <w:rFonts w:hint="eastAsia"/>
          <w:highlight w:val="yellow"/>
        </w:rPr>
        <w:t>主要技术指标：</w:t>
      </w:r>
    </w:p>
    <w:p w14:paraId="4E8D7574">
      <w:pPr>
        <w:pStyle w:val="2"/>
        <w:rPr>
          <w:highlight w:val="yellow"/>
        </w:rPr>
      </w:pPr>
      <w:r>
        <w:rPr>
          <w:rFonts w:hint="eastAsia"/>
          <w:highlight w:val="yellow"/>
        </w:rPr>
        <w:t>（</w:t>
      </w:r>
      <w:r>
        <w:rPr>
          <w:highlight w:val="yellow"/>
        </w:rPr>
        <w:t>1）</w:t>
      </w:r>
      <w:r>
        <w:rPr>
          <w:highlight w:val="yellow"/>
        </w:rPr>
        <w:tab/>
      </w:r>
      <w:r>
        <w:rPr>
          <w:highlight w:val="yellow"/>
        </w:rPr>
        <w:t>侦收机工作频率范围0.5-60GHz，瞬时工作带宽≥10GHz。</w:t>
      </w:r>
    </w:p>
    <w:p w14:paraId="23DFBF14">
      <w:pPr>
        <w:pStyle w:val="2"/>
        <w:rPr>
          <w:highlight w:val="yellow"/>
        </w:rPr>
      </w:pPr>
      <w:r>
        <w:rPr>
          <w:rFonts w:hint="eastAsia"/>
          <w:highlight w:val="yellow"/>
        </w:rPr>
        <w:t>（</w:t>
      </w:r>
      <w:r>
        <w:rPr>
          <w:highlight w:val="yellow"/>
        </w:rPr>
        <w:t>2）</w:t>
      </w:r>
      <w:r>
        <w:rPr>
          <w:highlight w:val="yellow"/>
        </w:rPr>
        <w:tab/>
      </w:r>
      <w:r>
        <w:rPr>
          <w:highlight w:val="yellow"/>
        </w:rPr>
        <w:t>信号带宽估计精度优于5%。</w:t>
      </w:r>
    </w:p>
    <w:p w14:paraId="59B2373C">
      <w:pPr>
        <w:pStyle w:val="2"/>
        <w:rPr>
          <w:highlight w:val="yellow"/>
        </w:rPr>
      </w:pPr>
      <w:r>
        <w:rPr>
          <w:rFonts w:hint="eastAsia"/>
          <w:highlight w:val="yellow"/>
        </w:rPr>
        <w:t>（</w:t>
      </w:r>
      <w:r>
        <w:rPr>
          <w:highlight w:val="yellow"/>
        </w:rPr>
        <w:t>3）</w:t>
      </w:r>
      <w:r>
        <w:rPr>
          <w:highlight w:val="yellow"/>
        </w:rPr>
        <w:tab/>
      </w:r>
      <w:r>
        <w:rPr>
          <w:highlight w:val="yellow"/>
        </w:rPr>
        <w:t>识别航天业务典型调制样式不少于20种。</w:t>
      </w:r>
    </w:p>
    <w:p w14:paraId="24FDD1E3">
      <w:pPr>
        <w:pStyle w:val="2"/>
        <w:rPr>
          <w:highlight w:val="yellow"/>
        </w:rPr>
      </w:pPr>
      <w:r>
        <w:rPr>
          <w:rFonts w:hint="eastAsia"/>
          <w:highlight w:val="yellow"/>
        </w:rPr>
        <w:t>（</w:t>
      </w:r>
      <w:r>
        <w:rPr>
          <w:highlight w:val="yellow"/>
        </w:rPr>
        <w:t>4）</w:t>
      </w:r>
      <w:r>
        <w:rPr>
          <w:highlight w:val="yellow"/>
        </w:rPr>
        <w:tab/>
      </w:r>
      <w:r>
        <w:rPr>
          <w:highlight w:val="yellow"/>
        </w:rPr>
        <w:t>可识别跳频或跳波束模式的跳数大于等于1000次每秒。</w:t>
      </w:r>
    </w:p>
    <w:p w14:paraId="3869CA2E">
      <w:pPr>
        <w:pStyle w:val="2"/>
        <w:rPr>
          <w:highlight w:val="yellow"/>
        </w:rPr>
      </w:pPr>
      <w:r>
        <w:rPr>
          <w:rFonts w:hint="eastAsia"/>
          <w:highlight w:val="yellow"/>
        </w:rPr>
        <w:t>（</w:t>
      </w:r>
      <w:r>
        <w:rPr>
          <w:highlight w:val="yellow"/>
        </w:rPr>
        <w:t>5）</w:t>
      </w:r>
      <w:r>
        <w:rPr>
          <w:highlight w:val="yellow"/>
        </w:rPr>
        <w:tab/>
      </w:r>
      <w:r>
        <w:rPr>
          <w:highlight w:val="yellow"/>
        </w:rPr>
        <w:t>天线方向图绘制角度分辨率≤1°，天线主波束指向精度≤θ/4（θ：半功率波束宽度）。</w:t>
      </w:r>
    </w:p>
    <w:p w14:paraId="4D7E22F2">
      <w:pPr>
        <w:pStyle w:val="2"/>
        <w:rPr>
          <w:highlight w:val="yellow"/>
        </w:rPr>
      </w:pPr>
      <w:r>
        <w:rPr>
          <w:rFonts w:hint="eastAsia"/>
          <w:highlight w:val="yellow"/>
        </w:rPr>
        <w:t>（</w:t>
      </w:r>
      <w:r>
        <w:rPr>
          <w:highlight w:val="yellow"/>
        </w:rPr>
        <w:t>6）</w:t>
      </w:r>
      <w:r>
        <w:rPr>
          <w:highlight w:val="yellow"/>
        </w:rPr>
        <w:tab/>
      </w:r>
      <w:r>
        <w:rPr>
          <w:highlight w:val="yellow"/>
        </w:rPr>
        <w:t>可识别的相控阵波位数≥19。</w:t>
      </w:r>
    </w:p>
    <w:p w14:paraId="7B0F8EC1">
      <w:pPr>
        <w:pStyle w:val="2"/>
        <w:rPr>
          <w:highlight w:val="yellow"/>
        </w:rPr>
      </w:pPr>
      <w:r>
        <w:rPr>
          <w:rFonts w:hint="eastAsia"/>
          <w:highlight w:val="yellow"/>
        </w:rPr>
        <w:t>（</w:t>
      </w:r>
      <w:r>
        <w:rPr>
          <w:highlight w:val="yellow"/>
        </w:rPr>
        <w:t>7）</w:t>
      </w:r>
      <w:r>
        <w:rPr>
          <w:highlight w:val="yellow"/>
        </w:rPr>
        <w:tab/>
      </w:r>
      <w:r>
        <w:rPr>
          <w:highlight w:val="yellow"/>
        </w:rPr>
        <w:t>可认知及预测的辐射源行为意图包括但不限于：</w:t>
      </w:r>
    </w:p>
    <w:p w14:paraId="1EE47116">
      <w:pPr>
        <w:pStyle w:val="2"/>
        <w:rPr>
          <w:highlight w:val="yellow"/>
        </w:rPr>
      </w:pPr>
      <w:r>
        <w:rPr>
          <w:highlight w:val="yellow"/>
        </w:rPr>
        <w:t>a)</w:t>
      </w:r>
      <w:r>
        <w:rPr>
          <w:highlight w:val="yellow"/>
        </w:rPr>
        <w:tab/>
      </w:r>
      <w:r>
        <w:rPr>
          <w:highlight w:val="yellow"/>
        </w:rPr>
        <w:t>无线域信息：发射功率、占用带宽、通信速率等；</w:t>
      </w:r>
    </w:p>
    <w:p w14:paraId="3CD30CEB">
      <w:pPr>
        <w:pStyle w:val="2"/>
        <w:rPr>
          <w:highlight w:val="yellow"/>
        </w:rPr>
      </w:pPr>
      <w:r>
        <w:rPr>
          <w:highlight w:val="yellow"/>
        </w:rPr>
        <w:t>b)</w:t>
      </w:r>
      <w:r>
        <w:rPr>
          <w:highlight w:val="yellow"/>
        </w:rPr>
        <w:tab/>
      </w:r>
      <w:r>
        <w:rPr>
          <w:highlight w:val="yellow"/>
        </w:rPr>
        <w:t>业务域信息：通信/测控/导航/探测等；</w:t>
      </w:r>
    </w:p>
    <w:p w14:paraId="07A3687E">
      <w:pPr>
        <w:pStyle w:val="2"/>
        <w:rPr>
          <w:highlight w:val="yellow"/>
        </w:rPr>
      </w:pPr>
      <w:r>
        <w:rPr>
          <w:highlight w:val="yellow"/>
        </w:rPr>
        <w:t>c)</w:t>
      </w:r>
      <w:r>
        <w:rPr>
          <w:highlight w:val="yellow"/>
        </w:rPr>
        <w:tab/>
      </w:r>
      <w:r>
        <w:rPr>
          <w:highlight w:val="yellow"/>
        </w:rPr>
        <w:t>标准域信息：DVB-S2X，NTN等；</w:t>
      </w:r>
    </w:p>
    <w:p w14:paraId="22EC6A70">
      <w:pPr>
        <w:pStyle w:val="2"/>
        <w:rPr>
          <w:highlight w:val="yellow"/>
        </w:rPr>
      </w:pPr>
      <w:r>
        <w:rPr>
          <w:highlight w:val="yellow"/>
        </w:rPr>
        <w:t>d)</w:t>
      </w:r>
      <w:r>
        <w:rPr>
          <w:highlight w:val="yellow"/>
        </w:rPr>
        <w:tab/>
      </w:r>
      <w:r>
        <w:rPr>
          <w:highlight w:val="yellow"/>
        </w:rPr>
        <w:t>空间域信息：</w:t>
      </w:r>
    </w:p>
    <w:p w14:paraId="62BC1B29">
      <w:pPr>
        <w:pStyle w:val="2"/>
        <w:rPr>
          <w:highlight w:val="yellow"/>
        </w:rPr>
      </w:pPr>
      <w:r>
        <w:rPr>
          <w:highlight w:val="yellow"/>
        </w:rPr>
        <w:t>i.</w:t>
      </w:r>
      <w:r>
        <w:rPr>
          <w:highlight w:val="yellow"/>
        </w:rPr>
        <w:tab/>
      </w:r>
      <w:r>
        <w:rPr>
          <w:highlight w:val="yellow"/>
        </w:rPr>
        <w:t>服务对象分布特征；</w:t>
      </w:r>
    </w:p>
    <w:p w14:paraId="656AD0E1">
      <w:pPr>
        <w:pStyle w:val="2"/>
        <w:rPr>
          <w:highlight w:val="yellow"/>
        </w:rPr>
      </w:pPr>
      <w:r>
        <w:rPr>
          <w:highlight w:val="yellow"/>
        </w:rPr>
        <w:t>ii.</w:t>
      </w:r>
      <w:r>
        <w:rPr>
          <w:highlight w:val="yellow"/>
        </w:rPr>
        <w:tab/>
      </w:r>
      <w:r>
        <w:rPr>
          <w:highlight w:val="yellow"/>
        </w:rPr>
        <w:t>链路类型：用户服务链路、馈电链路、星间链路、测控链路等；</w:t>
      </w:r>
    </w:p>
    <w:p w14:paraId="4DDC3189">
      <w:pPr>
        <w:pStyle w:val="2"/>
        <w:rPr>
          <w:highlight w:val="yellow"/>
        </w:rPr>
      </w:pPr>
      <w:r>
        <w:rPr>
          <w:highlight w:val="yellow"/>
        </w:rPr>
        <w:t>iii.</w:t>
      </w:r>
      <w:r>
        <w:rPr>
          <w:highlight w:val="yellow"/>
        </w:rPr>
        <w:tab/>
      </w:r>
      <w:r>
        <w:rPr>
          <w:highlight w:val="yellow"/>
        </w:rPr>
        <w:t>跳波束策略</w:t>
      </w:r>
    </w:p>
    <w:p w14:paraId="136540E5">
      <w:pPr>
        <w:pStyle w:val="2"/>
        <w:rPr>
          <w:highlight w:val="yellow"/>
        </w:rPr>
      </w:pPr>
      <w:r>
        <w:rPr>
          <w:highlight w:val="yellow"/>
        </w:rPr>
        <w:t>e)</w:t>
      </w:r>
      <w:r>
        <w:rPr>
          <w:highlight w:val="yellow"/>
        </w:rPr>
        <w:tab/>
      </w:r>
      <w:r>
        <w:rPr>
          <w:highlight w:val="yellow"/>
        </w:rPr>
        <w:t>用户域信息：服务对象位置信息、优先级、服务质量要求等。</w:t>
      </w:r>
    </w:p>
    <w:p w14:paraId="2E7748CA">
      <w:pPr>
        <w:pStyle w:val="2"/>
        <w:rPr>
          <w:highlight w:val="yellow"/>
        </w:rPr>
      </w:pPr>
    </w:p>
    <w:p w14:paraId="31303EAE">
      <w:pPr>
        <w:pStyle w:val="2"/>
        <w:rPr>
          <w:highlight w:val="yellow"/>
        </w:rPr>
      </w:pPr>
      <w:r>
        <w:rPr>
          <w:rFonts w:hint="eastAsia"/>
          <w:highlight w:val="yellow"/>
        </w:rPr>
        <w:t>成果形式：</w:t>
      </w:r>
    </w:p>
    <w:p w14:paraId="22E17620">
      <w:pPr>
        <w:pStyle w:val="2"/>
        <w:rPr>
          <w:highlight w:val="yellow"/>
        </w:rPr>
      </w:pPr>
      <w:r>
        <w:rPr>
          <w:rFonts w:hint="eastAsia"/>
          <w:highlight w:val="yellow"/>
        </w:rPr>
        <w:t>（</w:t>
      </w:r>
      <w:r>
        <w:rPr>
          <w:highlight w:val="yellow"/>
        </w:rPr>
        <w:t>1）</w:t>
      </w:r>
      <w:r>
        <w:rPr>
          <w:highlight w:val="yellow"/>
        </w:rPr>
        <w:tab/>
      </w:r>
      <w:r>
        <w:rPr>
          <w:highlight w:val="yellow"/>
        </w:rPr>
        <w:t>原理样机一套；</w:t>
      </w:r>
    </w:p>
    <w:p w14:paraId="3E7D6618">
      <w:pPr>
        <w:pStyle w:val="2"/>
        <w:rPr>
          <w:highlight w:val="yellow"/>
        </w:rPr>
      </w:pPr>
      <w:r>
        <w:rPr>
          <w:rFonts w:hint="eastAsia"/>
          <w:highlight w:val="yellow"/>
        </w:rPr>
        <w:t>（</w:t>
      </w:r>
      <w:r>
        <w:rPr>
          <w:highlight w:val="yellow"/>
        </w:rPr>
        <w:t>2）</w:t>
      </w:r>
      <w:r>
        <w:rPr>
          <w:highlight w:val="yellow"/>
        </w:rPr>
        <w:tab/>
      </w:r>
      <w:r>
        <w:rPr>
          <w:highlight w:val="yellow"/>
        </w:rPr>
        <w:t>试验验证报告一份；</w:t>
      </w:r>
    </w:p>
    <w:p w14:paraId="6BC27098">
      <w:pPr>
        <w:pStyle w:val="2"/>
        <w:rPr>
          <w:highlight w:val="yellow"/>
        </w:rPr>
      </w:pPr>
      <w:r>
        <w:rPr>
          <w:rFonts w:hint="eastAsia"/>
          <w:highlight w:val="yellow"/>
        </w:rPr>
        <w:t>（</w:t>
      </w:r>
      <w:r>
        <w:rPr>
          <w:highlight w:val="yellow"/>
        </w:rPr>
        <w:t>3）</w:t>
      </w:r>
      <w:r>
        <w:rPr>
          <w:highlight w:val="yellow"/>
        </w:rPr>
        <w:tab/>
      </w:r>
      <w:r>
        <w:rPr>
          <w:highlight w:val="yellow"/>
        </w:rPr>
        <w:t>研究报告一份。</w:t>
      </w:r>
    </w:p>
    <w:p w14:paraId="1D667B2B">
      <w:pPr>
        <w:pStyle w:val="2"/>
        <w:rPr>
          <w:highlight w:val="yellow"/>
        </w:rPr>
      </w:pPr>
    </w:p>
    <w:p w14:paraId="7F8FF583">
      <w:pPr>
        <w:pStyle w:val="2"/>
        <w:rPr>
          <w:highlight w:val="yellow"/>
        </w:rPr>
      </w:pPr>
      <w:r>
        <w:rPr>
          <w:rFonts w:hint="eastAsia"/>
          <w:highlight w:val="yellow"/>
        </w:rPr>
        <w:t>考核方式：</w:t>
      </w:r>
    </w:p>
    <w:p w14:paraId="50CA9B13">
      <w:pPr>
        <w:pStyle w:val="2"/>
        <w:rPr>
          <w:rFonts w:hint="eastAsia"/>
        </w:rPr>
      </w:pPr>
      <w:r>
        <w:rPr>
          <w:rFonts w:hint="eastAsia"/>
          <w:highlight w:val="yellow"/>
        </w:rPr>
        <w:t>评审、试验验证。</w:t>
      </w:r>
    </w:p>
    <w:p w14:paraId="07AC04BE">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成果1：</w:t>
      </w:r>
      <w:r>
        <w:rPr>
          <w:rFonts w:hint="eastAsia" w:ascii="Times New Roman" w:hAnsi="Times New Roman" w:eastAsia="仿宋_GB2312" w:cs="Times New Roman"/>
          <w:i/>
          <w:iCs/>
          <w:kern w:val="0"/>
          <w:szCs w:val="32"/>
        </w:rPr>
        <w:t>**演示试验/验证系统</w:t>
      </w:r>
    </w:p>
    <w:p w14:paraId="6D3EA285">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kern w:val="0"/>
          <w:szCs w:val="32"/>
        </w:rPr>
        <w:t>考核指标：</w:t>
      </w:r>
      <w:r>
        <w:rPr>
          <w:rFonts w:hint="eastAsia" w:ascii="Times New Roman" w:hAnsi="Times New Roman" w:eastAsia="仿宋_GB2312" w:cs="Times New Roman"/>
          <w:i/>
          <w:iCs/>
          <w:kern w:val="0"/>
          <w:szCs w:val="32"/>
        </w:rPr>
        <w:t>（须全面阐述整个试验/验证系统的指标，而不是单个关键指标）一套**试验系统：重载摆动**试验模块(**Hz，**MPa)、**摩擦学试验模块(** Hz，** MPa)和</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**模块：**(-**~+**℃)、原子**密度(**×** 原子/cm</w:t>
      </w:r>
      <w:r>
        <w:rPr>
          <w:rFonts w:hint="eastAsia" w:ascii="Times New Roman" w:hAnsi="Times New Roman" w:eastAsia="仿宋_GB2312" w:cs="Times New Roman"/>
          <w:i/>
          <w:iCs/>
          <w:kern w:val="0"/>
          <w:szCs w:val="32"/>
          <w:vertAlign w:val="superscript"/>
        </w:rPr>
        <w:t>2</w:t>
      </w:r>
      <w:r>
        <w:rPr>
          <w:rFonts w:hint="eastAsia" w:ascii="微软雅黑" w:hAnsi="微软雅黑" w:eastAsia="微软雅黑" w:cs="微软雅黑"/>
          <w:i/>
          <w:iCs/>
          <w:kern w:val="0"/>
          <w:szCs w:val="32"/>
        </w:rPr>
        <w:t>•</w:t>
      </w:r>
      <w:r>
        <w:rPr>
          <w:rFonts w:hint="eastAsia" w:ascii="Times New Roman" w:hAnsi="Times New Roman" w:eastAsia="仿宋_GB2312" w:cs="Times New Roman"/>
          <w:i/>
          <w:iCs/>
          <w:kern w:val="0"/>
          <w:szCs w:val="32"/>
        </w:rPr>
        <w:t>s)，**照强度(**倍太阳常数)……。</w:t>
      </w:r>
    </w:p>
    <w:p w14:paraId="16EDBCAF">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w:t>
      </w:r>
      <w:r>
        <w:rPr>
          <w:rFonts w:ascii="Times New Roman" w:hAnsi="Times New Roman" w:eastAsia="仿宋_GB2312" w:cs="Times New Roman"/>
          <w:b/>
          <w:bCs/>
          <w:kern w:val="0"/>
          <w:szCs w:val="32"/>
        </w:rPr>
        <w:t>2</w:t>
      </w:r>
      <w:r>
        <w:rPr>
          <w:rFonts w:hint="eastAsia" w:ascii="Times New Roman" w:hAnsi="Times New Roman" w:eastAsia="仿宋_GB2312" w:cs="Times New Roman"/>
          <w:b/>
          <w:bCs/>
          <w:kern w:val="0"/>
          <w:szCs w:val="32"/>
        </w:rPr>
        <w:t>：</w:t>
      </w:r>
      <w:r>
        <w:rPr>
          <w:rFonts w:hint="eastAsia" w:ascii="Times New Roman" w:hAnsi="Times New Roman" w:eastAsia="仿宋_GB2312" w:cs="Times New Roman"/>
          <w:i/>
          <w:iCs/>
          <w:kern w:val="0"/>
          <w:szCs w:val="32"/>
        </w:rPr>
        <w:t>车载**天线原理样机</w:t>
      </w:r>
    </w:p>
    <w:p w14:paraId="396C3C7F">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考核指标：</w:t>
      </w:r>
    </w:p>
    <w:p w14:paraId="0859B373">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（1）共性天线形式：*维曲面，曲率半径不大于**mm；</w:t>
      </w:r>
    </w:p>
    <w:p w14:paraId="7445F80C">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（2）结构尺寸：**量级；</w:t>
      </w:r>
    </w:p>
    <w:p w14:paraId="3B49EA2F">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（3）频段：**、**、L等频段；</w:t>
      </w:r>
    </w:p>
    <w:p w14:paraId="1DA9D070">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（4）厚度：不大于**</w:t>
      </w:r>
    </w:p>
    <w:p w14:paraId="16AE177B">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（5）驻波：不大于**</w:t>
      </w:r>
    </w:p>
    <w:p w14:paraId="2FC78567">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w:t>
      </w:r>
    </w:p>
    <w:p w14:paraId="14559158">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成果3：</w:t>
      </w:r>
      <w:r>
        <w:rPr>
          <w:rFonts w:hint="eastAsia" w:ascii="Times New Roman" w:hAnsi="Times New Roman" w:eastAsia="仿宋_GB2312" w:cs="Times New Roman"/>
          <w:i/>
          <w:iCs/>
          <w:kern w:val="0"/>
          <w:szCs w:val="32"/>
        </w:rPr>
        <w:t>**样品/样件</w:t>
      </w:r>
    </w:p>
    <w:p w14:paraId="31B5970A">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kern w:val="0"/>
          <w:szCs w:val="32"/>
        </w:rPr>
        <w:t>考核指标：</w:t>
      </w:r>
    </w:p>
    <w:p w14:paraId="1E702BB5">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（1）**套在承载**MPa下寿命**以上的**样件；</w:t>
      </w:r>
    </w:p>
    <w:p w14:paraId="504986C2">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（2）**套在**Hz条件下寿命**的样件；</w:t>
      </w:r>
    </w:p>
    <w:p w14:paraId="2FC3AFAC">
      <w:pPr>
        <w:widowControl/>
        <w:adjustRightInd w:val="0"/>
        <w:snapToGrid w:val="0"/>
        <w:ind w:firstLine="560"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i/>
          <w:iCs/>
          <w:kern w:val="0"/>
          <w:szCs w:val="32"/>
        </w:rPr>
        <w:t>（3）**根晶体：尺寸≥φ**×**，吸收系数≤**cm-</w:t>
      </w:r>
      <w:r>
        <w:rPr>
          <w:rFonts w:hint="eastAsia" w:ascii="Times New Roman" w:hAnsi="Times New Roman" w:eastAsia="仿宋_GB2312" w:cs="Times New Roman"/>
          <w:i/>
          <w:iCs/>
          <w:kern w:val="0"/>
          <w:szCs w:val="32"/>
          <w:vertAlign w:val="superscript"/>
        </w:rPr>
        <w:t>1</w:t>
      </w:r>
      <w:r>
        <w:rPr>
          <w:rFonts w:hint="eastAsia" w:ascii="Times New Roman" w:hAnsi="Times New Roman" w:eastAsia="仿宋_GB2312" w:cs="Times New Roman"/>
          <w:i/>
          <w:iCs/>
          <w:kern w:val="0"/>
          <w:szCs w:val="32"/>
        </w:rPr>
        <w:t>，**损伤阈值≥**J/cm</w:t>
      </w:r>
      <w:r>
        <w:rPr>
          <w:rFonts w:hint="eastAsia" w:ascii="Times New Roman" w:hAnsi="Times New Roman" w:eastAsia="仿宋_GB2312" w:cs="Times New Roman"/>
          <w:i/>
          <w:iCs/>
          <w:kern w:val="0"/>
          <w:szCs w:val="32"/>
          <w:vertAlign w:val="superscript"/>
        </w:rPr>
        <w:t>2</w:t>
      </w:r>
      <w:r>
        <w:rPr>
          <w:rFonts w:hint="eastAsia" w:ascii="Times New Roman" w:hAnsi="Times New Roman" w:eastAsia="仿宋_GB2312" w:cs="Times New Roman"/>
          <w:i/>
          <w:iCs/>
          <w:kern w:val="0"/>
          <w:szCs w:val="32"/>
        </w:rPr>
        <w:t>，**μm**平均功率≥**W，光束**≤**。</w:t>
      </w:r>
    </w:p>
    <w:p w14:paraId="0137223E">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w:t>
      </w:r>
      <w:r>
        <w:rPr>
          <w:rFonts w:ascii="Times New Roman" w:hAnsi="Times New Roman" w:eastAsia="仿宋_GB2312" w:cs="Times New Roman"/>
          <w:b/>
          <w:bCs/>
          <w:kern w:val="0"/>
          <w:szCs w:val="32"/>
        </w:rPr>
        <w:t>4</w:t>
      </w:r>
      <w:r>
        <w:rPr>
          <w:rFonts w:hint="eastAsia" w:ascii="Times New Roman" w:hAnsi="Times New Roman" w:eastAsia="仿宋_GB2312" w:cs="Times New Roman"/>
          <w:b/>
          <w:bCs/>
          <w:kern w:val="0"/>
          <w:szCs w:val="32"/>
        </w:rPr>
        <w:t>：</w:t>
      </w:r>
      <w:r>
        <w:rPr>
          <w:rFonts w:hint="eastAsia" w:ascii="Times New Roman" w:hAnsi="Times New Roman" w:eastAsia="仿宋_GB2312" w:cs="Times New Roman"/>
          <w:i/>
          <w:iCs/>
          <w:kern w:val="0"/>
          <w:szCs w:val="32"/>
        </w:rPr>
        <w:t>*</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理论。</w:t>
      </w:r>
    </w:p>
    <w:p w14:paraId="3B296650">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kern w:val="0"/>
          <w:szCs w:val="32"/>
        </w:rPr>
        <w:t>考核指标：</w:t>
      </w:r>
      <w:r>
        <w:rPr>
          <w:rFonts w:hint="eastAsia" w:ascii="Times New Roman" w:hAnsi="Times New Roman" w:eastAsia="仿宋_GB2312" w:cs="Times New Roman"/>
          <w:i/>
          <w:iCs/>
          <w:kern w:val="0"/>
          <w:szCs w:val="32"/>
        </w:rPr>
        <w:t>建立*</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理论体系；成功预测出</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材料；成功提出*</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方案；成功建立*</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的新途径；*</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达到国际先进水平。</w:t>
      </w:r>
    </w:p>
    <w:p w14:paraId="3E46D0F9">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w:t>
      </w:r>
      <w:r>
        <w:rPr>
          <w:rFonts w:ascii="Times New Roman" w:hAnsi="Times New Roman" w:eastAsia="仿宋_GB2312" w:cs="Times New Roman"/>
          <w:b/>
          <w:bCs/>
          <w:kern w:val="0"/>
          <w:szCs w:val="32"/>
        </w:rPr>
        <w:t>5</w:t>
      </w:r>
      <w:r>
        <w:rPr>
          <w:rFonts w:hint="eastAsia" w:ascii="Times New Roman" w:hAnsi="Times New Roman" w:eastAsia="仿宋_GB2312" w:cs="Times New Roman"/>
          <w:b/>
          <w:bCs/>
          <w:kern w:val="0"/>
          <w:szCs w:val="32"/>
        </w:rPr>
        <w:t>：</w:t>
      </w:r>
      <w:r>
        <w:rPr>
          <w:rFonts w:hint="eastAsia" w:ascii="Times New Roman" w:hAnsi="Times New Roman" w:eastAsia="仿宋_GB2312" w:cs="Times New Roman"/>
          <w:i/>
          <w:iCs/>
          <w:kern w:val="0"/>
          <w:szCs w:val="32"/>
        </w:rPr>
        <w:t>**标准/规范</w:t>
      </w:r>
    </w:p>
    <w:p w14:paraId="3DCBB174">
      <w:pPr>
        <w:widowControl/>
        <w:adjustRightInd w:val="0"/>
        <w:snapToGrid w:val="0"/>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i/>
          <w:iCs/>
          <w:kern w:val="0"/>
          <w:szCs w:val="32"/>
        </w:rPr>
        <w:t>考核指标：建立了**材料制备工艺及表征技术规范；建立了**性能验证试验规范；建立了**质量检测标准体系。</w:t>
      </w:r>
    </w:p>
    <w:p w14:paraId="4A63968B">
      <w:pPr>
        <w:widowControl/>
        <w:adjustRightInd w:val="0"/>
        <w:snapToGrid w:val="0"/>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w:t>
      </w:r>
      <w:r>
        <w:rPr>
          <w:rFonts w:ascii="Times New Roman" w:hAnsi="Times New Roman" w:eastAsia="仿宋_GB2312" w:cs="Times New Roman"/>
          <w:b/>
          <w:bCs/>
          <w:kern w:val="0"/>
          <w:szCs w:val="32"/>
        </w:rPr>
        <w:t>6</w:t>
      </w:r>
      <w:r>
        <w:rPr>
          <w:rFonts w:hint="eastAsia" w:ascii="Times New Roman" w:hAnsi="Times New Roman" w:eastAsia="仿宋_GB2312" w:cs="Times New Roman"/>
          <w:b/>
          <w:bCs/>
          <w:kern w:val="0"/>
          <w:szCs w:val="32"/>
        </w:rPr>
        <w:t>：</w:t>
      </w:r>
      <w:r>
        <w:rPr>
          <w:rFonts w:hint="eastAsia" w:ascii="Times New Roman" w:hAnsi="Times New Roman" w:eastAsia="仿宋_GB2312" w:cs="Times New Roman"/>
          <w:i/>
          <w:iCs/>
          <w:kern w:val="0"/>
          <w:szCs w:val="32"/>
        </w:rPr>
        <w:t>**数据库/软件</w:t>
      </w:r>
    </w:p>
    <w:p w14:paraId="69931F72">
      <w:pPr>
        <w:widowControl/>
        <w:adjustRightInd w:val="0"/>
        <w:snapToGrid w:val="0"/>
        <w:spacing w:line="560" w:lineRule="exact"/>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kern w:val="0"/>
          <w:szCs w:val="32"/>
        </w:rPr>
        <w:t>考核指标：</w:t>
      </w:r>
      <w:r>
        <w:rPr>
          <w:rFonts w:hint="eastAsia" w:ascii="Times New Roman" w:hAnsi="Times New Roman" w:eastAsia="仿宋_GB2312" w:cs="Times New Roman"/>
          <w:i/>
          <w:iCs/>
          <w:kern w:val="0"/>
          <w:szCs w:val="32"/>
        </w:rPr>
        <w:t>**个**材料高温**性能数据库</w:t>
      </w:r>
      <w:r>
        <w:rPr>
          <w:rFonts w:ascii="Times New Roman" w:hAnsi="Times New Roman" w:eastAsia="仿宋_GB2312" w:cs="Times New Roman"/>
          <w:i/>
          <w:iCs/>
          <w:kern w:val="0"/>
          <w:szCs w:val="32"/>
        </w:rPr>
        <w:t>，指标</w:t>
      </w:r>
      <w:r>
        <w:rPr>
          <w:rFonts w:hint="eastAsia" w:ascii="Times New Roman" w:hAnsi="Times New Roman" w:eastAsia="仿宋_GB2312" w:cs="Times New Roman"/>
          <w:i/>
          <w:iCs/>
          <w:kern w:val="0"/>
          <w:szCs w:val="32"/>
        </w:rPr>
        <w:t>**；成功发展出一套完整的、有自主知识产权的模拟非**下**性质的计算程序</w:t>
      </w:r>
      <w:r>
        <w:rPr>
          <w:rFonts w:ascii="Times New Roman" w:hAnsi="Times New Roman" w:eastAsia="仿宋_GB2312" w:cs="Times New Roman"/>
          <w:i/>
          <w:iCs/>
          <w:kern w:val="0"/>
          <w:szCs w:val="32"/>
        </w:rPr>
        <w:t>**</w:t>
      </w:r>
      <w:r>
        <w:rPr>
          <w:rFonts w:hint="eastAsia" w:ascii="Times New Roman" w:hAnsi="Times New Roman" w:eastAsia="仿宋_GB2312" w:cs="Times New Roman"/>
          <w:i/>
          <w:iCs/>
          <w:kern w:val="0"/>
          <w:szCs w:val="32"/>
        </w:rPr>
        <w:t>软件**套</w:t>
      </w:r>
      <w:r>
        <w:rPr>
          <w:rFonts w:ascii="Times New Roman" w:hAnsi="Times New Roman" w:eastAsia="仿宋_GB2312" w:cs="Times New Roman"/>
          <w:i/>
          <w:iCs/>
          <w:kern w:val="0"/>
          <w:szCs w:val="32"/>
        </w:rPr>
        <w:t>，指标</w:t>
      </w:r>
      <w:r>
        <w:rPr>
          <w:rFonts w:hint="eastAsia" w:ascii="Times New Roman" w:hAnsi="Times New Roman" w:eastAsia="仿宋_GB2312" w:cs="Times New Roman"/>
          <w:i/>
          <w:iCs/>
          <w:kern w:val="0"/>
          <w:szCs w:val="32"/>
        </w:rPr>
        <w:t>**。</w:t>
      </w:r>
    </w:p>
    <w:p w14:paraId="4C2A4728">
      <w:pPr>
        <w:widowControl/>
        <w:adjustRightInd w:val="0"/>
        <w:snapToGrid w:val="0"/>
        <w:spacing w:line="560" w:lineRule="exact"/>
        <w:ind w:firstLine="562" w:firstLineChars="200"/>
        <w:jc w:val="left"/>
        <w:rPr>
          <w:rFonts w:ascii="Times New Roman" w:hAnsi="Times New Roman" w:eastAsia="仿宋_GB2312" w:cs="Times New Roman"/>
          <w:kern w:val="0"/>
          <w:szCs w:val="32"/>
        </w:rPr>
      </w:pPr>
      <w:r>
        <w:rPr>
          <w:rFonts w:hint="eastAsia" w:ascii="Times New Roman" w:hAnsi="Times New Roman" w:eastAsia="仿宋_GB2312" w:cs="Times New Roman"/>
          <w:b/>
          <w:bCs/>
          <w:kern w:val="0"/>
          <w:szCs w:val="32"/>
        </w:rPr>
        <w:t>成果</w:t>
      </w:r>
      <w:r>
        <w:rPr>
          <w:rFonts w:ascii="Times New Roman" w:hAnsi="Times New Roman" w:eastAsia="仿宋_GB2312" w:cs="Times New Roman"/>
          <w:b/>
          <w:bCs/>
          <w:kern w:val="0"/>
          <w:szCs w:val="32"/>
        </w:rPr>
        <w:t>7</w:t>
      </w:r>
      <w:r>
        <w:rPr>
          <w:rFonts w:hint="eastAsia" w:ascii="Times New Roman" w:hAnsi="Times New Roman" w:eastAsia="仿宋_GB2312" w:cs="Times New Roman"/>
          <w:b/>
          <w:bCs/>
          <w:kern w:val="0"/>
          <w:szCs w:val="32"/>
        </w:rPr>
        <w:t>：</w:t>
      </w:r>
      <w:r>
        <w:rPr>
          <w:rFonts w:hint="eastAsia" w:ascii="Times New Roman" w:hAnsi="Times New Roman" w:eastAsia="仿宋_GB2312" w:cs="Times New Roman"/>
          <w:i/>
          <w:iCs/>
          <w:kern w:val="0"/>
          <w:szCs w:val="32"/>
        </w:rPr>
        <w:t>**工程工艺</w:t>
      </w:r>
    </w:p>
    <w:p w14:paraId="0CF8B535">
      <w:pPr>
        <w:widowControl/>
        <w:adjustRightInd w:val="0"/>
        <w:snapToGrid w:val="0"/>
        <w:spacing w:line="560" w:lineRule="exact"/>
        <w:ind w:firstLine="560" w:firstLineChars="200"/>
        <w:jc w:val="left"/>
        <w:rPr>
          <w:rFonts w:ascii="Times New Roman" w:hAnsi="Times New Roman" w:eastAsia="仿宋_GB2312" w:cs="Times New Roman"/>
          <w:i/>
          <w:iCs/>
          <w:kern w:val="0"/>
          <w:szCs w:val="32"/>
        </w:rPr>
      </w:pPr>
      <w:r>
        <w:rPr>
          <w:rFonts w:hint="eastAsia" w:ascii="Times New Roman" w:hAnsi="Times New Roman" w:eastAsia="仿宋_GB2312" w:cs="Times New Roman"/>
          <w:kern w:val="0"/>
          <w:szCs w:val="32"/>
        </w:rPr>
        <w:t>考核指标：</w:t>
      </w:r>
      <w:r>
        <w:rPr>
          <w:rFonts w:hint="eastAsia" w:ascii="Times New Roman" w:hAnsi="Times New Roman" w:eastAsia="仿宋_GB2312" w:cs="Times New Roman"/>
          <w:i/>
          <w:iCs/>
          <w:kern w:val="0"/>
          <w:szCs w:val="32"/>
        </w:rPr>
        <w:t>**项**材料制备工艺；**项**性能工艺；**项**质量检测工艺。</w:t>
      </w:r>
    </w:p>
    <w:p w14:paraId="3C4C6668">
      <w:pPr>
        <w:pStyle w:val="4"/>
        <w:spacing w:before="0" w:after="0" w:line="560" w:lineRule="exact"/>
        <w:ind w:firstLine="640" w:firstLineChars="200"/>
        <w:rPr>
          <w:rFonts w:ascii="Times New Roman" w:hAnsi="Times New Roman" w:cs="Times New Roman"/>
        </w:rPr>
      </w:pPr>
      <w:bookmarkStart w:id="32" w:name="_Toc1552874"/>
      <w:bookmarkStart w:id="33" w:name="_Toc192928710"/>
      <w:r>
        <w:rPr>
          <w:rFonts w:ascii="Times New Roman" w:hAnsi="Times New Roman" w:cs="Times New Roman"/>
        </w:rPr>
        <w:t>评估方案</w:t>
      </w:r>
      <w:bookmarkEnd w:id="32"/>
      <w:bookmarkEnd w:id="33"/>
    </w:p>
    <w:p w14:paraId="5A016771">
      <w:pPr>
        <w:adjustRightInd w:val="0"/>
        <w:snapToGrid w:val="0"/>
        <w:spacing w:line="560" w:lineRule="exact"/>
        <w:ind w:firstLine="560" w:firstLineChars="200"/>
        <w:jc w:val="left"/>
        <w:rPr>
          <w:rFonts w:ascii="仿宋_GB2312" w:eastAsia="仿宋_GB2312"/>
          <w:i/>
        </w:rPr>
      </w:pPr>
      <w:bookmarkStart w:id="34" w:name="_Toc1552875"/>
      <w:r>
        <w:rPr>
          <w:rFonts w:hint="eastAsia" w:ascii="仿宋_GB2312" w:eastAsia="仿宋_GB2312"/>
          <w:i/>
        </w:rPr>
        <w:t>（围绕研究成果及考核指标，</w:t>
      </w:r>
      <w:r>
        <w:rPr>
          <w:rFonts w:ascii="仿宋_GB2312" w:eastAsia="仿宋_GB2312"/>
          <w:i/>
        </w:rPr>
        <w:t>逐项</w:t>
      </w:r>
      <w:r>
        <w:rPr>
          <w:rFonts w:hint="eastAsia" w:ascii="仿宋_GB2312" w:eastAsia="仿宋_GB2312"/>
          <w:i/>
        </w:rPr>
        <w:t>提出具体的评估方案。可考虑通过国标、检测机构、企业标准测量、实验等多种方法，具体落实各项指标的评测。对可能影响指标评测结果的各种边界因素条件，均应明确说明，避免理解歧义。）</w:t>
      </w:r>
    </w:p>
    <w:p w14:paraId="02EA34B8">
      <w:pPr>
        <w:pStyle w:val="4"/>
        <w:spacing w:before="0" w:after="0" w:line="560" w:lineRule="exact"/>
        <w:ind w:firstLine="640" w:firstLineChars="200"/>
        <w:rPr>
          <w:rFonts w:ascii="Times New Roman" w:hAnsi="Times New Roman" w:cs="Times New Roman"/>
        </w:rPr>
      </w:pPr>
      <w:bookmarkStart w:id="35" w:name="_Toc192928711"/>
      <w:r>
        <w:rPr>
          <w:rFonts w:ascii="Times New Roman" w:hAnsi="Times New Roman" w:cs="Times New Roman"/>
        </w:rPr>
        <w:t>预期效益</w:t>
      </w:r>
      <w:bookmarkEnd w:id="34"/>
      <w:bookmarkEnd w:id="35"/>
    </w:p>
    <w:p w14:paraId="6DF52213">
      <w:pPr>
        <w:adjustRightInd w:val="0"/>
        <w:snapToGrid w:val="0"/>
        <w:spacing w:line="560" w:lineRule="exact"/>
        <w:ind w:firstLine="560" w:firstLineChars="200"/>
        <w:jc w:val="left"/>
        <w:rPr>
          <w:rFonts w:ascii="仿宋_GB2312" w:eastAsia="仿宋_GB2312"/>
          <w:i/>
        </w:rPr>
      </w:pPr>
      <w:r>
        <w:rPr>
          <w:rFonts w:hint="eastAsia" w:ascii="仿宋_GB2312" w:eastAsia="仿宋_GB2312"/>
          <w:i/>
        </w:rPr>
        <w:t>（简要描述该项目研究成果得到应用后，对解决国防科技现实瓶颈问题和支撑未来技术发展方面的预期支撑作用。）</w:t>
      </w:r>
    </w:p>
    <w:p w14:paraId="4A5BD38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56066E"/>
    <w:multiLevelType w:val="multilevel"/>
    <w:tmpl w:val="1A56066E"/>
    <w:lvl w:ilvl="0" w:tentative="0">
      <w:start w:val="1"/>
      <w:numFmt w:val="chineseCountingThousand"/>
      <w:pStyle w:val="3"/>
      <w:suff w:val="nothing"/>
      <w:lvlText w:val="%1"/>
      <w:lvlJc w:val="left"/>
      <w:pPr>
        <w:ind w:left="0" w:firstLine="0"/>
      </w:pPr>
      <w:rPr>
        <w:rFonts w:hint="eastAsia"/>
      </w:rPr>
    </w:lvl>
    <w:lvl w:ilvl="1" w:tentative="0">
      <w:start w:val="1"/>
      <w:numFmt w:val="chineseCountingThousand"/>
      <w:pStyle w:val="4"/>
      <w:suff w:val="space"/>
      <w:lvlText w:val="(%2)"/>
      <w:lvlJc w:val="left"/>
      <w:pPr>
        <w:ind w:left="0" w:firstLine="0"/>
      </w:pPr>
      <w:rPr>
        <w:rFonts w:hint="eastAsia"/>
      </w:rPr>
    </w:lvl>
    <w:lvl w:ilvl="2" w:tentative="0">
      <w:start w:val="1"/>
      <w:numFmt w:val="decimal"/>
      <w:pStyle w:val="5"/>
      <w:suff w:val="nothing"/>
      <w:lvlText w:val="%3"/>
      <w:lvlJc w:val="left"/>
      <w:pPr>
        <w:ind w:left="0" w:firstLine="0"/>
      </w:pPr>
      <w:rPr>
        <w:rFonts w:hint="eastAsia"/>
      </w:rPr>
    </w:lvl>
    <w:lvl w:ilvl="3" w:tentative="0">
      <w:start w:val="1"/>
      <w:numFmt w:val="decimal"/>
      <w:suff w:val="space"/>
      <w:lvlText w:val="%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615"/>
    <w:rsid w:val="002220AB"/>
    <w:rsid w:val="0066750B"/>
    <w:rsid w:val="00757E79"/>
    <w:rsid w:val="009D08DD"/>
    <w:rsid w:val="00CD6615"/>
    <w:rsid w:val="09FF6BBC"/>
    <w:rsid w:val="0DCBD4E1"/>
    <w:rsid w:val="16748117"/>
    <w:rsid w:val="1FDF4CEC"/>
    <w:rsid w:val="2FEB685B"/>
    <w:rsid w:val="3FEBB237"/>
    <w:rsid w:val="539B9D07"/>
    <w:rsid w:val="5BBEC907"/>
    <w:rsid w:val="5D66D51B"/>
    <w:rsid w:val="5DFB93AD"/>
    <w:rsid w:val="5FFFE7B9"/>
    <w:rsid w:val="6EF79B1C"/>
    <w:rsid w:val="6FE435DC"/>
    <w:rsid w:val="6FFFF919"/>
    <w:rsid w:val="77AFB500"/>
    <w:rsid w:val="7DF77154"/>
    <w:rsid w:val="7FBF42A1"/>
    <w:rsid w:val="929FE480"/>
    <w:rsid w:val="95FF3454"/>
    <w:rsid w:val="9DFFA106"/>
    <w:rsid w:val="AFFE45DC"/>
    <w:rsid w:val="BD57A75C"/>
    <w:rsid w:val="BE3ED022"/>
    <w:rsid w:val="BF76DC5E"/>
    <w:rsid w:val="C68DAAE5"/>
    <w:rsid w:val="CDFB0538"/>
    <w:rsid w:val="D251AECF"/>
    <w:rsid w:val="D5B786A0"/>
    <w:rsid w:val="D7FFE485"/>
    <w:rsid w:val="E1EFCCCA"/>
    <w:rsid w:val="E37D5184"/>
    <w:rsid w:val="EEFDD526"/>
    <w:rsid w:val="F2CC0DD3"/>
    <w:rsid w:val="F4FEB1EB"/>
    <w:rsid w:val="F5D71549"/>
    <w:rsid w:val="FD7FB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00" w:lineRule="exact"/>
      <w:jc w:val="both"/>
    </w:pPr>
    <w:rPr>
      <w:rFonts w:ascii="仿宋" w:hAnsi="仿宋" w:eastAsia="仿宋" w:cs="仿宋"/>
      <w:kern w:val="2"/>
      <w:sz w:val="28"/>
      <w:szCs w:val="28"/>
      <w:lang w:val="en-US" w:eastAsia="zh-CN" w:bidi="ar-SA"/>
    </w:rPr>
  </w:style>
  <w:style w:type="paragraph" w:styleId="3">
    <w:name w:val="heading 1"/>
    <w:basedOn w:val="1"/>
    <w:next w:val="1"/>
    <w:link w:val="12"/>
    <w:qFormat/>
    <w:uiPriority w:val="9"/>
    <w:pPr>
      <w:keepNext/>
      <w:keepLines/>
      <w:numPr>
        <w:ilvl w:val="0"/>
        <w:numId w:val="1"/>
      </w:numPr>
      <w:spacing w:before="340" w:after="330"/>
      <w:outlineLvl w:val="0"/>
    </w:pPr>
    <w:rPr>
      <w:rFonts w:ascii="黑体" w:hAnsi="黑体" w:eastAsia="黑体" w:cs="黑体"/>
      <w:bCs/>
      <w:kern w:val="44"/>
      <w:sz w:val="32"/>
      <w:szCs w:val="32"/>
    </w:rPr>
  </w:style>
  <w:style w:type="paragraph" w:styleId="4">
    <w:name w:val="heading 2"/>
    <w:basedOn w:val="1"/>
    <w:next w:val="1"/>
    <w:link w:val="13"/>
    <w:unhideWhenUsed/>
    <w:qFormat/>
    <w:uiPriority w:val="9"/>
    <w:pPr>
      <w:keepNext/>
      <w:keepLines/>
      <w:numPr>
        <w:ilvl w:val="1"/>
        <w:numId w:val="1"/>
      </w:numPr>
      <w:spacing w:before="260" w:after="260"/>
      <w:outlineLvl w:val="1"/>
    </w:pPr>
    <w:rPr>
      <w:rFonts w:ascii="楷体" w:hAnsi="楷体" w:eastAsia="楷体" w:cs="楷体"/>
      <w:bCs/>
      <w:sz w:val="32"/>
      <w:szCs w:val="32"/>
    </w:rPr>
  </w:style>
  <w:style w:type="paragraph" w:styleId="5">
    <w:name w:val="heading 3"/>
    <w:basedOn w:val="1"/>
    <w:next w:val="1"/>
    <w:link w:val="14"/>
    <w:unhideWhenUsed/>
    <w:qFormat/>
    <w:uiPriority w:val="9"/>
    <w:pPr>
      <w:keepNext/>
      <w:keepLines/>
      <w:numPr>
        <w:ilvl w:val="2"/>
        <w:numId w:val="1"/>
      </w:numPr>
      <w:spacing w:before="260" w:after="260" w:line="416" w:lineRule="atLeast"/>
      <w:outlineLvl w:val="2"/>
    </w:pPr>
    <w:rPr>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link w:val="15"/>
    <w:unhideWhenUsed/>
    <w:qFormat/>
    <w:uiPriority w:val="99"/>
  </w:style>
  <w:style w:type="paragraph" w:styleId="6">
    <w:name w:val="footer"/>
    <w:basedOn w:val="1"/>
    <w:link w:val="11"/>
    <w:unhideWhenUsed/>
    <w:uiPriority w:val="99"/>
    <w:pPr>
      <w:tabs>
        <w:tab w:val="center" w:pos="4153"/>
        <w:tab w:val="right" w:pos="8306"/>
      </w:tabs>
      <w:snapToGrid w:val="0"/>
      <w:jc w:val="left"/>
    </w:pPr>
    <w:rPr>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标题 1 字符"/>
    <w:basedOn w:val="9"/>
    <w:link w:val="3"/>
    <w:uiPriority w:val="9"/>
    <w:rPr>
      <w:rFonts w:ascii="黑体" w:hAnsi="黑体" w:eastAsia="黑体" w:cs="黑体"/>
      <w:bCs/>
      <w:kern w:val="44"/>
      <w:sz w:val="32"/>
      <w:szCs w:val="32"/>
    </w:rPr>
  </w:style>
  <w:style w:type="character" w:customStyle="1" w:styleId="13">
    <w:name w:val="标题 2 字符"/>
    <w:basedOn w:val="9"/>
    <w:link w:val="4"/>
    <w:uiPriority w:val="9"/>
    <w:rPr>
      <w:rFonts w:ascii="楷体" w:hAnsi="楷体" w:eastAsia="楷体" w:cs="楷体"/>
      <w:bCs/>
      <w:sz w:val="32"/>
      <w:szCs w:val="32"/>
    </w:rPr>
  </w:style>
  <w:style w:type="character" w:customStyle="1" w:styleId="14">
    <w:name w:val="标题 3 字符"/>
    <w:basedOn w:val="9"/>
    <w:link w:val="5"/>
    <w:uiPriority w:val="9"/>
    <w:rPr>
      <w:rFonts w:ascii="仿宋" w:hAnsi="仿宋" w:eastAsia="仿宋" w:cs="仿宋"/>
      <w:b/>
      <w:bCs/>
      <w:sz w:val="32"/>
      <w:szCs w:val="32"/>
    </w:rPr>
  </w:style>
  <w:style w:type="character" w:customStyle="1" w:styleId="15">
    <w:name w:val="正文文本 字符"/>
    <w:basedOn w:val="9"/>
    <w:link w:val="2"/>
    <w:uiPriority w:val="99"/>
    <w:rPr>
      <w:rFonts w:ascii="仿宋" w:hAnsi="仿宋" w:eastAsia="仿宋" w:cs="仿宋"/>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320</Words>
  <Characters>1825</Characters>
  <Lines>15</Lines>
  <Paragraphs>4</Paragraphs>
  <TotalTime>59</TotalTime>
  <ScaleCrop>false</ScaleCrop>
  <LinksUpToDate>false</LinksUpToDate>
  <CharactersWithSpaces>2141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2025-03-15T11:48:00Z</dcterms:created>
  <dc:creator>凯</dc:creator>
  <cp:lastModifiedBy>吴伯涛</cp:lastModifiedBy>
  <dcterms:modified xsi:type="dcterms:W3CDTF">2025-03-16T17:27:35Z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3468C528F8BDB644D490D667F9F99651_42</vt:lpwstr>
  </property>
</Properties>
</file>