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E29201">
      <w:pPr>
        <w:pStyle w:val="2"/>
        <w:keepNext w:val="0"/>
        <w:keepLines w:val="0"/>
        <w:pageBreakBefore w:val="0"/>
        <w:kinsoku/>
        <w:wordWrap/>
        <w:overflowPunct/>
        <w:bidi w:val="0"/>
        <w:spacing w:after="0" w:line="360" w:lineRule="auto"/>
        <w:ind w:left="0" w:leftChars="0"/>
        <w:textAlignment w:val="auto"/>
        <w:outlineLvl w:val="0"/>
        <w:rPr>
          <w:rFonts w:eastAsia="黑体"/>
          <w:b/>
          <w:sz w:val="52"/>
        </w:rPr>
      </w:pPr>
      <w:bookmarkStart w:id="0" w:name="_Toc17865"/>
      <w:r>
        <w:rPr>
          <w:rFonts w:ascii="Times New Roman" w:hAnsi="Times New Roman" w:eastAsia="黑体"/>
          <w:sz w:val="30"/>
          <w:szCs w:val="30"/>
        </w:rPr>
        <w:t>附件</w:t>
      </w:r>
      <w:r>
        <w:rPr>
          <w:rFonts w:hint="eastAsia" w:eastAsia="黑体"/>
          <w:sz w:val="30"/>
          <w:szCs w:val="30"/>
          <w:lang w:val="en-US" w:eastAsia="zh-CN"/>
        </w:rPr>
        <w:t>2</w:t>
      </w:r>
      <w:r>
        <w:rPr>
          <w:rFonts w:ascii="Times New Roman" w:hAnsi="Times New Roman" w:eastAsia="黑体"/>
          <w:sz w:val="30"/>
          <w:szCs w:val="30"/>
        </w:rPr>
        <w:t>：</w:t>
      </w:r>
    </w:p>
    <w:p w14:paraId="6FC3D2BD">
      <w:pPr>
        <w:keepNext w:val="0"/>
        <w:keepLines w:val="0"/>
        <w:pageBreakBefore w:val="0"/>
        <w:widowControl w:val="0"/>
        <w:kinsoku/>
        <w:wordWrap/>
        <w:overflowPunct/>
        <w:topLinePunct w:val="0"/>
        <w:autoSpaceDE/>
        <w:autoSpaceDN/>
        <w:bidi w:val="0"/>
        <w:adjustRightInd/>
        <w:snapToGrid/>
        <w:spacing w:before="1144" w:beforeLines="300"/>
        <w:jc w:val="center"/>
        <w:textAlignment w:val="auto"/>
        <w:rPr>
          <w:rFonts w:eastAsia="黑体"/>
          <w:b/>
          <w:sz w:val="52"/>
        </w:rPr>
      </w:pPr>
      <w:r>
        <w:rPr>
          <w:rFonts w:eastAsia="黑体"/>
          <w:b/>
          <w:sz w:val="52"/>
        </w:rPr>
        <w:t>上海市科学技术委员会</w:t>
      </w:r>
      <w:bookmarkEnd w:id="0"/>
    </w:p>
    <w:p w14:paraId="2FE780B9">
      <w:pPr>
        <w:jc w:val="center"/>
        <w:rPr>
          <w:rFonts w:eastAsia="黑体"/>
          <w:b/>
          <w:sz w:val="52"/>
        </w:rPr>
      </w:pPr>
      <w:bookmarkStart w:id="1" w:name="_Toc11645"/>
      <w:r>
        <w:rPr>
          <w:rFonts w:hint="eastAsia" w:eastAsia="黑体"/>
          <w:b/>
          <w:sz w:val="52"/>
          <w:lang w:val="en-US" w:eastAsia="zh-CN"/>
        </w:rPr>
        <w:t>战略前沿专项</w:t>
      </w:r>
      <w:r>
        <w:rPr>
          <w:rFonts w:eastAsia="黑体"/>
          <w:b/>
          <w:sz w:val="52"/>
        </w:rPr>
        <w:t>项目可行性方案</w:t>
      </w:r>
      <w:bookmarkEnd w:id="1"/>
    </w:p>
    <w:p w14:paraId="5BEFF600">
      <w:pPr>
        <w:jc w:val="center"/>
        <w:rPr>
          <w:rFonts w:eastAsia="黑体"/>
          <w:b/>
          <w:szCs w:val="28"/>
        </w:rPr>
      </w:pPr>
    </w:p>
    <w:p w14:paraId="3F8131EF">
      <w:pPr>
        <w:jc w:val="center"/>
        <w:rPr>
          <w:rFonts w:eastAsia="黑体"/>
          <w:b/>
          <w:szCs w:val="28"/>
        </w:rPr>
      </w:pPr>
    </w:p>
    <w:p w14:paraId="46995C56">
      <w:pPr>
        <w:jc w:val="center"/>
        <w:rPr>
          <w:rFonts w:eastAsia="黑体"/>
          <w:b/>
          <w:szCs w:val="28"/>
        </w:rPr>
      </w:pPr>
    </w:p>
    <w:p w14:paraId="01B3F3C0">
      <w:pPr>
        <w:jc w:val="center"/>
        <w:rPr>
          <w:rFonts w:eastAsia="黑体"/>
          <w:b/>
          <w:szCs w:val="28"/>
        </w:rPr>
      </w:pPr>
    </w:p>
    <w:p w14:paraId="40F0C558">
      <w:pPr>
        <w:spacing w:line="760" w:lineRule="exact"/>
        <w:ind w:left="1154"/>
        <w:rPr>
          <w:u w:val="single"/>
        </w:rPr>
      </w:pPr>
      <w:r>
        <w:t>项目名称</w:t>
      </w:r>
      <w:r>
        <w:rPr>
          <w:u w:val="single"/>
        </w:rPr>
        <w:t xml:space="preserve"> </w:t>
      </w:r>
      <w:r>
        <w:rPr>
          <w:rFonts w:hint="eastAsia"/>
          <w:u w:val="single"/>
          <w:lang w:val="en-US" w:eastAsia="zh-CN"/>
        </w:rPr>
        <w:t xml:space="preserve">                                        </w:t>
      </w:r>
      <w:r>
        <w:rPr>
          <w:u w:val="single"/>
        </w:rPr>
        <w:t xml:space="preserve"> </w:t>
      </w:r>
    </w:p>
    <w:p w14:paraId="7491A444">
      <w:pPr>
        <w:spacing w:line="760" w:lineRule="exact"/>
        <w:ind w:left="1154"/>
        <w:rPr>
          <w:u w:val="single"/>
        </w:rPr>
      </w:pPr>
      <w:r>
        <w:t>开始日期</w:t>
      </w:r>
      <w:r>
        <w:rPr>
          <w:u w:val="single"/>
        </w:rPr>
        <w:t xml:space="preserve">              </w:t>
      </w:r>
      <w:r>
        <w:rPr>
          <w:rFonts w:hint="eastAsia"/>
          <w:u w:val="single"/>
          <w:lang w:val="en-US" w:eastAsia="zh-CN"/>
        </w:rPr>
        <w:t xml:space="preserve">           </w:t>
      </w:r>
      <w:r>
        <w:rPr>
          <w:u w:val="single"/>
        </w:rPr>
        <w:t xml:space="preserve">                 </w:t>
      </w:r>
    </w:p>
    <w:p w14:paraId="265F035B">
      <w:pPr>
        <w:spacing w:line="760" w:lineRule="exact"/>
        <w:ind w:left="1154"/>
      </w:pPr>
      <w:r>
        <w:t>结束日期</w:t>
      </w:r>
      <w:r>
        <w:rPr>
          <w:u w:val="single"/>
        </w:rPr>
        <w:t xml:space="preserve">              </w:t>
      </w:r>
      <w:r>
        <w:rPr>
          <w:rFonts w:hint="eastAsia"/>
          <w:u w:val="single"/>
          <w:lang w:val="en-US" w:eastAsia="zh-CN"/>
        </w:rPr>
        <w:t xml:space="preserve">           </w:t>
      </w:r>
      <w:r>
        <w:rPr>
          <w:u w:val="single"/>
        </w:rPr>
        <w:t xml:space="preserve">                 </w:t>
      </w:r>
    </w:p>
    <w:p w14:paraId="2DB0052A">
      <w:pPr>
        <w:spacing w:line="760" w:lineRule="exact"/>
        <w:ind w:left="1154"/>
      </w:pPr>
      <w:r>
        <w:t>承担单位</w:t>
      </w:r>
      <w:r>
        <w:rPr>
          <w:u w:val="single"/>
        </w:rPr>
        <w:t xml:space="preserve">         </w:t>
      </w:r>
      <w:r>
        <w:rPr>
          <w:rFonts w:hint="eastAsia"/>
          <w:u w:val="single"/>
          <w:lang w:val="en-US" w:eastAsia="zh-CN"/>
        </w:rPr>
        <w:t xml:space="preserve">                         </w:t>
      </w:r>
      <w:r>
        <w:rPr>
          <w:u w:val="single"/>
        </w:rPr>
        <w:t xml:space="preserve">  </w:t>
      </w:r>
      <w:r>
        <w:rPr>
          <w:sz w:val="24"/>
        </w:rPr>
        <w:t>（盖章）</w:t>
      </w:r>
    </w:p>
    <w:p w14:paraId="6100F3AE">
      <w:pPr>
        <w:tabs>
          <w:tab w:val="left" w:pos="533"/>
        </w:tabs>
        <w:spacing w:line="760" w:lineRule="exact"/>
        <w:ind w:left="1154"/>
      </w:pPr>
      <w:r>
        <w:t>通讯地址</w:t>
      </w:r>
      <w:r>
        <w:rPr>
          <w:u w:val="single"/>
        </w:rPr>
        <w:t xml:space="preserve">         </w:t>
      </w:r>
      <w:r>
        <w:rPr>
          <w:rFonts w:hint="eastAsia"/>
          <w:u w:val="single"/>
          <w:lang w:val="en-US" w:eastAsia="zh-CN"/>
        </w:rPr>
        <w:t xml:space="preserve">                          </w:t>
      </w:r>
      <w:r>
        <w:rPr>
          <w:rFonts w:hint="eastAsia"/>
          <w:u w:val="single"/>
        </w:rPr>
        <w:t xml:space="preserve"> </w:t>
      </w:r>
      <w:r>
        <w:rPr>
          <w:u w:val="single"/>
        </w:rPr>
        <w:t xml:space="preserve">      </w:t>
      </w:r>
    </w:p>
    <w:p w14:paraId="5E648794">
      <w:pPr>
        <w:spacing w:line="760" w:lineRule="exact"/>
        <w:ind w:left="1154"/>
      </w:pPr>
      <w:r>
        <w:t>联系电话</w:t>
      </w:r>
      <w:r>
        <w:rPr>
          <w:u w:val="single"/>
        </w:rPr>
        <w:t xml:space="preserve">    </w:t>
      </w:r>
      <w:r>
        <w:rPr>
          <w:rFonts w:hint="eastAsia"/>
          <w:u w:val="single"/>
          <w:lang w:val="en-US" w:eastAsia="zh-CN"/>
        </w:rPr>
        <w:t xml:space="preserve">         </w:t>
      </w:r>
      <w:r>
        <w:rPr>
          <w:u w:val="single"/>
        </w:rPr>
        <w:t xml:space="preserve">     </w:t>
      </w:r>
      <w:r>
        <w:t>邮政编码</w:t>
      </w:r>
      <w:r>
        <w:rPr>
          <w:u w:val="single"/>
        </w:rPr>
        <w:t xml:space="preserve">     </w:t>
      </w:r>
      <w:r>
        <w:rPr>
          <w:rFonts w:hint="eastAsia"/>
          <w:u w:val="single"/>
          <w:lang w:val="en-US" w:eastAsia="zh-CN"/>
        </w:rPr>
        <w:t xml:space="preserve">        </w:t>
      </w:r>
      <w:r>
        <w:rPr>
          <w:u w:val="single"/>
        </w:rPr>
        <w:t xml:space="preserve">    </w:t>
      </w:r>
    </w:p>
    <w:p w14:paraId="429BC9C3">
      <w:pPr>
        <w:spacing w:line="760" w:lineRule="exact"/>
        <w:ind w:left="1154"/>
        <w:rPr>
          <w:u w:val="single"/>
        </w:rPr>
      </w:pPr>
      <w:r>
        <w:t>项目负责人</w:t>
      </w:r>
      <w:r>
        <w:rPr>
          <w:u w:val="single"/>
        </w:rPr>
        <w:t xml:space="preserve">                </w:t>
      </w:r>
      <w:r>
        <w:rPr>
          <w:rFonts w:hint="eastAsia"/>
          <w:u w:val="single"/>
          <w:lang w:val="en-US" w:eastAsia="zh-CN"/>
        </w:rPr>
        <w:t xml:space="preserve">    </w:t>
      </w:r>
      <w:r>
        <w:rPr>
          <w:u w:val="single"/>
        </w:rPr>
        <w:t xml:space="preserve">                     </w:t>
      </w:r>
    </w:p>
    <w:p w14:paraId="4BFC44D7">
      <w:pPr>
        <w:spacing w:line="760" w:lineRule="exact"/>
        <w:ind w:left="1154"/>
      </w:pPr>
      <w:r>
        <w:t>手 机</w:t>
      </w:r>
      <w:r>
        <w:rPr>
          <w:rFonts w:hint="eastAsia"/>
        </w:rPr>
        <w:t xml:space="preserve"> </w:t>
      </w:r>
      <w:r>
        <w:rPr>
          <w:u w:val="single"/>
        </w:rPr>
        <w:t xml:space="preserve">   </w:t>
      </w:r>
      <w:r>
        <w:rPr>
          <w:rFonts w:hint="eastAsia"/>
          <w:u w:val="single"/>
          <w:lang w:val="en-US" w:eastAsia="zh-CN"/>
        </w:rPr>
        <w:t xml:space="preserve">      </w:t>
      </w:r>
      <w:r>
        <w:rPr>
          <w:u w:val="single"/>
        </w:rPr>
        <w:t xml:space="preserve">    </w:t>
      </w:r>
      <w:r>
        <w:t>电子邮件</w:t>
      </w:r>
      <w:r>
        <w:rPr>
          <w:u w:val="single"/>
        </w:rPr>
        <w:t xml:space="preserve">   </w:t>
      </w:r>
      <w:r>
        <w:rPr>
          <w:rFonts w:hint="eastAsia"/>
          <w:u w:val="single"/>
          <w:lang w:val="en-US" w:eastAsia="zh-CN"/>
        </w:rPr>
        <w:t xml:space="preserve">                  </w:t>
      </w:r>
      <w:r>
        <w:rPr>
          <w:u w:val="single"/>
        </w:rPr>
        <w:t xml:space="preserve">   </w:t>
      </w:r>
    </w:p>
    <w:p w14:paraId="554A8552">
      <w:pPr>
        <w:ind w:firstLine="1120" w:firstLineChars="400"/>
        <w:rPr>
          <w:rFonts w:eastAsia="宋体"/>
        </w:rPr>
      </w:pPr>
    </w:p>
    <w:p w14:paraId="5F9EA387">
      <w:pPr>
        <w:jc w:val="center"/>
        <w:rPr>
          <w:rFonts w:eastAsia="宋体"/>
        </w:rPr>
      </w:pPr>
    </w:p>
    <w:p w14:paraId="686D1271">
      <w:pPr>
        <w:jc w:val="center"/>
        <w:rPr>
          <w:rFonts w:eastAsia="宋体"/>
        </w:rPr>
      </w:pPr>
    </w:p>
    <w:p w14:paraId="6B04755D">
      <w:pPr>
        <w:jc w:val="center"/>
        <w:rPr>
          <w:rFonts w:eastAsia="宋体"/>
        </w:rPr>
      </w:pPr>
    </w:p>
    <w:p w14:paraId="0A6FFC18">
      <w:pPr>
        <w:jc w:val="center"/>
        <w:rPr>
          <w:rFonts w:eastAsia="文鼎大标宋简"/>
          <w:sz w:val="36"/>
        </w:rPr>
      </w:pPr>
      <w:r>
        <w:rPr>
          <w:rFonts w:ascii="等线" w:hAnsi="等线" w:eastAsia="楷体_GB2312" w:cs="Times New Roman"/>
          <w:kern w:val="32"/>
          <w:sz w:val="32"/>
          <w:szCs w:val="32"/>
        </w:rPr>
        <w:t>上海市科学技术委员会</w:t>
      </w:r>
      <w:r>
        <w:rPr>
          <w:rFonts w:hint="eastAsia" w:ascii="等线" w:hAnsi="等线" w:eastAsia="楷体_GB2312" w:cs="Times New Roman"/>
          <w:kern w:val="32"/>
          <w:sz w:val="32"/>
          <w:szCs w:val="32"/>
        </w:rPr>
        <w:t>制</w:t>
      </w:r>
    </w:p>
    <w:p w14:paraId="64049D43">
      <w:pPr>
        <w:rPr>
          <w:rFonts w:eastAsia="文鼎大标宋简"/>
          <w:sz w:val="36"/>
        </w:rPr>
      </w:pPr>
    </w:p>
    <w:p w14:paraId="3350C680">
      <w:pPr>
        <w:snapToGrid w:val="0"/>
        <w:spacing w:line="360" w:lineRule="auto"/>
        <w:rPr>
          <w:sz w:val="30"/>
          <w:szCs w:val="30"/>
        </w:rPr>
        <w:sectPr>
          <w:pgSz w:w="11906" w:h="16838"/>
          <w:pgMar w:top="1247" w:right="1191" w:bottom="936" w:left="1191" w:header="851" w:footer="992" w:gutter="0"/>
          <w:cols w:space="720" w:num="1"/>
          <w:docGrid w:type="lines" w:linePitch="381" w:charSpace="0"/>
        </w:sectPr>
      </w:pPr>
      <w:r>
        <w:rPr>
          <w:rFonts w:eastAsia="文鼎大标宋简"/>
          <w:sz w:val="36"/>
        </w:rPr>
        <w:br w:type="page"/>
      </w:r>
    </w:p>
    <w:p w14:paraId="1DC8AED1">
      <w:pPr>
        <w:keepNext w:val="0"/>
        <w:keepLines w:val="0"/>
        <w:pageBreakBefore w:val="0"/>
        <w:widowControl w:val="0"/>
        <w:numPr>
          <w:ilvl w:val="0"/>
          <w:numId w:val="0"/>
        </w:numPr>
        <w:kinsoku/>
        <w:wordWrap/>
        <w:overflowPunct/>
        <w:topLinePunct w:val="0"/>
        <w:autoSpaceDE w:val="0"/>
        <w:autoSpaceDN w:val="0"/>
        <w:bidi w:val="0"/>
        <w:adjustRightInd/>
        <w:snapToGrid/>
        <w:spacing w:beforeAutospacing="0" w:after="192" w:afterLines="50" w:afterAutospacing="0" w:line="560" w:lineRule="exact"/>
        <w:ind w:right="0" w:rightChars="0"/>
        <w:jc w:val="both"/>
        <w:textAlignment w:val="auto"/>
        <w:outlineLvl w:val="0"/>
        <w:rPr>
          <w:rFonts w:ascii="黑体" w:hAnsi="黑体" w:eastAsia="黑体" w:cs="Times New Roman"/>
          <w:kern w:val="2"/>
          <w:sz w:val="28"/>
          <w:szCs w:val="28"/>
          <w:lang w:val="en-US" w:eastAsia="zh-CN" w:bidi="ar-SA"/>
        </w:rPr>
      </w:pPr>
      <w:r>
        <w:rPr>
          <w:rFonts w:hint="eastAsia" w:ascii="黑体" w:hAnsi="黑体" w:eastAsia="黑体" w:cs="Times New Roman"/>
          <w:kern w:val="2"/>
          <w:sz w:val="28"/>
          <w:szCs w:val="28"/>
          <w:lang w:val="en-US" w:eastAsia="zh-CN" w:bidi="ar-SA"/>
        </w:rPr>
        <w:t>一、项目基本信息</w:t>
      </w:r>
    </w:p>
    <w:tbl>
      <w:tblPr>
        <w:tblStyle w:val="18"/>
        <w:tblW w:w="9638"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28" w:type="dxa"/>
          <w:bottom w:w="0" w:type="dxa"/>
          <w:right w:w="28" w:type="dxa"/>
        </w:tblCellMar>
      </w:tblPr>
      <w:tblGrid>
        <w:gridCol w:w="1591"/>
        <w:gridCol w:w="1926"/>
        <w:gridCol w:w="1513"/>
        <w:gridCol w:w="1309"/>
        <w:gridCol w:w="177"/>
        <w:gridCol w:w="668"/>
        <w:gridCol w:w="889"/>
        <w:gridCol w:w="464"/>
        <w:gridCol w:w="1101"/>
      </w:tblGrid>
      <w:tr w14:paraId="35DFA788">
        <w:trPr>
          <w:cantSplit/>
          <w:trHeight w:val="23" w:hRule="atLeast"/>
          <w:jc w:val="center"/>
        </w:trPr>
        <w:tc>
          <w:tcPr>
            <w:tcW w:w="3517" w:type="dxa"/>
            <w:gridSpan w:val="2"/>
            <w:vAlign w:val="center"/>
          </w:tcPr>
          <w:p w14:paraId="19EDF640">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r>
              <w:rPr>
                <w:rFonts w:hint="eastAsia" w:ascii="仿宋" w:hAnsi="仿宋" w:eastAsia="仿宋" w:cs="Times New Roman"/>
                <w:color w:val="000000"/>
                <w:sz w:val="28"/>
                <w:szCs w:val="28"/>
              </w:rPr>
              <w:t>项目名称</w:t>
            </w:r>
          </w:p>
        </w:tc>
        <w:tc>
          <w:tcPr>
            <w:tcW w:w="6121" w:type="dxa"/>
            <w:gridSpan w:val="7"/>
            <w:vAlign w:val="center"/>
          </w:tcPr>
          <w:p w14:paraId="54061A18">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r>
      <w:tr w14:paraId="2E1B0380">
        <w:trPr>
          <w:cantSplit/>
          <w:trHeight w:val="23" w:hRule="atLeast"/>
          <w:jc w:val="center"/>
        </w:trPr>
        <w:tc>
          <w:tcPr>
            <w:tcW w:w="3517" w:type="dxa"/>
            <w:gridSpan w:val="2"/>
            <w:vAlign w:val="center"/>
          </w:tcPr>
          <w:p w14:paraId="7A0D4644">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r>
              <w:rPr>
                <w:rFonts w:hint="eastAsia" w:ascii="仿宋" w:hAnsi="仿宋" w:eastAsia="仿宋" w:cs="Times New Roman"/>
                <w:color w:val="000000"/>
                <w:sz w:val="28"/>
                <w:szCs w:val="28"/>
              </w:rPr>
              <w:t>项目经费</w:t>
            </w:r>
          </w:p>
        </w:tc>
        <w:tc>
          <w:tcPr>
            <w:tcW w:w="2999" w:type="dxa"/>
            <w:gridSpan w:val="3"/>
            <w:vAlign w:val="center"/>
          </w:tcPr>
          <w:p w14:paraId="259C1717">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u w:val="single"/>
              </w:rPr>
            </w:pPr>
            <w:r>
              <w:rPr>
                <w:rFonts w:hint="eastAsia" w:ascii="仿宋" w:hAnsi="仿宋" w:eastAsia="仿宋" w:cs="Times New Roman"/>
                <w:color w:val="000000"/>
                <w:sz w:val="28"/>
                <w:szCs w:val="28"/>
              </w:rPr>
              <w:t>专项</w:t>
            </w:r>
            <w:r>
              <w:rPr>
                <w:rFonts w:hint="eastAsia" w:ascii="仿宋" w:hAnsi="仿宋" w:eastAsia="仿宋" w:cs="Times New Roman"/>
                <w:color w:val="000000"/>
                <w:sz w:val="28"/>
                <w:szCs w:val="28"/>
                <w:u w:val="single"/>
              </w:rPr>
              <w:t xml:space="preserve">        </w:t>
            </w:r>
            <w:r>
              <w:rPr>
                <w:rFonts w:hint="eastAsia" w:ascii="仿宋" w:hAnsi="仿宋" w:eastAsia="仿宋" w:cs="Times New Roman"/>
                <w:color w:val="000000"/>
                <w:sz w:val="28"/>
                <w:szCs w:val="28"/>
              </w:rPr>
              <w:t>万元</w:t>
            </w:r>
          </w:p>
        </w:tc>
        <w:tc>
          <w:tcPr>
            <w:tcW w:w="3122" w:type="dxa"/>
            <w:gridSpan w:val="4"/>
            <w:vAlign w:val="center"/>
          </w:tcPr>
          <w:p w14:paraId="12A385C8">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r>
              <w:rPr>
                <w:rFonts w:hint="eastAsia" w:ascii="仿宋" w:hAnsi="仿宋" w:eastAsia="仿宋" w:cs="Times New Roman"/>
                <w:color w:val="000000"/>
                <w:sz w:val="28"/>
                <w:szCs w:val="28"/>
              </w:rPr>
              <w:t>自筹</w:t>
            </w:r>
            <w:r>
              <w:rPr>
                <w:rFonts w:hint="eastAsia" w:ascii="仿宋" w:hAnsi="仿宋" w:eastAsia="仿宋" w:cs="Times New Roman"/>
                <w:color w:val="000000"/>
                <w:sz w:val="28"/>
                <w:szCs w:val="28"/>
                <w:u w:val="single"/>
              </w:rPr>
              <w:t xml:space="preserve">        </w:t>
            </w:r>
            <w:r>
              <w:rPr>
                <w:rFonts w:hint="eastAsia" w:ascii="仿宋" w:hAnsi="仿宋" w:eastAsia="仿宋" w:cs="Times New Roman"/>
                <w:color w:val="000000"/>
                <w:sz w:val="28"/>
                <w:szCs w:val="28"/>
              </w:rPr>
              <w:t>万元</w:t>
            </w:r>
          </w:p>
        </w:tc>
      </w:tr>
      <w:tr w14:paraId="17C95F02">
        <w:trPr>
          <w:cantSplit/>
          <w:trHeight w:val="23" w:hRule="atLeast"/>
          <w:jc w:val="center"/>
        </w:trPr>
        <w:tc>
          <w:tcPr>
            <w:tcW w:w="3517" w:type="dxa"/>
            <w:gridSpan w:val="2"/>
            <w:vAlign w:val="center"/>
          </w:tcPr>
          <w:p w14:paraId="144C2293">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r>
              <w:rPr>
                <w:rFonts w:hint="eastAsia" w:ascii="仿宋" w:hAnsi="仿宋" w:eastAsia="仿宋" w:cs="Times New Roman"/>
                <w:color w:val="000000"/>
                <w:sz w:val="28"/>
                <w:szCs w:val="28"/>
              </w:rPr>
              <w:t>执行期</w:t>
            </w:r>
          </w:p>
        </w:tc>
        <w:tc>
          <w:tcPr>
            <w:tcW w:w="6121" w:type="dxa"/>
            <w:gridSpan w:val="7"/>
            <w:vAlign w:val="center"/>
          </w:tcPr>
          <w:p w14:paraId="4666FFB9">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r>
      <w:tr w14:paraId="1FCE6B2E">
        <w:trPr>
          <w:cantSplit/>
          <w:trHeight w:val="23" w:hRule="atLeast"/>
          <w:jc w:val="center"/>
        </w:trPr>
        <w:tc>
          <w:tcPr>
            <w:tcW w:w="1591" w:type="dxa"/>
            <w:vMerge w:val="restart"/>
            <w:vAlign w:val="center"/>
          </w:tcPr>
          <w:p w14:paraId="1F3996AD">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r>
              <w:rPr>
                <w:rFonts w:hint="eastAsia" w:ascii="仿宋" w:hAnsi="仿宋" w:eastAsia="仿宋" w:cs="Times New Roman"/>
                <w:color w:val="000000"/>
                <w:sz w:val="28"/>
                <w:szCs w:val="28"/>
              </w:rPr>
              <w:t>项目承担</w:t>
            </w:r>
          </w:p>
          <w:p w14:paraId="375F53F6">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r>
              <w:rPr>
                <w:rFonts w:hint="eastAsia" w:ascii="仿宋" w:hAnsi="仿宋" w:eastAsia="仿宋" w:cs="Times New Roman"/>
                <w:color w:val="000000"/>
                <w:sz w:val="28"/>
                <w:szCs w:val="28"/>
              </w:rPr>
              <w:t>单位信息</w:t>
            </w:r>
          </w:p>
        </w:tc>
        <w:tc>
          <w:tcPr>
            <w:tcW w:w="1926" w:type="dxa"/>
            <w:vAlign w:val="center"/>
          </w:tcPr>
          <w:p w14:paraId="48A2D71A">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r>
              <w:rPr>
                <w:rFonts w:hint="eastAsia" w:ascii="仿宋" w:hAnsi="仿宋" w:eastAsia="仿宋" w:cs="Times New Roman"/>
                <w:color w:val="000000"/>
                <w:sz w:val="28"/>
                <w:szCs w:val="28"/>
              </w:rPr>
              <w:t>单位名称</w:t>
            </w:r>
          </w:p>
        </w:tc>
        <w:tc>
          <w:tcPr>
            <w:tcW w:w="2822" w:type="dxa"/>
            <w:gridSpan w:val="2"/>
            <w:vAlign w:val="center"/>
          </w:tcPr>
          <w:p w14:paraId="2477D8F0">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c>
          <w:tcPr>
            <w:tcW w:w="1734" w:type="dxa"/>
            <w:gridSpan w:val="3"/>
            <w:vAlign w:val="center"/>
          </w:tcPr>
          <w:p w14:paraId="0B95B316">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r>
              <w:rPr>
                <w:rFonts w:hint="eastAsia" w:ascii="仿宋" w:hAnsi="仿宋" w:eastAsia="仿宋" w:cs="Times New Roman"/>
                <w:color w:val="000000"/>
                <w:sz w:val="28"/>
                <w:szCs w:val="28"/>
              </w:rPr>
              <w:t>单位性质</w:t>
            </w:r>
          </w:p>
        </w:tc>
        <w:tc>
          <w:tcPr>
            <w:tcW w:w="1565" w:type="dxa"/>
            <w:gridSpan w:val="2"/>
            <w:vAlign w:val="center"/>
          </w:tcPr>
          <w:p w14:paraId="145051DE">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r>
      <w:tr w14:paraId="65A4A09B">
        <w:trPr>
          <w:cantSplit/>
          <w:trHeight w:val="23" w:hRule="atLeast"/>
          <w:jc w:val="center"/>
        </w:trPr>
        <w:tc>
          <w:tcPr>
            <w:tcW w:w="1591" w:type="dxa"/>
            <w:vMerge w:val="continue"/>
            <w:vAlign w:val="center"/>
          </w:tcPr>
          <w:p w14:paraId="47D0DDE1">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c>
          <w:tcPr>
            <w:tcW w:w="1926" w:type="dxa"/>
            <w:vAlign w:val="center"/>
          </w:tcPr>
          <w:p w14:paraId="4F412B69">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r>
              <w:rPr>
                <w:rFonts w:hint="eastAsia" w:ascii="仿宋" w:hAnsi="仿宋" w:eastAsia="仿宋" w:cs="Times New Roman"/>
                <w:color w:val="000000"/>
                <w:sz w:val="28"/>
                <w:szCs w:val="28"/>
              </w:rPr>
              <w:t>单位所在地</w:t>
            </w:r>
          </w:p>
        </w:tc>
        <w:tc>
          <w:tcPr>
            <w:tcW w:w="2822" w:type="dxa"/>
            <w:gridSpan w:val="2"/>
            <w:vAlign w:val="center"/>
          </w:tcPr>
          <w:p w14:paraId="76BB375C">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c>
          <w:tcPr>
            <w:tcW w:w="1734" w:type="dxa"/>
            <w:gridSpan w:val="3"/>
            <w:vAlign w:val="center"/>
          </w:tcPr>
          <w:p w14:paraId="4CF2F540">
            <w:pPr>
              <w:keepNext w:val="0"/>
              <w:keepLines w:val="0"/>
              <w:pageBreakBefore w:val="0"/>
              <w:widowControl w:val="0"/>
              <w:kinsoku/>
              <w:wordWrap/>
              <w:overflowPunct/>
              <w:topLinePunct w:val="0"/>
              <w:autoSpaceDE w:val="0"/>
              <w:autoSpaceDN w:val="0"/>
              <w:bidi w:val="0"/>
              <w:adjustRightInd/>
              <w:snapToGrid/>
              <w:spacing w:beforeAutospacing="0" w:afterAutospacing="0" w:line="360" w:lineRule="exact"/>
              <w:ind w:left="0" w:leftChars="0" w:right="0" w:firstLine="0" w:firstLineChars="0"/>
              <w:jc w:val="center"/>
              <w:textAlignment w:val="auto"/>
              <w:rPr>
                <w:rFonts w:ascii="仿宋" w:hAnsi="仿宋" w:eastAsia="仿宋" w:cs="Times New Roman"/>
                <w:color w:val="000000"/>
                <w:sz w:val="28"/>
                <w:szCs w:val="28"/>
              </w:rPr>
            </w:pPr>
            <w:r>
              <w:rPr>
                <w:rFonts w:hint="eastAsia" w:ascii="仿宋" w:hAnsi="仿宋" w:eastAsia="仿宋" w:cs="Times New Roman"/>
                <w:color w:val="000000"/>
                <w:sz w:val="28"/>
                <w:szCs w:val="28"/>
              </w:rPr>
              <w:t>组织机构</w:t>
            </w:r>
            <w:r>
              <w:rPr>
                <w:rFonts w:hint="eastAsia" w:ascii="仿宋" w:hAnsi="仿宋" w:eastAsia="仿宋" w:cs="Times New Roman"/>
                <w:color w:val="000000"/>
                <w:sz w:val="28"/>
                <w:szCs w:val="28"/>
              </w:rPr>
              <w:br w:type="textWrapping"/>
            </w:r>
            <w:r>
              <w:rPr>
                <w:rFonts w:hint="eastAsia" w:ascii="仿宋" w:hAnsi="仿宋" w:eastAsia="仿宋" w:cs="Times New Roman"/>
                <w:color w:val="000000"/>
                <w:sz w:val="28"/>
                <w:szCs w:val="28"/>
              </w:rPr>
              <w:t>代码</w:t>
            </w:r>
          </w:p>
        </w:tc>
        <w:tc>
          <w:tcPr>
            <w:tcW w:w="1565" w:type="dxa"/>
            <w:gridSpan w:val="2"/>
            <w:vAlign w:val="center"/>
          </w:tcPr>
          <w:p w14:paraId="3D179CC5">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r>
      <w:tr w14:paraId="3DDB9E99">
        <w:trPr>
          <w:cantSplit/>
          <w:trHeight w:val="23" w:hRule="atLeast"/>
          <w:jc w:val="center"/>
        </w:trPr>
        <w:tc>
          <w:tcPr>
            <w:tcW w:w="1591" w:type="dxa"/>
            <w:vMerge w:val="continue"/>
            <w:vAlign w:val="center"/>
          </w:tcPr>
          <w:p w14:paraId="73A82DFE">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c>
          <w:tcPr>
            <w:tcW w:w="1926" w:type="dxa"/>
            <w:vAlign w:val="center"/>
          </w:tcPr>
          <w:p w14:paraId="3C1194B7">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r>
              <w:rPr>
                <w:rFonts w:hint="eastAsia" w:ascii="仿宋" w:hAnsi="仿宋" w:eastAsia="仿宋" w:cs="Times New Roman"/>
                <w:color w:val="000000"/>
                <w:sz w:val="28"/>
                <w:szCs w:val="28"/>
              </w:rPr>
              <w:t>开户银行</w:t>
            </w:r>
          </w:p>
        </w:tc>
        <w:tc>
          <w:tcPr>
            <w:tcW w:w="2822" w:type="dxa"/>
            <w:gridSpan w:val="2"/>
            <w:vAlign w:val="center"/>
          </w:tcPr>
          <w:p w14:paraId="63F81301">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c>
          <w:tcPr>
            <w:tcW w:w="1734" w:type="dxa"/>
            <w:gridSpan w:val="3"/>
            <w:vAlign w:val="center"/>
          </w:tcPr>
          <w:p w14:paraId="344A3DCB">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r>
              <w:rPr>
                <w:rFonts w:hint="eastAsia" w:ascii="仿宋" w:hAnsi="仿宋" w:eastAsia="仿宋" w:cs="Times New Roman"/>
                <w:color w:val="000000"/>
                <w:sz w:val="28"/>
                <w:szCs w:val="28"/>
              </w:rPr>
              <w:t>开户名</w:t>
            </w:r>
          </w:p>
        </w:tc>
        <w:tc>
          <w:tcPr>
            <w:tcW w:w="1565" w:type="dxa"/>
            <w:gridSpan w:val="2"/>
            <w:vAlign w:val="center"/>
          </w:tcPr>
          <w:p w14:paraId="6C392185">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r>
      <w:tr w14:paraId="501A531E">
        <w:trPr>
          <w:cantSplit/>
          <w:trHeight w:val="23" w:hRule="atLeast"/>
          <w:jc w:val="center"/>
        </w:trPr>
        <w:tc>
          <w:tcPr>
            <w:tcW w:w="1591" w:type="dxa"/>
            <w:vMerge w:val="continue"/>
            <w:vAlign w:val="center"/>
          </w:tcPr>
          <w:p w14:paraId="785002DC">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c>
          <w:tcPr>
            <w:tcW w:w="1926" w:type="dxa"/>
            <w:vAlign w:val="center"/>
          </w:tcPr>
          <w:p w14:paraId="6312FFA4">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r>
              <w:rPr>
                <w:rFonts w:hint="eastAsia" w:ascii="仿宋" w:hAnsi="仿宋" w:eastAsia="仿宋" w:cs="Times New Roman"/>
                <w:color w:val="000000"/>
                <w:sz w:val="28"/>
                <w:szCs w:val="28"/>
              </w:rPr>
              <w:t>账</w:t>
            </w:r>
            <w:r>
              <w:rPr>
                <w:rFonts w:ascii="仿宋" w:hAnsi="仿宋" w:eastAsia="仿宋" w:cs="Times New Roman"/>
                <w:color w:val="000000"/>
                <w:sz w:val="28"/>
                <w:szCs w:val="28"/>
              </w:rPr>
              <w:t xml:space="preserve">  </w:t>
            </w:r>
            <w:r>
              <w:rPr>
                <w:rFonts w:hint="eastAsia" w:ascii="仿宋" w:hAnsi="仿宋" w:eastAsia="仿宋" w:cs="Times New Roman"/>
                <w:color w:val="000000"/>
                <w:sz w:val="28"/>
                <w:szCs w:val="28"/>
              </w:rPr>
              <w:t>号</w:t>
            </w:r>
          </w:p>
        </w:tc>
        <w:tc>
          <w:tcPr>
            <w:tcW w:w="6121" w:type="dxa"/>
            <w:gridSpan w:val="7"/>
            <w:vAlign w:val="center"/>
          </w:tcPr>
          <w:p w14:paraId="46CD482D">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r>
      <w:tr w14:paraId="68F06F7E">
        <w:trPr>
          <w:cantSplit/>
          <w:trHeight w:val="23" w:hRule="atLeast"/>
          <w:jc w:val="center"/>
        </w:trPr>
        <w:tc>
          <w:tcPr>
            <w:tcW w:w="1591" w:type="dxa"/>
            <w:vMerge w:val="continue"/>
            <w:vAlign w:val="center"/>
          </w:tcPr>
          <w:p w14:paraId="3F56CFF9">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c>
          <w:tcPr>
            <w:tcW w:w="1926" w:type="dxa"/>
            <w:vAlign w:val="center"/>
          </w:tcPr>
          <w:p w14:paraId="685940D1">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r>
              <w:rPr>
                <w:rFonts w:hint="eastAsia" w:ascii="仿宋" w:hAnsi="仿宋" w:eastAsia="仿宋" w:cs="Times New Roman"/>
                <w:color w:val="000000"/>
                <w:sz w:val="28"/>
                <w:szCs w:val="28"/>
              </w:rPr>
              <w:t>法人代表</w:t>
            </w:r>
          </w:p>
        </w:tc>
        <w:tc>
          <w:tcPr>
            <w:tcW w:w="2822" w:type="dxa"/>
            <w:gridSpan w:val="2"/>
            <w:vAlign w:val="center"/>
          </w:tcPr>
          <w:p w14:paraId="00347E46">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c>
          <w:tcPr>
            <w:tcW w:w="1734" w:type="dxa"/>
            <w:gridSpan w:val="3"/>
            <w:vAlign w:val="center"/>
          </w:tcPr>
          <w:p w14:paraId="38644A67">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r>
              <w:rPr>
                <w:rFonts w:hint="eastAsia" w:ascii="仿宋" w:hAnsi="仿宋" w:eastAsia="仿宋" w:cs="Times New Roman"/>
                <w:color w:val="000000"/>
                <w:sz w:val="28"/>
                <w:szCs w:val="28"/>
              </w:rPr>
              <w:t>证件类型</w:t>
            </w:r>
          </w:p>
        </w:tc>
        <w:tc>
          <w:tcPr>
            <w:tcW w:w="1565" w:type="dxa"/>
            <w:gridSpan w:val="2"/>
            <w:vAlign w:val="center"/>
          </w:tcPr>
          <w:p w14:paraId="21AA7A89">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r>
      <w:tr w14:paraId="096CFBF3">
        <w:trPr>
          <w:cantSplit/>
          <w:trHeight w:val="23" w:hRule="atLeast"/>
          <w:jc w:val="center"/>
        </w:trPr>
        <w:tc>
          <w:tcPr>
            <w:tcW w:w="1591" w:type="dxa"/>
            <w:vMerge w:val="continue"/>
            <w:vAlign w:val="center"/>
          </w:tcPr>
          <w:p w14:paraId="28A67BFC">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c>
          <w:tcPr>
            <w:tcW w:w="1926" w:type="dxa"/>
            <w:vAlign w:val="center"/>
          </w:tcPr>
          <w:p w14:paraId="0395487C">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r>
              <w:rPr>
                <w:rFonts w:hint="eastAsia" w:ascii="仿宋" w:hAnsi="仿宋" w:eastAsia="仿宋" w:cs="Times New Roman"/>
                <w:color w:val="000000"/>
                <w:sz w:val="28"/>
                <w:szCs w:val="28"/>
              </w:rPr>
              <w:t>证件号码</w:t>
            </w:r>
          </w:p>
        </w:tc>
        <w:tc>
          <w:tcPr>
            <w:tcW w:w="6121" w:type="dxa"/>
            <w:gridSpan w:val="7"/>
            <w:vAlign w:val="center"/>
          </w:tcPr>
          <w:p w14:paraId="6BD8A39E">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r>
      <w:tr w14:paraId="7D6697FF">
        <w:trPr>
          <w:cantSplit/>
          <w:trHeight w:val="23" w:hRule="atLeast"/>
          <w:jc w:val="center"/>
        </w:trPr>
        <w:tc>
          <w:tcPr>
            <w:tcW w:w="1591" w:type="dxa"/>
            <w:vMerge w:val="restart"/>
            <w:vAlign w:val="center"/>
          </w:tcPr>
          <w:p w14:paraId="45BF9C01">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r>
              <w:rPr>
                <w:rFonts w:hint="eastAsia" w:ascii="仿宋" w:hAnsi="仿宋" w:eastAsia="仿宋" w:cs="Times New Roman"/>
                <w:color w:val="000000"/>
                <w:sz w:val="28"/>
                <w:szCs w:val="28"/>
              </w:rPr>
              <w:t>项目负责人</w:t>
            </w:r>
          </w:p>
        </w:tc>
        <w:tc>
          <w:tcPr>
            <w:tcW w:w="1926" w:type="dxa"/>
            <w:vAlign w:val="center"/>
          </w:tcPr>
          <w:p w14:paraId="23EE33DF">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r>
              <w:rPr>
                <w:rFonts w:hint="eastAsia" w:ascii="仿宋" w:hAnsi="仿宋" w:eastAsia="仿宋" w:cs="Times New Roman"/>
                <w:color w:val="000000"/>
                <w:sz w:val="28"/>
                <w:szCs w:val="28"/>
              </w:rPr>
              <w:t>姓名</w:t>
            </w:r>
          </w:p>
        </w:tc>
        <w:tc>
          <w:tcPr>
            <w:tcW w:w="1513" w:type="dxa"/>
            <w:vAlign w:val="center"/>
          </w:tcPr>
          <w:p w14:paraId="7FAD0EBF">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c>
          <w:tcPr>
            <w:tcW w:w="1309" w:type="dxa"/>
            <w:vAlign w:val="center"/>
          </w:tcPr>
          <w:p w14:paraId="37D427F3">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r>
              <w:rPr>
                <w:rFonts w:hint="eastAsia" w:ascii="仿宋" w:hAnsi="仿宋" w:eastAsia="仿宋" w:cs="Times New Roman"/>
                <w:color w:val="000000"/>
                <w:sz w:val="28"/>
                <w:szCs w:val="28"/>
              </w:rPr>
              <w:t>性别</w:t>
            </w:r>
          </w:p>
        </w:tc>
        <w:tc>
          <w:tcPr>
            <w:tcW w:w="845" w:type="dxa"/>
            <w:gridSpan w:val="2"/>
            <w:vAlign w:val="center"/>
          </w:tcPr>
          <w:p w14:paraId="140E250F">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c>
          <w:tcPr>
            <w:tcW w:w="1353" w:type="dxa"/>
            <w:gridSpan w:val="2"/>
            <w:vAlign w:val="center"/>
          </w:tcPr>
          <w:p w14:paraId="440C0B0B">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r>
              <w:rPr>
                <w:rFonts w:hint="eastAsia" w:ascii="仿宋" w:hAnsi="仿宋" w:eastAsia="仿宋" w:cs="Times New Roman"/>
                <w:color w:val="000000"/>
                <w:sz w:val="28"/>
                <w:szCs w:val="28"/>
              </w:rPr>
              <w:t>出生日期</w:t>
            </w:r>
          </w:p>
        </w:tc>
        <w:tc>
          <w:tcPr>
            <w:tcW w:w="1101" w:type="dxa"/>
            <w:vAlign w:val="center"/>
          </w:tcPr>
          <w:p w14:paraId="27CAE563">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r>
      <w:tr w14:paraId="7508C55E">
        <w:trPr>
          <w:cantSplit/>
          <w:trHeight w:val="23" w:hRule="atLeast"/>
          <w:jc w:val="center"/>
        </w:trPr>
        <w:tc>
          <w:tcPr>
            <w:tcW w:w="1591" w:type="dxa"/>
            <w:vMerge w:val="continue"/>
            <w:vAlign w:val="center"/>
          </w:tcPr>
          <w:p w14:paraId="03AF557C">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c>
          <w:tcPr>
            <w:tcW w:w="1926" w:type="dxa"/>
            <w:vAlign w:val="center"/>
          </w:tcPr>
          <w:p w14:paraId="0D6ED8BA">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r>
              <w:rPr>
                <w:rFonts w:hint="eastAsia" w:ascii="仿宋" w:hAnsi="仿宋" w:eastAsia="仿宋" w:cs="Times New Roman"/>
                <w:color w:val="000000"/>
                <w:sz w:val="28"/>
                <w:szCs w:val="28"/>
              </w:rPr>
              <w:t>证件类型</w:t>
            </w:r>
          </w:p>
        </w:tc>
        <w:tc>
          <w:tcPr>
            <w:tcW w:w="1513" w:type="dxa"/>
            <w:vAlign w:val="center"/>
          </w:tcPr>
          <w:p w14:paraId="2478A31B">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c>
          <w:tcPr>
            <w:tcW w:w="1309" w:type="dxa"/>
            <w:vAlign w:val="center"/>
          </w:tcPr>
          <w:p w14:paraId="7B222EF7">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r>
              <w:rPr>
                <w:rFonts w:hint="eastAsia" w:ascii="仿宋" w:hAnsi="仿宋" w:eastAsia="仿宋" w:cs="Times New Roman"/>
                <w:color w:val="000000"/>
                <w:sz w:val="28"/>
                <w:szCs w:val="28"/>
              </w:rPr>
              <w:t>证件号码</w:t>
            </w:r>
          </w:p>
        </w:tc>
        <w:tc>
          <w:tcPr>
            <w:tcW w:w="3299" w:type="dxa"/>
            <w:gridSpan w:val="5"/>
            <w:vAlign w:val="center"/>
          </w:tcPr>
          <w:p w14:paraId="26FA039E">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r>
      <w:tr w14:paraId="57C7A3FD">
        <w:trPr>
          <w:cantSplit/>
          <w:trHeight w:val="23" w:hRule="atLeast"/>
          <w:jc w:val="center"/>
        </w:trPr>
        <w:tc>
          <w:tcPr>
            <w:tcW w:w="1591" w:type="dxa"/>
            <w:vMerge w:val="continue"/>
            <w:vAlign w:val="center"/>
          </w:tcPr>
          <w:p w14:paraId="08687433">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c>
          <w:tcPr>
            <w:tcW w:w="1926" w:type="dxa"/>
            <w:vAlign w:val="center"/>
          </w:tcPr>
          <w:p w14:paraId="769BE793">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r>
              <w:rPr>
                <w:rFonts w:hint="eastAsia" w:ascii="仿宋" w:hAnsi="仿宋" w:eastAsia="仿宋" w:cs="Times New Roman"/>
                <w:color w:val="000000"/>
                <w:sz w:val="28"/>
                <w:szCs w:val="28"/>
              </w:rPr>
              <w:t>职称</w:t>
            </w:r>
          </w:p>
        </w:tc>
        <w:tc>
          <w:tcPr>
            <w:tcW w:w="2822" w:type="dxa"/>
            <w:gridSpan w:val="2"/>
            <w:vAlign w:val="center"/>
          </w:tcPr>
          <w:p w14:paraId="4D4C042C">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c>
          <w:tcPr>
            <w:tcW w:w="1734" w:type="dxa"/>
            <w:gridSpan w:val="3"/>
            <w:vAlign w:val="center"/>
          </w:tcPr>
          <w:p w14:paraId="3B1B96AC">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r>
              <w:rPr>
                <w:rFonts w:hint="eastAsia" w:ascii="仿宋" w:hAnsi="仿宋" w:eastAsia="仿宋" w:cs="Times New Roman"/>
                <w:color w:val="000000"/>
                <w:sz w:val="28"/>
                <w:szCs w:val="28"/>
              </w:rPr>
              <w:t>职务</w:t>
            </w:r>
          </w:p>
        </w:tc>
        <w:tc>
          <w:tcPr>
            <w:tcW w:w="1565" w:type="dxa"/>
            <w:gridSpan w:val="2"/>
            <w:vAlign w:val="center"/>
          </w:tcPr>
          <w:p w14:paraId="3E59313D">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r>
      <w:tr w14:paraId="5614E1A6">
        <w:trPr>
          <w:cantSplit/>
          <w:trHeight w:val="23" w:hRule="atLeast"/>
          <w:jc w:val="center"/>
        </w:trPr>
        <w:tc>
          <w:tcPr>
            <w:tcW w:w="1591" w:type="dxa"/>
            <w:vMerge w:val="continue"/>
            <w:vAlign w:val="center"/>
          </w:tcPr>
          <w:p w14:paraId="0FD73135">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c>
          <w:tcPr>
            <w:tcW w:w="1926" w:type="dxa"/>
            <w:vAlign w:val="center"/>
          </w:tcPr>
          <w:p w14:paraId="5286ACE6">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r>
              <w:rPr>
                <w:rFonts w:hint="eastAsia" w:ascii="仿宋" w:hAnsi="仿宋" w:eastAsia="仿宋" w:cs="Times New Roman"/>
                <w:color w:val="000000"/>
                <w:sz w:val="28"/>
                <w:szCs w:val="28"/>
              </w:rPr>
              <w:t>电子邮箱</w:t>
            </w:r>
          </w:p>
        </w:tc>
        <w:tc>
          <w:tcPr>
            <w:tcW w:w="2822" w:type="dxa"/>
            <w:gridSpan w:val="2"/>
            <w:vAlign w:val="center"/>
          </w:tcPr>
          <w:p w14:paraId="77DD6B81">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577" w:firstLineChars="202"/>
              <w:jc w:val="center"/>
              <w:textAlignment w:val="auto"/>
              <w:rPr>
                <w:rFonts w:ascii="仿宋" w:hAnsi="仿宋" w:eastAsia="仿宋" w:cs="Times New Roman"/>
                <w:color w:val="000000"/>
                <w:sz w:val="28"/>
                <w:szCs w:val="28"/>
              </w:rPr>
            </w:pPr>
          </w:p>
        </w:tc>
        <w:tc>
          <w:tcPr>
            <w:tcW w:w="1734" w:type="dxa"/>
            <w:gridSpan w:val="3"/>
            <w:vAlign w:val="center"/>
          </w:tcPr>
          <w:p w14:paraId="6ED9A083">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r>
              <w:rPr>
                <w:rFonts w:hint="eastAsia" w:ascii="仿宋" w:hAnsi="仿宋" w:eastAsia="仿宋" w:cs="Times New Roman"/>
                <w:color w:val="000000"/>
                <w:sz w:val="28"/>
                <w:szCs w:val="28"/>
              </w:rPr>
              <w:t>移动电话</w:t>
            </w:r>
          </w:p>
        </w:tc>
        <w:tc>
          <w:tcPr>
            <w:tcW w:w="1565" w:type="dxa"/>
            <w:gridSpan w:val="2"/>
            <w:vAlign w:val="center"/>
          </w:tcPr>
          <w:p w14:paraId="7117DDB5">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r>
      <w:tr w14:paraId="6B004545">
        <w:trPr>
          <w:cantSplit/>
          <w:trHeight w:val="23" w:hRule="atLeast"/>
          <w:jc w:val="center"/>
        </w:trPr>
        <w:tc>
          <w:tcPr>
            <w:tcW w:w="1591" w:type="dxa"/>
            <w:vMerge w:val="restart"/>
            <w:vAlign w:val="center"/>
          </w:tcPr>
          <w:p w14:paraId="1BA91A6D">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r>
              <w:rPr>
                <w:rFonts w:hint="eastAsia" w:ascii="仿宋" w:hAnsi="仿宋" w:eastAsia="仿宋" w:cs="Times New Roman"/>
                <w:color w:val="000000"/>
                <w:sz w:val="28"/>
                <w:szCs w:val="28"/>
              </w:rPr>
              <w:t>项目联系人</w:t>
            </w:r>
          </w:p>
        </w:tc>
        <w:tc>
          <w:tcPr>
            <w:tcW w:w="1926" w:type="dxa"/>
            <w:vAlign w:val="center"/>
          </w:tcPr>
          <w:p w14:paraId="48B59373">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r>
              <w:rPr>
                <w:rFonts w:hint="eastAsia" w:ascii="仿宋" w:hAnsi="仿宋" w:eastAsia="仿宋" w:cs="Times New Roman"/>
                <w:color w:val="000000"/>
                <w:sz w:val="28"/>
                <w:szCs w:val="28"/>
              </w:rPr>
              <w:t>姓名</w:t>
            </w:r>
          </w:p>
        </w:tc>
        <w:tc>
          <w:tcPr>
            <w:tcW w:w="2822" w:type="dxa"/>
            <w:gridSpan w:val="2"/>
            <w:vAlign w:val="center"/>
          </w:tcPr>
          <w:p w14:paraId="2B410817">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c>
          <w:tcPr>
            <w:tcW w:w="1734" w:type="dxa"/>
            <w:gridSpan w:val="3"/>
            <w:vAlign w:val="center"/>
          </w:tcPr>
          <w:p w14:paraId="2E0F88D1">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r>
              <w:rPr>
                <w:rFonts w:hint="eastAsia" w:ascii="仿宋" w:hAnsi="仿宋" w:eastAsia="仿宋" w:cs="Times New Roman"/>
                <w:color w:val="000000"/>
                <w:sz w:val="28"/>
                <w:szCs w:val="28"/>
              </w:rPr>
              <w:t>性别</w:t>
            </w:r>
          </w:p>
        </w:tc>
        <w:tc>
          <w:tcPr>
            <w:tcW w:w="1565" w:type="dxa"/>
            <w:gridSpan w:val="2"/>
            <w:vAlign w:val="center"/>
          </w:tcPr>
          <w:p w14:paraId="54F90159">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r>
      <w:tr w14:paraId="3DC09349">
        <w:trPr>
          <w:cantSplit/>
          <w:trHeight w:val="90" w:hRule="atLeast"/>
          <w:jc w:val="center"/>
        </w:trPr>
        <w:tc>
          <w:tcPr>
            <w:tcW w:w="1591" w:type="dxa"/>
            <w:vMerge w:val="continue"/>
            <w:vAlign w:val="center"/>
          </w:tcPr>
          <w:p w14:paraId="3345E451">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c>
          <w:tcPr>
            <w:tcW w:w="1926" w:type="dxa"/>
            <w:vAlign w:val="center"/>
          </w:tcPr>
          <w:p w14:paraId="3C184AD0">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r>
              <w:rPr>
                <w:rFonts w:hint="eastAsia" w:ascii="仿宋" w:hAnsi="仿宋" w:eastAsia="仿宋" w:cs="Times New Roman"/>
                <w:color w:val="000000"/>
                <w:sz w:val="28"/>
                <w:szCs w:val="28"/>
              </w:rPr>
              <w:t>电子邮箱</w:t>
            </w:r>
          </w:p>
        </w:tc>
        <w:tc>
          <w:tcPr>
            <w:tcW w:w="2822" w:type="dxa"/>
            <w:gridSpan w:val="2"/>
            <w:vAlign w:val="center"/>
          </w:tcPr>
          <w:p w14:paraId="79329B5E">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c>
          <w:tcPr>
            <w:tcW w:w="1734" w:type="dxa"/>
            <w:gridSpan w:val="3"/>
            <w:vAlign w:val="center"/>
          </w:tcPr>
          <w:p w14:paraId="4A82050E">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r>
              <w:rPr>
                <w:rFonts w:hint="eastAsia" w:ascii="仿宋" w:hAnsi="仿宋" w:eastAsia="仿宋" w:cs="Times New Roman"/>
                <w:color w:val="000000"/>
                <w:sz w:val="28"/>
                <w:szCs w:val="28"/>
              </w:rPr>
              <w:t>移动电话</w:t>
            </w:r>
          </w:p>
        </w:tc>
        <w:tc>
          <w:tcPr>
            <w:tcW w:w="1565" w:type="dxa"/>
            <w:gridSpan w:val="2"/>
            <w:vAlign w:val="center"/>
          </w:tcPr>
          <w:p w14:paraId="6E7683D6">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r>
      <w:tr w14:paraId="3B64631E">
        <w:trPr>
          <w:cantSplit/>
          <w:trHeight w:val="3449" w:hRule="atLeast"/>
          <w:jc w:val="center"/>
        </w:trPr>
        <w:tc>
          <w:tcPr>
            <w:tcW w:w="1591" w:type="dxa"/>
            <w:vAlign w:val="center"/>
          </w:tcPr>
          <w:p w14:paraId="3D35E53A">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jc w:val="center"/>
              <w:textAlignment w:val="auto"/>
              <w:rPr>
                <w:rFonts w:hint="default" w:ascii="仿宋" w:hAnsi="仿宋" w:eastAsia="仿宋" w:cs="Times New Roman"/>
                <w:color w:val="000000"/>
                <w:sz w:val="28"/>
                <w:szCs w:val="28"/>
                <w:lang w:val="en-US" w:eastAsia="zh-CN"/>
              </w:rPr>
            </w:pPr>
            <w:r>
              <w:rPr>
                <w:rFonts w:hint="eastAsia" w:ascii="仿宋" w:hAnsi="仿宋" w:eastAsia="仿宋" w:cs="Times New Roman"/>
                <w:color w:val="000000"/>
                <w:sz w:val="28"/>
                <w:szCs w:val="28"/>
                <w:lang w:val="en-US" w:eastAsia="zh-CN"/>
              </w:rPr>
              <w:t>项目摘要</w:t>
            </w:r>
          </w:p>
        </w:tc>
        <w:tc>
          <w:tcPr>
            <w:tcW w:w="8047" w:type="dxa"/>
            <w:gridSpan w:val="8"/>
            <w:vAlign w:val="top"/>
          </w:tcPr>
          <w:p w14:paraId="2E41BF98">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jc w:val="both"/>
              <w:textAlignment w:val="auto"/>
              <w:rPr>
                <w:rFonts w:ascii="仿宋" w:hAnsi="仿宋" w:eastAsia="仿宋" w:cs="Times New Roman"/>
                <w:color w:val="000000"/>
                <w:sz w:val="28"/>
                <w:szCs w:val="28"/>
              </w:rPr>
            </w:pPr>
            <w:r>
              <w:rPr>
                <w:rFonts w:hint="eastAsia" w:cs="Times New Roman"/>
                <w:color w:val="0000FF"/>
                <w:sz w:val="28"/>
                <w:szCs w:val="28"/>
              </w:rPr>
              <w:t>简要概述项目的总体目标、研究内容、技术方法、预期性能、预期成果及其技术转化方向和途径等。（500字以内）</w:t>
            </w:r>
          </w:p>
        </w:tc>
      </w:tr>
    </w:tbl>
    <w:p w14:paraId="0B0197D1">
      <w:pPr>
        <w:wordWrap/>
        <w:autoSpaceDE w:val="0"/>
        <w:autoSpaceDN w:val="0"/>
        <w:spacing w:line="600" w:lineRule="exact"/>
        <w:ind w:firstLine="0" w:firstLineChars="0"/>
        <w:rPr>
          <w:rFonts w:eastAsia="黑体"/>
          <w:sz w:val="32"/>
          <w:szCs w:val="32"/>
        </w:rPr>
      </w:pPr>
      <w:r>
        <w:rPr>
          <w:rFonts w:cs="Times New Roman"/>
          <w:sz w:val="28"/>
          <w:szCs w:val="28"/>
        </w:rPr>
        <w:br w:type="page"/>
      </w:r>
    </w:p>
    <w:p w14:paraId="35F0C50E">
      <w:pPr>
        <w:snapToGrid w:val="0"/>
        <w:spacing w:line="360" w:lineRule="auto"/>
        <w:outlineLvl w:val="0"/>
        <w:rPr>
          <w:rFonts w:eastAsia="黑体"/>
          <w:sz w:val="32"/>
          <w:szCs w:val="32"/>
        </w:rPr>
      </w:pPr>
      <w:bookmarkStart w:id="2" w:name="_Toc172321774"/>
      <w:r>
        <w:rPr>
          <w:rFonts w:hint="eastAsia" w:eastAsia="黑体"/>
          <w:sz w:val="32"/>
          <w:szCs w:val="32"/>
          <w:lang w:val="en-US" w:eastAsia="zh-CN"/>
        </w:rPr>
        <w:t>二</w:t>
      </w:r>
      <w:r>
        <w:rPr>
          <w:rFonts w:eastAsia="黑体"/>
          <w:sz w:val="32"/>
          <w:szCs w:val="32"/>
        </w:rPr>
        <w:t>、立项依据</w:t>
      </w:r>
      <w:bookmarkEnd w:id="2"/>
    </w:p>
    <w:p w14:paraId="0595A722">
      <w:pPr>
        <w:snapToGrid w:val="0"/>
        <w:spacing w:line="360" w:lineRule="auto"/>
        <w:ind w:firstLine="572" w:firstLineChars="200"/>
        <w:outlineLvl w:val="1"/>
        <w:rPr>
          <w:lang w:val="en-US"/>
        </w:rPr>
      </w:pPr>
      <w:bookmarkStart w:id="3" w:name="_Toc172321775"/>
      <w:r>
        <w:rPr>
          <w:rFonts w:eastAsia="楷体_GB2312"/>
        </w:rPr>
        <w:t>（一）国家战略需求分析</w:t>
      </w:r>
      <w:bookmarkEnd w:id="3"/>
    </w:p>
    <w:p w14:paraId="34ADC764">
      <w:pPr>
        <w:snapToGrid w:val="0"/>
        <w:spacing w:line="360" w:lineRule="auto"/>
        <w:ind w:firstLine="572" w:firstLineChars="200"/>
        <w:outlineLvl w:val="1"/>
        <w:rPr>
          <w:lang w:val="zh-CN"/>
        </w:rPr>
      </w:pPr>
      <w:bookmarkStart w:id="4" w:name="_Toc172321777"/>
      <w:r>
        <w:rPr>
          <w:rFonts w:eastAsia="楷体_GB2312"/>
        </w:rPr>
        <w:t>（</w:t>
      </w:r>
      <w:r>
        <w:rPr>
          <w:rFonts w:hint="eastAsia" w:eastAsia="楷体_GB2312"/>
          <w:lang w:val="en-US" w:eastAsia="zh-CN"/>
        </w:rPr>
        <w:t>二</w:t>
      </w:r>
      <w:r>
        <w:rPr>
          <w:rFonts w:eastAsia="楷体_GB2312"/>
        </w:rPr>
        <w:t>）国内外研究概况和发展趋势</w:t>
      </w:r>
      <w:bookmarkEnd w:id="4"/>
      <w:bookmarkStart w:id="5" w:name="_Toc172321778"/>
      <w:bookmarkStart w:id="6" w:name="_Hlk65778781"/>
    </w:p>
    <w:bookmarkEnd w:id="5"/>
    <w:bookmarkEnd w:id="6"/>
    <w:p w14:paraId="26274768">
      <w:pPr>
        <w:snapToGrid w:val="0"/>
        <w:spacing w:line="360" w:lineRule="auto"/>
        <w:outlineLvl w:val="0"/>
        <w:rPr>
          <w:rFonts w:hint="default" w:eastAsia="黑体"/>
          <w:sz w:val="32"/>
          <w:szCs w:val="32"/>
          <w:lang w:val="en-US" w:eastAsia="zh-CN"/>
        </w:rPr>
      </w:pPr>
      <w:bookmarkStart w:id="7" w:name="_Toc172321779"/>
      <w:r>
        <w:rPr>
          <w:rFonts w:hint="eastAsia" w:eastAsia="黑体"/>
          <w:sz w:val="32"/>
          <w:szCs w:val="32"/>
          <w:lang w:val="en-US" w:eastAsia="zh-CN"/>
        </w:rPr>
        <w:t>三</w:t>
      </w:r>
      <w:r>
        <w:rPr>
          <w:rFonts w:eastAsia="黑体"/>
          <w:sz w:val="32"/>
          <w:szCs w:val="32"/>
        </w:rPr>
        <w:t>、研究目标</w:t>
      </w:r>
      <w:bookmarkEnd w:id="7"/>
      <w:r>
        <w:rPr>
          <w:rFonts w:hint="eastAsia" w:eastAsia="黑体"/>
          <w:sz w:val="32"/>
          <w:szCs w:val="32"/>
          <w:lang w:val="en-US" w:eastAsia="zh-CN"/>
        </w:rPr>
        <w:t>与内容</w:t>
      </w:r>
    </w:p>
    <w:p w14:paraId="04B82A08">
      <w:pPr>
        <w:snapToGrid w:val="0"/>
        <w:spacing w:line="360" w:lineRule="auto"/>
        <w:ind w:firstLine="572" w:firstLineChars="200"/>
        <w:outlineLvl w:val="1"/>
        <w:rPr>
          <w:rFonts w:hint="eastAsia" w:eastAsia="楷体_GB2312"/>
          <w:szCs w:val="28"/>
          <w:lang w:val="en-US" w:eastAsia="zh-CN"/>
        </w:rPr>
      </w:pPr>
      <w:bookmarkStart w:id="8" w:name="_Toc172321780"/>
      <w:bookmarkStart w:id="9" w:name="_Hlk65778817"/>
      <w:r>
        <w:rPr>
          <w:rFonts w:eastAsia="楷体_GB2312"/>
          <w:szCs w:val="28"/>
          <w:lang w:val="zh-CN"/>
        </w:rPr>
        <w:t>（一）</w:t>
      </w:r>
      <w:r>
        <w:rPr>
          <w:rFonts w:hint="eastAsia" w:eastAsia="楷体_GB2312"/>
          <w:szCs w:val="28"/>
          <w:lang w:val="en-US" w:eastAsia="zh-CN"/>
        </w:rPr>
        <w:t>总体</w:t>
      </w:r>
      <w:bookmarkEnd w:id="8"/>
      <w:r>
        <w:rPr>
          <w:rFonts w:hint="eastAsia" w:eastAsia="楷体_GB2312"/>
          <w:szCs w:val="28"/>
          <w:lang w:val="en-US" w:eastAsia="zh-CN"/>
        </w:rPr>
        <w:t>目标</w:t>
      </w:r>
    </w:p>
    <w:p w14:paraId="395C89BB">
      <w:pPr>
        <w:snapToGrid w:val="0"/>
        <w:spacing w:line="360" w:lineRule="auto"/>
        <w:ind w:firstLine="572" w:firstLineChars="200"/>
        <w:outlineLvl w:val="1"/>
        <w:rPr>
          <w:rFonts w:hint="default" w:eastAsia="楷体_GB2312"/>
          <w:szCs w:val="28"/>
          <w:lang w:val="en-US" w:eastAsia="zh-CN"/>
        </w:rPr>
      </w:pPr>
      <w:r>
        <w:rPr>
          <w:rFonts w:hint="eastAsia" w:eastAsia="楷体_GB2312"/>
          <w:szCs w:val="28"/>
          <w:lang w:val="en-US" w:eastAsia="zh-CN"/>
        </w:rPr>
        <w:t>（二）研究内容</w:t>
      </w:r>
    </w:p>
    <w:p w14:paraId="3A204B71">
      <w:pPr>
        <w:bidi w:val="0"/>
        <w:ind w:left="420" w:leftChars="0" w:firstLine="420" w:firstLineChars="0"/>
        <w:rPr>
          <w:rFonts w:hint="eastAsia"/>
          <w:b/>
          <w:bCs/>
          <w:lang w:val="en-US" w:eastAsia="zh-CN"/>
        </w:rPr>
      </w:pPr>
      <w:r>
        <w:rPr>
          <w:rFonts w:hint="eastAsia"/>
          <w:b/>
          <w:bCs/>
          <w:lang w:val="en-US" w:eastAsia="zh-CN"/>
        </w:rPr>
        <w:t>研究内容一：超宽带超线性基带信号处理技术</w:t>
      </w:r>
    </w:p>
    <w:p w14:paraId="440837D5">
      <w:pPr>
        <w:pStyle w:val="2"/>
        <w:numPr>
          <w:ilvl w:val="0"/>
          <w:numId w:val="1"/>
        </w:numPr>
        <w:ind w:left="1265" w:leftChars="0" w:hanging="425" w:firstLineChars="0"/>
        <w:rPr>
          <w:rFonts w:hint="eastAsia"/>
          <w:b/>
          <w:bCs/>
          <w:lang w:val="en-US" w:eastAsia="zh-CN"/>
        </w:rPr>
      </w:pPr>
      <w:r>
        <w:rPr>
          <w:rFonts w:hint="eastAsia"/>
          <w:b/>
          <w:bCs/>
          <w:lang w:val="en-US" w:eastAsia="zh-CN"/>
        </w:rPr>
        <w:t>射频前端收发</w:t>
      </w:r>
    </w:p>
    <w:p w14:paraId="323C2F9F">
      <w:pPr>
        <w:pStyle w:val="2"/>
        <w:numPr>
          <w:ilvl w:val="0"/>
          <w:numId w:val="2"/>
        </w:numPr>
        <w:ind w:left="1265" w:leftChars="0" w:hanging="425" w:firstLineChars="0"/>
        <w:rPr>
          <w:rFonts w:hint="default"/>
          <w:b/>
          <w:bCs/>
          <w:lang w:val="en-US" w:eastAsia="zh-CN"/>
        </w:rPr>
      </w:pPr>
      <w:r>
        <w:rPr>
          <w:rFonts w:hint="default"/>
          <w:b/>
          <w:bCs/>
          <w:lang w:val="en-US" w:eastAsia="zh-CN"/>
        </w:rPr>
        <w:t>宽带高效接收天线阵列设计</w:t>
      </w:r>
    </w:p>
    <w:p w14:paraId="75253E4A">
      <w:pPr>
        <w:pStyle w:val="2"/>
        <w:numPr>
          <w:numId w:val="0"/>
        </w:numPr>
        <w:ind w:left="840" w:leftChars="0" w:firstLine="420" w:firstLineChars="0"/>
        <w:rPr>
          <w:rFonts w:hint="default"/>
          <w:b w:val="0"/>
          <w:bCs w:val="0"/>
          <w:lang w:val="en-US" w:eastAsia="zh-CN"/>
        </w:rPr>
      </w:pPr>
      <w:r>
        <w:rPr>
          <w:rFonts w:hint="default"/>
          <w:b w:val="0"/>
          <w:bCs w:val="0"/>
          <w:lang w:val="en-US" w:eastAsia="zh-CN"/>
        </w:rPr>
        <w:t>本研究旨在设计一种兼具宽带覆盖能力与高能效性能的接收天线阵列，以满足未来无线通信系统对多频段、多制式、高数据速率的苛刻需求。首先，深入分析通信系统中不同频段信号的传播特性与衰减规律，结合多天线阵列技术，优化天线单元的排列和馈电结构，实现宽频带内的稳定增益和良好方向性。其次，针对多输入多输出（MIMO）及大规模天线阵列应用，设计低互耦、宽角度扫描范围的天线单元，提升阵列的空间复用能力和抗干扰性能。同时，探索基于新型材料和结构的轻量化、微型化天线设计方案，以降低天线体积和重量，适应终端设备的空间限制。此外，结合自适应波束赋形技术，利用智能调节机制优化接收方向和波束宽度，增强对动态多径环境下信号的捕获和稳定接收能力。最终，通过仿真和实测验证，确保天线阵列具备优异的带宽、增益、方向性及匹配性能，为端侧高速通信与智能处理提供坚实的硬件基础。</w:t>
      </w:r>
    </w:p>
    <w:p w14:paraId="7FF34046">
      <w:pPr>
        <w:pStyle w:val="2"/>
        <w:numPr>
          <w:ilvl w:val="0"/>
          <w:numId w:val="2"/>
        </w:numPr>
        <w:ind w:left="1265" w:leftChars="0" w:hanging="425" w:firstLineChars="0"/>
        <w:rPr>
          <w:rFonts w:hint="eastAsia"/>
          <w:b/>
          <w:bCs/>
          <w:lang w:val="en-US" w:eastAsia="zh-CN"/>
        </w:rPr>
      </w:pPr>
      <w:r>
        <w:rPr>
          <w:rFonts w:hint="eastAsia"/>
          <w:b/>
          <w:bCs/>
          <w:lang w:val="en-US" w:eastAsia="zh-CN"/>
        </w:rPr>
        <w:t>高线性低噪声射频接收前端架构</w:t>
      </w:r>
    </w:p>
    <w:p w14:paraId="2F2B47BD">
      <w:pPr>
        <w:pStyle w:val="2"/>
        <w:numPr>
          <w:numId w:val="0"/>
        </w:numPr>
        <w:ind w:left="840" w:leftChars="0" w:firstLine="420" w:firstLineChars="0"/>
        <w:rPr>
          <w:rFonts w:hint="eastAsia"/>
          <w:b/>
          <w:bCs/>
          <w:lang w:val="en-US" w:eastAsia="zh-CN"/>
        </w:rPr>
      </w:pPr>
      <w:r>
        <w:rPr>
          <w:rFonts w:hint="eastAsia"/>
          <w:b w:val="0"/>
          <w:bCs w:val="0"/>
          <w:lang w:val="en-US" w:eastAsia="zh-CN"/>
        </w:rPr>
        <w:t>本研究聚焦于设计具备高线性度和低噪声特性的射频接收前端架构，以满足现代无线通信系统中对信号质量和动态范围的严苛要求。通过优化低噪声放大器（LNA）的电路设计和工艺流程，提升信号放大增益的同时有效抑制噪声系数，保障微弱信号的高保真接收。针对多频段、多制式的复杂通信环境，设计高选择性射频滤波器，提高邻道干扰和谐波抑制能力，保证接收信号的纯净性。进一步，采用先进的线性化技术和混频器结构，提升整个前端链路的线性范围，减少互调失真和非线性效应，确保高动态范围下信号的准确还原。研究射频前端各模块之间的协同工作机制，优化功耗分配与热管理，提升系统稳定性和可靠性。结合仿真与实验验证，开发出适应多场景应用需求的高性能射频接收前端架构，为高质量无线通信提供坚实保障。</w:t>
      </w:r>
    </w:p>
    <w:p w14:paraId="60BF9096">
      <w:pPr>
        <w:pStyle w:val="2"/>
        <w:numPr>
          <w:ilvl w:val="0"/>
          <w:numId w:val="2"/>
        </w:numPr>
        <w:ind w:left="1265" w:leftChars="0" w:hanging="425" w:firstLineChars="0"/>
        <w:rPr>
          <w:rFonts w:hint="default"/>
          <w:b/>
          <w:bCs/>
          <w:lang w:val="en-US" w:eastAsia="zh-CN"/>
        </w:rPr>
      </w:pPr>
      <w:r>
        <w:rPr>
          <w:rFonts w:hint="default"/>
          <w:b/>
          <w:bCs/>
          <w:lang w:val="en-US" w:eastAsia="zh-CN"/>
        </w:rPr>
        <w:t>高速高精度信号采样与数字化链路设计</w:t>
      </w:r>
    </w:p>
    <w:p w14:paraId="6A3FBC22">
      <w:pPr>
        <w:pStyle w:val="2"/>
        <w:numPr>
          <w:numId w:val="0"/>
        </w:numPr>
        <w:ind w:left="840" w:leftChars="0" w:firstLine="420" w:firstLineChars="0"/>
        <w:rPr>
          <w:rFonts w:hint="default"/>
          <w:b w:val="0"/>
          <w:bCs w:val="0"/>
          <w:lang w:val="en-US" w:eastAsia="zh-CN"/>
        </w:rPr>
      </w:pPr>
      <w:r>
        <w:rPr>
          <w:rFonts w:hint="default"/>
          <w:b w:val="0"/>
          <w:bCs w:val="0"/>
          <w:lang w:val="en-US" w:eastAsia="zh-CN"/>
        </w:rPr>
        <w:t>本研究聚焦于高速、高精度的模拟信号采样与数字化链路设计，旨在提升无线通信系统中接收信号的数字化质量与处理效率。首先，针对通信信号的高带宽特性，设计采样速率高、时钟抖动低的高速模数转换器（ADC），确保信号在高速采样过程中保持高信噪比和低失真。其次，优化采样前端的抗混叠滤波器设计，抑制带外干扰，保障输入信号的纯净性。结合先进的时钟同步和数据对齐技术，提升采样过程的时间精度和采样稳定性，降低采样误差对后续数字处理的影响。同时，设计高带宽、低延迟的数字接口和数据缓存机制，确保采样数据的实时传输与高效处理。进一步，开展数字化链路的功耗优化与热管理研究，满足终端设备对能效和体积的严格要求。通过软硬件协同设计与系统仿真，构建完整的高速采样与数字化链路方案，为端侧智能通信提供高质量的数据基础。</w:t>
      </w:r>
    </w:p>
    <w:p w14:paraId="10205B8E">
      <w:pPr>
        <w:pStyle w:val="2"/>
        <w:numPr>
          <w:ilvl w:val="0"/>
          <w:numId w:val="1"/>
        </w:numPr>
        <w:ind w:left="1265" w:leftChars="0" w:hanging="425" w:firstLineChars="0"/>
        <w:rPr>
          <w:rFonts w:hint="default"/>
          <w:b/>
          <w:bCs/>
          <w:lang w:val="en-US" w:eastAsia="zh-CN"/>
        </w:rPr>
      </w:pPr>
      <w:r>
        <w:rPr>
          <w:rFonts w:hint="eastAsia"/>
          <w:b/>
          <w:bCs/>
          <w:lang w:val="en-US" w:eastAsia="zh-CN"/>
        </w:rPr>
        <w:t>基带信号处理</w:t>
      </w:r>
    </w:p>
    <w:p w14:paraId="4EE6E3C7">
      <w:pPr>
        <w:pStyle w:val="2"/>
        <w:numPr>
          <w:ilvl w:val="0"/>
          <w:numId w:val="3"/>
        </w:numPr>
        <w:ind w:left="1265" w:leftChars="0" w:hanging="425" w:firstLineChars="0"/>
        <w:rPr>
          <w:rFonts w:hint="default"/>
          <w:b/>
          <w:bCs/>
          <w:lang w:val="en-US" w:eastAsia="zh-CN"/>
        </w:rPr>
      </w:pPr>
      <w:r>
        <w:rPr>
          <w:rFonts w:hint="default"/>
          <w:b/>
          <w:bCs/>
          <w:lang w:val="en-US" w:eastAsia="zh-CN"/>
        </w:rPr>
        <w:t>峰均功率比（Peak-to-Average Power Ratio，PAPR）</w:t>
      </w:r>
      <w:r>
        <w:rPr>
          <w:rFonts w:hint="eastAsia"/>
          <w:b/>
          <w:bCs/>
          <w:lang w:val="en-US" w:eastAsia="zh-CN"/>
        </w:rPr>
        <w:t>抑制</w:t>
      </w:r>
    </w:p>
    <w:p w14:paraId="56B6A4D1">
      <w:pPr>
        <w:pStyle w:val="2"/>
        <w:numPr>
          <w:ilvl w:val="0"/>
          <w:numId w:val="0"/>
        </w:numPr>
        <w:ind w:left="840" w:leftChars="0"/>
        <w:rPr>
          <w:rFonts w:hint="default"/>
          <w:b w:val="0"/>
          <w:bCs w:val="0"/>
          <w:lang w:val="en-US" w:eastAsia="zh-CN"/>
        </w:rPr>
      </w:pPr>
      <w:r>
        <w:rPr>
          <w:rFonts w:hint="default"/>
          <w:b w:val="0"/>
          <w:bCs w:val="0"/>
          <w:lang w:val="en-US" w:eastAsia="zh-CN"/>
        </w:rPr>
        <w:t>峰均功率比（Peak-to-Average Power Ratio，PAPR）</w:t>
      </w:r>
      <w:r>
        <w:rPr>
          <w:rFonts w:hint="default"/>
          <w:b w:val="0"/>
          <w:bCs w:val="0"/>
          <w:lang w:val="en-US" w:eastAsia="zh-CN"/>
        </w:rPr>
        <w:t>是多载波通信系统（如OFDM）中常见的性能指标，反映信号峰值功率与平均功率的比值。高PAPR会导致功率放大器工作在非线性区，产生信号失真和频谱扩展，影响系统性能和能效。PAPR抑制技术旨在通过信号预处理、编码设计、压缩或峰值削减等方法，降低信号的峰值波动，减少功率放大器非线性效应，提升发射链路的线性度和能效，保障信号质量和系统稳定性。常见技术包括选择性映射（SLM）、部分传输序列（PTS）、削峰滤波（Clipping and Filtering）等，结合算法复杂度与性能权衡进行设计优化。</w:t>
      </w:r>
    </w:p>
    <w:p w14:paraId="01DF7254">
      <w:pPr>
        <w:pStyle w:val="2"/>
        <w:numPr>
          <w:ilvl w:val="0"/>
          <w:numId w:val="3"/>
        </w:numPr>
        <w:ind w:left="1265" w:leftChars="0" w:hanging="425" w:firstLineChars="0"/>
        <w:rPr>
          <w:rFonts w:hint="default"/>
          <w:b/>
          <w:bCs/>
          <w:lang w:val="en-US" w:eastAsia="zh-CN"/>
        </w:rPr>
      </w:pPr>
      <w:r>
        <w:rPr>
          <w:rFonts w:hint="default"/>
          <w:b/>
          <w:bCs/>
          <w:lang w:val="en-US" w:eastAsia="zh-CN"/>
        </w:rPr>
        <w:t>预失真处理（预补偿失真技术）</w:t>
      </w:r>
    </w:p>
    <w:p w14:paraId="617889BA">
      <w:pPr>
        <w:pStyle w:val="2"/>
        <w:numPr>
          <w:numId w:val="0"/>
        </w:numPr>
        <w:ind w:left="840" w:leftChars="0"/>
        <w:rPr>
          <w:rFonts w:hint="default"/>
          <w:b w:val="0"/>
          <w:bCs w:val="0"/>
          <w:lang w:val="en-US" w:eastAsia="zh-CN"/>
        </w:rPr>
      </w:pPr>
      <w:r>
        <w:rPr>
          <w:rFonts w:hint="default"/>
          <w:b w:val="0"/>
          <w:bCs w:val="0"/>
          <w:lang w:val="en-US" w:eastAsia="zh-CN"/>
        </w:rPr>
        <w:t>预失真处理是发射端为抵消功率放大器及射频链路非线性失真而采取的一种信号预补偿技术。通过建立功率放大器的非线性模型（如记忆效应、交叉调制等），在基带信号处理阶段对发射信号进行逆向变换，预先“扭曲”信号，使其经过非线性设备后能恢复为理想波形。该技术有效降低信号失真、改善误码率和频谱效率，广泛应用于无线通信系统中。实现预失真处理需要高精度非线性模型识别、实时参数更新及高效数字信号处理算法支持，是保证高线性、高效率发射链路的关键环节。</w:t>
      </w:r>
    </w:p>
    <w:p w14:paraId="4ECB0787">
      <w:pPr>
        <w:pStyle w:val="2"/>
        <w:numPr>
          <w:ilvl w:val="0"/>
          <w:numId w:val="3"/>
        </w:numPr>
        <w:ind w:left="1265" w:leftChars="0" w:hanging="425" w:firstLineChars="0"/>
        <w:rPr>
          <w:rFonts w:hint="default"/>
          <w:b/>
          <w:bCs/>
          <w:lang w:val="en-US" w:eastAsia="zh-CN"/>
        </w:rPr>
      </w:pPr>
      <w:r>
        <w:rPr>
          <w:rFonts w:hint="default"/>
          <w:b/>
          <w:bCs/>
          <w:lang w:val="en-US" w:eastAsia="zh-CN"/>
        </w:rPr>
        <w:t>非线性均衡（非线性信道补偿技术）</w:t>
      </w:r>
    </w:p>
    <w:p w14:paraId="1DAB67AA">
      <w:pPr>
        <w:pStyle w:val="2"/>
        <w:numPr>
          <w:numId w:val="0"/>
        </w:numPr>
        <w:ind w:left="840" w:leftChars="0" w:firstLine="420" w:firstLineChars="0"/>
        <w:rPr>
          <w:rFonts w:hint="default"/>
          <w:b w:val="0"/>
          <w:bCs w:val="0"/>
          <w:lang w:val="en-US" w:eastAsia="zh-CN"/>
        </w:rPr>
      </w:pPr>
      <w:r>
        <w:rPr>
          <w:rFonts w:hint="default"/>
          <w:b w:val="0"/>
          <w:bCs w:val="0"/>
          <w:lang w:val="en-US" w:eastAsia="zh-CN"/>
        </w:rPr>
        <w:t>非线性均衡技术用于接收端补偿由于信道或硬件非线性引起的信号失真，恢复原始传输信息。不同于线性均衡器，非线性均衡器考虑信号通过非线性系统后产生的高阶互调干扰、交叉调制效应及记忆效应，采用Volterra滤波器、决策反馈均衡（DFE）、机器学习或深度学习方法实现复杂的非线性补偿。其核心在于准确建模和抑制非线性畸变，提高误码性能和链路鲁棒性，尤其在高功率放大、毫米波通信、多径及高速移动环境中尤为关键。非线性均衡技术是提升现代通信系统抗干扰能力和传输质量的重要方向。</w:t>
      </w:r>
    </w:p>
    <w:p w14:paraId="644CF002">
      <w:pPr>
        <w:pStyle w:val="2"/>
        <w:numPr>
          <w:numId w:val="0"/>
        </w:numPr>
        <w:rPr>
          <w:rFonts w:hint="default"/>
          <w:b w:val="0"/>
          <w:bCs w:val="0"/>
          <w:lang w:val="en-US" w:eastAsia="zh-CN"/>
        </w:rPr>
      </w:pPr>
      <w:bookmarkStart w:id="23" w:name="_GoBack"/>
      <w:bookmarkEnd w:id="23"/>
    </w:p>
    <w:p w14:paraId="2C5BF960">
      <w:pPr>
        <w:pStyle w:val="2"/>
        <w:ind w:left="420" w:leftChars="0" w:firstLine="420" w:firstLineChars="0"/>
        <w:rPr>
          <w:rFonts w:hint="default"/>
          <w:b/>
          <w:bCs/>
          <w:lang w:val="en-US" w:eastAsia="zh-CN"/>
        </w:rPr>
      </w:pPr>
      <w:r>
        <w:rPr>
          <w:rFonts w:hint="eastAsia"/>
          <w:b/>
          <w:bCs/>
          <w:lang w:val="en-US" w:eastAsia="zh-CN"/>
        </w:rPr>
        <w:t>研究内容二：轻量化空口AI软硬协同处理方法</w:t>
      </w:r>
    </w:p>
    <w:p w14:paraId="7759BAAA">
      <w:pPr>
        <w:pStyle w:val="2"/>
        <w:numPr>
          <w:ilvl w:val="0"/>
          <w:numId w:val="4"/>
        </w:numPr>
        <w:ind w:left="1265" w:leftChars="0" w:hanging="425" w:firstLineChars="0"/>
        <w:rPr>
          <w:rFonts w:hint="default"/>
          <w:b/>
          <w:bCs/>
          <w:lang w:val="en-US" w:eastAsia="zh-CN"/>
        </w:rPr>
      </w:pPr>
      <w:r>
        <w:rPr>
          <w:rFonts w:hint="eastAsia"/>
          <w:b/>
          <w:bCs/>
          <w:lang w:val="en-US" w:eastAsia="zh-CN"/>
        </w:rPr>
        <w:t>空口AI模型设计</w:t>
      </w:r>
    </w:p>
    <w:p w14:paraId="58ADD26F">
      <w:pPr>
        <w:pStyle w:val="2"/>
        <w:numPr>
          <w:ilvl w:val="0"/>
          <w:numId w:val="5"/>
        </w:numPr>
        <w:ind w:left="1265" w:leftChars="0" w:hanging="425" w:firstLineChars="0"/>
        <w:rPr>
          <w:rFonts w:hint="eastAsia"/>
          <w:b/>
          <w:bCs/>
          <w:lang w:val="en-US" w:eastAsia="zh-CN"/>
        </w:rPr>
      </w:pPr>
      <w:r>
        <w:rPr>
          <w:rFonts w:hint="eastAsia"/>
          <w:b/>
          <w:bCs/>
          <w:lang w:val="en-US" w:eastAsia="zh-CN"/>
        </w:rPr>
        <w:t>面向无线通信任务的高质量数据集构建方法研究</w:t>
      </w:r>
    </w:p>
    <w:p w14:paraId="11E6D192">
      <w:pPr>
        <w:pStyle w:val="2"/>
        <w:numPr>
          <w:ilvl w:val="0"/>
          <w:numId w:val="0"/>
        </w:numPr>
        <w:ind w:left="840" w:leftChars="0" w:firstLine="420" w:firstLineChars="0"/>
        <w:rPr>
          <w:rFonts w:hint="eastAsia"/>
          <w:lang w:val="en-US" w:eastAsia="zh-CN"/>
        </w:rPr>
      </w:pPr>
      <w:r>
        <w:rPr>
          <w:rFonts w:hint="eastAsia"/>
          <w:lang w:val="en-US" w:eastAsia="zh-CN"/>
        </w:rPr>
        <w:t>在无线通信与人工智能深度融合的背景下，数据驱动的方法正逐步成为信道建模、信号检测、资源管理等关键任务的重要支撑。而高质量数据集的构建，作为推动该领域研究发展的基础性工作，其研究意义尤为突出。面向无线通信任务，数据集的构建不仅要关注数据量的规模，更需兼顾数据的真实性、代表性与多样性，从而有效支撑算法的泛化与鲁棒性研究。</w:t>
      </w:r>
    </w:p>
    <w:p w14:paraId="2920538E">
      <w:pPr>
        <w:pStyle w:val="2"/>
        <w:numPr>
          <w:ilvl w:val="0"/>
          <w:numId w:val="0"/>
        </w:numPr>
        <w:ind w:left="840" w:leftChars="0" w:firstLine="420" w:firstLineChars="0"/>
        <w:rPr>
          <w:rFonts w:hint="eastAsia"/>
          <w:lang w:val="en-US" w:eastAsia="zh-CN"/>
        </w:rPr>
      </w:pPr>
      <w:r>
        <w:rPr>
          <w:rFonts w:hint="eastAsia"/>
          <w:lang w:val="en-US" w:eastAsia="zh-CN"/>
        </w:rPr>
        <w:t>数据的真实性与代表性是构建高质量通信数据集的核心要素。无线通信数据不同于传统视觉或语言数据，其高度依赖于物理环境与设备条件，具有明显的时空特性和环境依赖性。因此，高质量数据集应涵盖多样化的采集场景，包括城市、乡村、室内、室外、多路径衰落、遮挡等多种典型通信环境。数据来源应结合真实测量与高保真仿真双路径同步推进。一方面，基于软件无线电（SDR）等平台获取真实信道状态信息（CSI）、IQ信号等原始数据，保障数据的物理可信性。另一方面，利用 WINNER II、QuaDRiGa 等专业仿真工具，基于参数化模型模拟复杂场景，以弥补实际数据采集的不可控与不足，进一步丰富数据集的全面性与泛化能力。</w:t>
      </w:r>
    </w:p>
    <w:p w14:paraId="408C1764">
      <w:pPr>
        <w:pStyle w:val="2"/>
        <w:numPr>
          <w:ilvl w:val="0"/>
          <w:numId w:val="0"/>
        </w:numPr>
        <w:ind w:left="840" w:leftChars="0" w:firstLine="420" w:firstLineChars="0"/>
        <w:rPr>
          <w:rFonts w:hint="eastAsia"/>
          <w:lang w:val="en-US" w:eastAsia="zh-CN"/>
        </w:rPr>
      </w:pPr>
      <w:r>
        <w:rPr>
          <w:rFonts w:hint="eastAsia"/>
          <w:lang w:val="en-US" w:eastAsia="zh-CN"/>
        </w:rPr>
        <w:t>数据的维度规范与格式标准化是保证数据价值复用的前提。通信领域涉及的数据类型多样，包括时域/频域 CSI、IQ 矢量、信道矩阵等原始数据及其衍生特征。为适配不同研究任务，如信道预测、信号检测、波束赋形等，需制定统一的数据格式与接口规范，明确数据维度、标注信息（频段、天线、场景、用户速度等元数据），同时配套标准化的预处理流程，如归一化、统一采样率与时间对齐，提升数据在跨任务、跨模型间的通用性。</w:t>
      </w:r>
    </w:p>
    <w:p w14:paraId="4B8409EF">
      <w:pPr>
        <w:pStyle w:val="2"/>
        <w:numPr>
          <w:ilvl w:val="0"/>
          <w:numId w:val="0"/>
        </w:numPr>
        <w:ind w:left="840" w:leftChars="0" w:firstLine="420" w:firstLineChars="0"/>
        <w:rPr>
          <w:rFonts w:hint="eastAsia"/>
          <w:lang w:val="en-US" w:eastAsia="zh-CN"/>
        </w:rPr>
      </w:pPr>
      <w:r>
        <w:rPr>
          <w:rFonts w:hint="eastAsia"/>
          <w:lang w:val="en-US" w:eastAsia="zh-CN"/>
        </w:rPr>
        <w:t>在数据有限的现实条件下，数据增强与数据质量控制同样至关重要。通过模拟噪声扰动、多径变化、阻塞等通信特有信道劣化因素，提升数据集对实际环境的覆盖度与鲁棒性。此外，可引入插值方法、数据生成模型（如GAN、扩散模型等）对已有数据进行合理扩展，缓解小样本问题。为保障数据质量，需建立系统的数据清洗与异常检测机制，剔除异常、失真、重复数据，确保数据稳定性与有效性。</w:t>
      </w:r>
    </w:p>
    <w:p w14:paraId="337FA150">
      <w:pPr>
        <w:pStyle w:val="2"/>
        <w:numPr>
          <w:ilvl w:val="0"/>
          <w:numId w:val="0"/>
        </w:numPr>
        <w:ind w:left="840" w:leftChars="0" w:firstLine="420" w:firstLineChars="0"/>
        <w:rPr>
          <w:rFonts w:hint="eastAsia"/>
          <w:lang w:val="en-US" w:eastAsia="zh-CN"/>
        </w:rPr>
      </w:pPr>
      <w:r>
        <w:rPr>
          <w:rFonts w:hint="eastAsia"/>
          <w:lang w:val="en-US" w:eastAsia="zh-CN"/>
        </w:rPr>
        <w:t>面向无线通信任务的数据集构建研究，应从数据采集、格式标准、数据增强及质量控制四个维度系统推进，形成高质量、多样化、标准化的通信数据基座。</w:t>
      </w:r>
    </w:p>
    <w:p w14:paraId="5CA0B2D2">
      <w:pPr>
        <w:pStyle w:val="2"/>
        <w:numPr>
          <w:ilvl w:val="0"/>
          <w:numId w:val="5"/>
        </w:numPr>
        <w:ind w:left="1265" w:leftChars="0" w:hanging="425" w:firstLineChars="0"/>
        <w:rPr>
          <w:rFonts w:hint="eastAsia"/>
          <w:b/>
          <w:bCs/>
          <w:lang w:val="en-US" w:eastAsia="zh-CN"/>
        </w:rPr>
      </w:pPr>
      <w:r>
        <w:rPr>
          <w:rFonts w:hint="eastAsia"/>
          <w:b/>
          <w:bCs/>
          <w:lang w:val="en-US" w:eastAsia="zh-CN"/>
        </w:rPr>
        <w:t>深度学习在通信系统中的应用与优化</w:t>
      </w:r>
    </w:p>
    <w:p w14:paraId="58D55197">
      <w:pPr>
        <w:pStyle w:val="2"/>
        <w:numPr>
          <w:ilvl w:val="0"/>
          <w:numId w:val="0"/>
        </w:numPr>
        <w:ind w:left="840" w:leftChars="0" w:firstLine="420" w:firstLineChars="0"/>
        <w:rPr>
          <w:rFonts w:hint="eastAsia"/>
          <w:lang w:val="en-US" w:eastAsia="zh-CN"/>
        </w:rPr>
      </w:pPr>
      <w:r>
        <w:rPr>
          <w:rFonts w:hint="eastAsia"/>
          <w:lang w:val="en-US" w:eastAsia="zh-CN"/>
        </w:rPr>
        <w:t>随着深度学习技术的快速发展，其在无线通信系统中的应用已成为近年来学术界与工业界的研究热点。深度学习凭借其强大的特征提取与表示能力，为传统通信系统中诸如信道估计、信号预测、资源分配、波束赋形等核心模块提供了全新的解决思路，推动通信系统从“模型驱动”逐步向“数据驱动”范式转变。因此，研究深度学习在通信系统中的应用与优化，具有重要的理论与实践意义。</w:t>
      </w:r>
    </w:p>
    <w:p w14:paraId="18A95050">
      <w:pPr>
        <w:pStyle w:val="2"/>
        <w:numPr>
          <w:ilvl w:val="0"/>
          <w:numId w:val="0"/>
        </w:numPr>
        <w:ind w:left="840" w:leftChars="0" w:firstLine="420" w:firstLineChars="0"/>
        <w:rPr>
          <w:rFonts w:hint="eastAsia"/>
          <w:lang w:val="en-US" w:eastAsia="zh-CN"/>
        </w:rPr>
      </w:pPr>
      <w:r>
        <w:rPr>
          <w:rFonts w:hint="eastAsia"/>
          <w:lang w:val="en-US" w:eastAsia="zh-CN"/>
        </w:rPr>
        <w:t>在物理层，深度学习可用于提升信道状态信息（CSI）估计与反馈的准确性与效率。通过深度神经网络（DNN）、卷积神经网络（CNN）等模型，可有效挖掘信道的空间相关性与时间相关性，实现对复杂无线环境下非线性信道特征的精准建模。此外，深度学习还可用于端到端通信系统的联合优化，打破传统通信模块独立设计的局限，将调制解调、信道编码与解码、信号检测等过程统一建模，实现更优的整体性能。</w:t>
      </w:r>
    </w:p>
    <w:p w14:paraId="44E45CC2">
      <w:pPr>
        <w:pStyle w:val="2"/>
        <w:numPr>
          <w:ilvl w:val="0"/>
          <w:numId w:val="0"/>
        </w:numPr>
        <w:ind w:left="840" w:leftChars="0" w:firstLine="420" w:firstLineChars="0"/>
        <w:rPr>
          <w:rFonts w:hint="eastAsia"/>
          <w:lang w:val="en-US" w:eastAsia="zh-CN"/>
        </w:rPr>
      </w:pPr>
      <w:r>
        <w:rPr>
          <w:rFonts w:hint="eastAsia"/>
          <w:lang w:val="en-US" w:eastAsia="zh-CN"/>
        </w:rPr>
        <w:t>在系统层面，深度强化学习等技术被广泛用于资源管理与分配、动态频谱管理等任务，提升系统频谱与能效利用率。同时，图神经网络（GNN）、生成对抗网络（GAN）等前沿模型，也在异构网络协同、边缘计算、无人机通信等新兴领域展现出良好效果。</w:t>
      </w:r>
    </w:p>
    <w:p w14:paraId="23E07038">
      <w:pPr>
        <w:pStyle w:val="2"/>
        <w:numPr>
          <w:ilvl w:val="0"/>
          <w:numId w:val="0"/>
        </w:numPr>
        <w:ind w:left="840" w:leftChars="0" w:firstLine="420" w:firstLineChars="0"/>
        <w:rPr>
          <w:rFonts w:hint="eastAsia"/>
          <w:lang w:val="en-US" w:eastAsia="zh-CN"/>
        </w:rPr>
      </w:pPr>
      <w:r>
        <w:rPr>
          <w:rFonts w:hint="eastAsia"/>
          <w:lang w:val="en-US" w:eastAsia="zh-CN"/>
        </w:rPr>
        <w:t>针对通信系统的特殊性，深度学习模型的优化研究尤为重要，通过软硬件协同设计，推动深度学习模型更好地适配通信系统对于低时延、高能效、高可靠的严苛需求，进一步促进其在实际通信系统中的落地应用。</w:t>
      </w:r>
    </w:p>
    <w:p w14:paraId="1CB58048">
      <w:pPr>
        <w:pStyle w:val="2"/>
        <w:numPr>
          <w:ilvl w:val="0"/>
          <w:numId w:val="5"/>
        </w:numPr>
        <w:ind w:left="1265" w:leftChars="0" w:hanging="425" w:firstLineChars="0"/>
        <w:rPr>
          <w:rFonts w:hint="default"/>
          <w:b/>
          <w:bCs/>
          <w:lang w:val="en-US" w:eastAsia="zh-CN"/>
        </w:rPr>
      </w:pPr>
      <w:r>
        <w:rPr>
          <w:rFonts w:hint="eastAsia"/>
          <w:b/>
          <w:bCs/>
          <w:lang w:val="en-US" w:eastAsia="zh-CN"/>
        </w:rPr>
        <w:t>通信领域大规模预训练模型的设计与探索</w:t>
      </w:r>
    </w:p>
    <w:p w14:paraId="0513B052">
      <w:pPr>
        <w:pStyle w:val="2"/>
        <w:numPr>
          <w:ilvl w:val="0"/>
          <w:numId w:val="0"/>
        </w:numPr>
        <w:ind w:left="840" w:leftChars="0" w:firstLine="420" w:firstLineChars="0"/>
        <w:rPr>
          <w:rFonts w:hint="default"/>
          <w:lang w:val="en-US" w:eastAsia="zh-CN"/>
        </w:rPr>
      </w:pPr>
      <w:r>
        <w:rPr>
          <w:rFonts w:hint="default"/>
          <w:lang w:val="en-US" w:eastAsia="zh-CN"/>
        </w:rPr>
        <w:t>通信领域大规模预训练模型的设计与探索正成为推动智能无线通信系统发展的重要研究前沿。随着AI在自然语言处理与计算机视觉等领域取得突破性进展，大规模预训练模型（如GPT、BERT等）展现出强大的跨任务泛化能力与迁移能力。借鉴这一思路，将大规模预训练范式引入无线通信领域，旨在打破现有通信系统依赖特定场景、特定协议定制设计的局限，构建具备空口感知、自适应泛化能力的通用通信AI模型。</w:t>
      </w:r>
    </w:p>
    <w:p w14:paraId="60C17346">
      <w:pPr>
        <w:pStyle w:val="2"/>
        <w:numPr>
          <w:ilvl w:val="0"/>
          <w:numId w:val="0"/>
        </w:numPr>
        <w:ind w:left="840" w:leftChars="0" w:firstLine="420" w:firstLineChars="0"/>
        <w:rPr>
          <w:rFonts w:hint="default"/>
          <w:lang w:val="en-US" w:eastAsia="zh-CN"/>
        </w:rPr>
      </w:pPr>
      <w:r>
        <w:rPr>
          <w:rFonts w:hint="default"/>
          <w:lang w:val="en-US" w:eastAsia="zh-CN"/>
        </w:rPr>
        <w:t>研究需围绕通信领域数据的表征与编码方法展开。不同于语言与图像数据，通信数据通常表现为时频域信号、复值矩阵、信道状态信息（CSI）等结构化物理数据，如何将其映射为适用于深度模型训练的统一表示，是构建大规模预训练模型的基础。结合频域、时域、空间域特性，可探索基于 Transformer、图神经网络（GNN）等架构，设计具备长时序依赖建模能力与物理先验融合机制的模型结构。</w:t>
      </w:r>
    </w:p>
    <w:p w14:paraId="7B9A7060">
      <w:pPr>
        <w:pStyle w:val="2"/>
        <w:numPr>
          <w:ilvl w:val="0"/>
          <w:numId w:val="0"/>
        </w:numPr>
        <w:ind w:left="840" w:leftChars="0" w:firstLine="420" w:firstLineChars="0"/>
        <w:rPr>
          <w:rFonts w:hint="default"/>
          <w:lang w:val="en-US" w:eastAsia="zh-CN"/>
        </w:rPr>
      </w:pPr>
      <w:r>
        <w:rPr>
          <w:rFonts w:hint="default"/>
          <w:lang w:val="en-US" w:eastAsia="zh-CN"/>
        </w:rPr>
        <w:t>多任务联合与跨场景泛化能力是通信大模型的重要目标。通过联合训练信道建模、CSI压缩反馈、波束赋形、信号检测等多任务，提升模型对不同通信任务的通用性。同时，预训练数据应覆盖多频段、多制式、多场景（室内外、静动态、遮挡等）信道环境，保障模型具备较强的场景自适应能力，减少下游任务对标注数据的依赖，提升迁移能力与鲁棒性。</w:t>
      </w:r>
    </w:p>
    <w:p w14:paraId="338C608E">
      <w:pPr>
        <w:pStyle w:val="2"/>
        <w:numPr>
          <w:ilvl w:val="0"/>
          <w:numId w:val="4"/>
        </w:numPr>
        <w:ind w:left="1265" w:leftChars="0" w:hanging="425" w:firstLineChars="0"/>
        <w:rPr>
          <w:rFonts w:hint="default"/>
          <w:b/>
          <w:bCs/>
          <w:lang w:val="en-US" w:eastAsia="zh-CN"/>
        </w:rPr>
      </w:pPr>
      <w:r>
        <w:rPr>
          <w:rFonts w:hint="eastAsia"/>
          <w:b/>
          <w:bCs/>
          <w:lang w:val="en-US" w:eastAsia="zh-CN"/>
        </w:rPr>
        <w:t>模型轻量化</w:t>
      </w:r>
    </w:p>
    <w:p w14:paraId="2C52E11F">
      <w:pPr>
        <w:pStyle w:val="2"/>
        <w:numPr>
          <w:ilvl w:val="0"/>
          <w:numId w:val="6"/>
        </w:numPr>
        <w:ind w:left="1265" w:leftChars="0" w:hanging="425" w:firstLineChars="0"/>
        <w:rPr>
          <w:rFonts w:hint="eastAsia"/>
          <w:lang w:val="en-US" w:eastAsia="zh-CN"/>
        </w:rPr>
      </w:pPr>
      <w:r>
        <w:rPr>
          <w:rFonts w:hint="eastAsia"/>
          <w:b/>
          <w:bCs/>
          <w:lang w:val="en-US" w:eastAsia="zh-CN"/>
        </w:rPr>
        <w:t>面向通信神经网络的稀疏性建模与剪枝策略研究</w:t>
      </w:r>
    </w:p>
    <w:p w14:paraId="1F462E04">
      <w:pPr>
        <w:pStyle w:val="2"/>
        <w:numPr>
          <w:ilvl w:val="0"/>
          <w:numId w:val="0"/>
        </w:numPr>
        <w:ind w:left="840" w:leftChars="0" w:firstLine="420" w:firstLineChars="0"/>
        <w:rPr>
          <w:rFonts w:hint="eastAsia"/>
          <w:lang w:val="en-US" w:eastAsia="zh-CN"/>
        </w:rPr>
      </w:pPr>
      <w:r>
        <w:rPr>
          <w:rFonts w:hint="eastAsia"/>
          <w:lang w:val="en-US" w:eastAsia="zh-CN"/>
        </w:rPr>
        <w:t>通信神经网络与传统视觉、语言模型存在显著差异，其输入数据多为复值信号、时频矩阵或信道状态信息（CSI），且模型通常需兼顾物理层知识与数据驱动特征。因此，研究需探索通信特定结构（如多天线、多子载波、时频相关性）下的结构化稀疏性建模方法。例如，结合天线维度、频域维度设计稀疏性约束，使剪枝结果更符合通信系统物理结构，减少对性能的负面影响。</w:t>
      </w:r>
    </w:p>
    <w:p w14:paraId="642DAEBD">
      <w:pPr>
        <w:pStyle w:val="2"/>
        <w:numPr>
          <w:ilvl w:val="0"/>
          <w:numId w:val="0"/>
        </w:numPr>
        <w:ind w:left="840" w:leftChars="0" w:firstLine="420" w:firstLineChars="0"/>
        <w:rPr>
          <w:rFonts w:hint="eastAsia"/>
          <w:lang w:val="en-US" w:eastAsia="zh-CN"/>
        </w:rPr>
      </w:pPr>
      <w:r>
        <w:rPr>
          <w:rFonts w:hint="eastAsia"/>
          <w:lang w:val="en-US" w:eastAsia="zh-CN"/>
        </w:rPr>
        <w:t>针对不同层级（输入层、隐藏层、输出层）、不同类型（卷积层、全连接层）的冗余特征，研究可基于 L1/L2 正则化、稀疏门控机制、重要性评分等方法，识别并裁剪低贡献参数或通道，形成结构化或非结构化剪枝策略。此外，考虑到通信任务对鲁棒性与精度的敏感性，可结合知识蒸馏、微调恢复等手段，提升稀疏模型在信道估计、信号检测等任务下的稳定性与可靠性。</w:t>
      </w:r>
    </w:p>
    <w:p w14:paraId="40F4589B">
      <w:pPr>
        <w:pStyle w:val="2"/>
        <w:numPr>
          <w:ilvl w:val="0"/>
          <w:numId w:val="0"/>
        </w:numPr>
        <w:ind w:left="840" w:leftChars="0" w:firstLine="420" w:firstLineChars="0"/>
        <w:rPr>
          <w:rFonts w:hint="eastAsia"/>
          <w:lang w:val="en-US" w:eastAsia="zh-CN"/>
        </w:rPr>
      </w:pPr>
      <w:r>
        <w:rPr>
          <w:rFonts w:hint="eastAsia"/>
          <w:lang w:val="en-US" w:eastAsia="zh-CN"/>
        </w:rPr>
        <w:t>本研究拟结合端侧硬件特性（如 NPU、FPGA），进一步研究稀疏模型的硬件映射优化与部署机制，确保剪枝后的稀疏性在物理实现中能带来实际的计算加速与能效提升。通过上述研究，可为通信领域构建出兼具高精度、高效率、低算力消耗的轻量化神经网络模型，支撑未来通信系统的智能化发展与落地应用。</w:t>
      </w:r>
    </w:p>
    <w:p w14:paraId="4B45BBD0">
      <w:pPr>
        <w:pStyle w:val="2"/>
        <w:numPr>
          <w:ilvl w:val="0"/>
          <w:numId w:val="6"/>
        </w:numPr>
        <w:ind w:left="1265" w:leftChars="0" w:hanging="425" w:firstLineChars="0"/>
        <w:rPr>
          <w:rFonts w:hint="eastAsia"/>
          <w:b w:val="0"/>
          <w:bCs w:val="0"/>
          <w:lang w:val="en-US" w:eastAsia="zh-CN"/>
        </w:rPr>
      </w:pPr>
      <w:r>
        <w:rPr>
          <w:rFonts w:hint="eastAsia"/>
          <w:b/>
          <w:bCs/>
          <w:lang w:val="en-US" w:eastAsia="zh-CN"/>
        </w:rPr>
        <w:t>通信任务中深度模型的高效量化技术研究</w:t>
      </w:r>
    </w:p>
    <w:p w14:paraId="566B2E45">
      <w:pPr>
        <w:pStyle w:val="2"/>
        <w:numPr>
          <w:ilvl w:val="0"/>
          <w:numId w:val="0"/>
        </w:numPr>
        <w:ind w:left="840" w:leftChars="0" w:firstLine="420" w:firstLineChars="0"/>
        <w:rPr>
          <w:rFonts w:hint="eastAsia"/>
          <w:b w:val="0"/>
          <w:bCs w:val="0"/>
          <w:lang w:val="en-US" w:eastAsia="zh-CN"/>
        </w:rPr>
      </w:pPr>
      <w:r>
        <w:rPr>
          <w:rFonts w:hint="eastAsia"/>
          <w:b w:val="0"/>
          <w:bCs w:val="0"/>
          <w:lang w:val="en-US" w:eastAsia="zh-CN"/>
        </w:rPr>
        <w:t>随着深度学习技术在无线通信领域的广泛应用，其在信道估计、信号检测、资源分配等核心任务中展现出了显著性能提升。然而，通信系统尤其是面向边缘终端、物联网等端侧设备的实际部署，通常面临算力有限、能耗敏感、实时性要求严苛等问题，传统深度神经网络模型因参数量大、计算开销高，难以直接应用于实际通信场景。因此，开展面向通信任务的深度模型高效量化技术研究，对于推动轻量化、高能效AI模型在无线通信系统中的落地应用，具有重要的理论意义与工程价值。</w:t>
      </w:r>
    </w:p>
    <w:p w14:paraId="3841FD53">
      <w:pPr>
        <w:pStyle w:val="2"/>
        <w:numPr>
          <w:ilvl w:val="0"/>
          <w:numId w:val="0"/>
        </w:numPr>
        <w:ind w:left="840" w:leftChars="0" w:firstLine="420" w:firstLineChars="0"/>
        <w:rPr>
          <w:rFonts w:hint="eastAsia"/>
          <w:b w:val="0"/>
          <w:bCs w:val="0"/>
          <w:lang w:val="en-US" w:eastAsia="zh-CN"/>
        </w:rPr>
      </w:pPr>
      <w:r>
        <w:rPr>
          <w:rFonts w:hint="eastAsia"/>
          <w:b w:val="0"/>
          <w:bCs w:val="0"/>
          <w:lang w:val="en-US" w:eastAsia="zh-CN"/>
        </w:rPr>
        <w:t>本研究拟聚焦通信领域数据与任务的特殊性，重点围绕以下方向展开系统性研究工作：首先，针对通信领域输入数据多为时频域信号、复数信道矩阵等特征，研究适应通信特性的数据表示方法与量化策略，设计面向复数数据的实虚分离量化、动态范围自适应调整等方法，重点突破低比特（INT8、INT4）量化条件下的性能保持难题。基于此，进一步研究量化感知训练（QAT）与后训练量化（PTQ）结合的混合优化框架，保障量化模型在有限精度下的稳定性与鲁棒性。</w:t>
      </w:r>
    </w:p>
    <w:p w14:paraId="57E51D30">
      <w:pPr>
        <w:pStyle w:val="2"/>
        <w:numPr>
          <w:ilvl w:val="0"/>
          <w:numId w:val="0"/>
        </w:numPr>
        <w:ind w:left="840" w:leftChars="0" w:firstLine="420" w:firstLineChars="0"/>
        <w:rPr>
          <w:rFonts w:hint="eastAsia"/>
          <w:b w:val="0"/>
          <w:bCs w:val="0"/>
          <w:lang w:val="en-US" w:eastAsia="zh-CN"/>
        </w:rPr>
      </w:pPr>
      <w:r>
        <w:rPr>
          <w:rFonts w:hint="eastAsia"/>
          <w:b w:val="0"/>
          <w:bCs w:val="0"/>
          <w:lang w:val="en-US" w:eastAsia="zh-CN"/>
        </w:rPr>
        <w:t>针对通信任务对误码率（BER）、容量、覆盖率等性能指标高度敏感的特点，研究以通信系统实际性能为导向的量化优化机制，构建通信感知量化损失函数与联合优化方法，实现模型精度与通信性能的协同优化，推动量化模型在实际通信系统中的可靠应用。同时，结合通信系统内部多任务并行、多模块协同等特点，探索基于不同任务模块特征的自适应混合精度策略，提升整体系统在不同业务需求下的灵活适应能力与资源利用效率。</w:t>
      </w:r>
    </w:p>
    <w:p w14:paraId="0DD7CA51">
      <w:pPr>
        <w:pStyle w:val="2"/>
        <w:numPr>
          <w:ilvl w:val="0"/>
          <w:numId w:val="0"/>
        </w:numPr>
        <w:ind w:left="840" w:leftChars="0" w:firstLine="420" w:firstLineChars="0"/>
        <w:rPr>
          <w:rFonts w:hint="eastAsia"/>
          <w:b w:val="0"/>
          <w:bCs w:val="0"/>
          <w:lang w:val="en-US" w:eastAsia="zh-CN"/>
        </w:rPr>
      </w:pPr>
      <w:r>
        <w:rPr>
          <w:rFonts w:hint="eastAsia"/>
          <w:b w:val="0"/>
          <w:bCs w:val="0"/>
          <w:lang w:val="en-US" w:eastAsia="zh-CN"/>
        </w:rPr>
        <w:t>结合端侧NPU、FPGA等硬件平台，研究量化友好的神经网络结构设计与软硬协同优化方法，探索符合硬件架构的低比特专用算子、张量重构等技术，形成通信场景下从算法到硬件的端到端量化部署方案，显著提升模型能效比与推理速度，满足低功耗、高实时性、高可靠性的实际需求。</w:t>
      </w:r>
    </w:p>
    <w:p w14:paraId="06A17843">
      <w:pPr>
        <w:pStyle w:val="2"/>
        <w:numPr>
          <w:ilvl w:val="0"/>
          <w:numId w:val="0"/>
        </w:numPr>
        <w:ind w:left="840" w:leftChars="0" w:firstLine="420" w:firstLineChars="0"/>
        <w:rPr>
          <w:rFonts w:hint="eastAsia"/>
          <w:b w:val="0"/>
          <w:bCs w:val="0"/>
          <w:lang w:val="en-US" w:eastAsia="zh-CN"/>
        </w:rPr>
      </w:pPr>
      <w:r>
        <w:rPr>
          <w:rFonts w:hint="eastAsia"/>
          <w:b w:val="0"/>
          <w:bCs w:val="0"/>
          <w:lang w:val="en-US" w:eastAsia="zh-CN"/>
        </w:rPr>
        <w:t>本项目拟构建一套面向无线通信任务的通用化、可迁移、高能效的深度模型量化方法体系，推动AI模型在实际通信系统中实现高性能、低成本、高可用的工程化部署，支撑未来智能通信系统及6G新型架构的演进发展。</w:t>
      </w:r>
    </w:p>
    <w:p w14:paraId="555CF59E">
      <w:pPr>
        <w:pStyle w:val="2"/>
        <w:numPr>
          <w:ilvl w:val="0"/>
          <w:numId w:val="6"/>
        </w:numPr>
        <w:ind w:left="1265" w:leftChars="0" w:hanging="425" w:firstLineChars="0"/>
        <w:rPr>
          <w:rFonts w:hint="default"/>
          <w:b w:val="0"/>
          <w:bCs w:val="0"/>
          <w:lang w:val="en-US" w:eastAsia="zh-CN"/>
        </w:rPr>
      </w:pPr>
      <w:r>
        <w:rPr>
          <w:rFonts w:hint="default"/>
          <w:b/>
          <w:bCs/>
          <w:lang w:val="en-US" w:eastAsia="zh-CN"/>
        </w:rPr>
        <w:t>基于低秩分解的通信神经网络模型</w:t>
      </w:r>
      <w:r>
        <w:rPr>
          <w:rFonts w:hint="eastAsia"/>
          <w:b/>
          <w:bCs/>
          <w:lang w:val="en-US" w:eastAsia="zh-CN"/>
        </w:rPr>
        <w:t>训练</w:t>
      </w:r>
      <w:r>
        <w:rPr>
          <w:rFonts w:hint="default"/>
          <w:b/>
          <w:bCs/>
          <w:lang w:val="en-US" w:eastAsia="zh-CN"/>
        </w:rPr>
        <w:t>方法研究</w:t>
      </w:r>
    </w:p>
    <w:p w14:paraId="53E8AC78">
      <w:pPr>
        <w:pStyle w:val="2"/>
        <w:numPr>
          <w:ilvl w:val="0"/>
          <w:numId w:val="0"/>
        </w:numPr>
        <w:ind w:left="840" w:leftChars="0" w:firstLine="420" w:firstLineChars="0"/>
        <w:rPr>
          <w:rFonts w:hint="default"/>
          <w:b w:val="0"/>
          <w:bCs w:val="0"/>
          <w:lang w:val="en-US" w:eastAsia="zh-CN"/>
        </w:rPr>
      </w:pPr>
      <w:r>
        <w:rPr>
          <w:rFonts w:hint="default"/>
          <w:b w:val="0"/>
          <w:bCs w:val="0"/>
          <w:lang w:val="en-US" w:eastAsia="zh-CN"/>
        </w:rPr>
        <w:t>通信场景通常对模型的计算复杂度、存储开销及推理时延提出极高要求，特别是在端侧设备或大规模天线等资源受限环境下，传统深度神经网络因参数冗余严重、推理开销较大，难以满足高效部署需求。因此，开展基于低秩分解的通信神经网络模型训练方法研究，旨在通过挖掘模型结构中的低秩性，降低模型冗余度，实现轻量化与高效化，具有重要的理论价值与工程意义。</w:t>
      </w:r>
    </w:p>
    <w:p w14:paraId="0A8564D7">
      <w:pPr>
        <w:pStyle w:val="2"/>
        <w:numPr>
          <w:ilvl w:val="0"/>
          <w:numId w:val="0"/>
        </w:numPr>
        <w:ind w:left="840" w:leftChars="0" w:firstLine="420" w:firstLineChars="0"/>
        <w:rPr>
          <w:rFonts w:hint="default"/>
          <w:b w:val="0"/>
          <w:bCs w:val="0"/>
          <w:lang w:val="en-US" w:eastAsia="zh-CN"/>
        </w:rPr>
      </w:pPr>
      <w:r>
        <w:rPr>
          <w:rFonts w:hint="default"/>
          <w:b w:val="0"/>
          <w:bCs w:val="0"/>
          <w:lang w:val="en-US" w:eastAsia="zh-CN"/>
        </w:rPr>
        <w:t>本研究拟围绕通信领域神经网络模型的结构特性，深入挖掘模型参数、权重矩阵中的低秩特征，设计适应通信任务的低秩约束训练机制与分解方法。重点研究矩阵分解技术（如奇异值分解SVD、Tucker分解、CP分解等）与深度模型结构相结合的压缩框架，探索通道层、全连接层、注意力模块等不同层级的低秩建模策略，构建高效稀疏表示与计算路径。同时，结合通信任务对模型精度与鲁棒性的敏感需求，研究分解-恢复联合优化方法，通过端到端训练过程中的鲁棒正则化、误差反馈机制，保障压缩模型在CSI预测、信号检测等核心任务下的性能稳定性与可迁移性。</w:t>
      </w:r>
    </w:p>
    <w:p w14:paraId="5EE7E549">
      <w:pPr>
        <w:pStyle w:val="2"/>
        <w:numPr>
          <w:ilvl w:val="0"/>
          <w:numId w:val="0"/>
        </w:numPr>
        <w:ind w:left="840" w:leftChars="0" w:firstLine="420" w:firstLineChars="0"/>
        <w:rPr>
          <w:rFonts w:hint="default"/>
          <w:b w:val="0"/>
          <w:bCs w:val="0"/>
          <w:lang w:val="en-US" w:eastAsia="zh-CN"/>
        </w:rPr>
      </w:pPr>
      <w:r>
        <w:rPr>
          <w:rFonts w:hint="default"/>
          <w:b w:val="0"/>
          <w:bCs w:val="0"/>
          <w:lang w:val="en-US" w:eastAsia="zh-CN"/>
        </w:rPr>
        <w:t>进一步，结合通信系统对实时性与能效的严苛要求，研究面向硬件友好的低秩模型训练与部署方法，包括张量重构、分块矩阵映射、结构化稀疏等技术，提升模型在NPU、FPGA等终端平台上的计算效率与能效比，推动轻量化模型在实际通信场景中的高效落地。</w:t>
      </w:r>
    </w:p>
    <w:p w14:paraId="642C960C">
      <w:pPr>
        <w:pStyle w:val="2"/>
        <w:numPr>
          <w:ilvl w:val="0"/>
          <w:numId w:val="0"/>
        </w:numPr>
        <w:ind w:left="840" w:leftChars="0" w:firstLine="420" w:firstLineChars="0"/>
        <w:rPr>
          <w:rFonts w:hint="default"/>
          <w:b w:val="0"/>
          <w:bCs w:val="0"/>
          <w:lang w:val="en-US" w:eastAsia="zh-CN"/>
        </w:rPr>
      </w:pPr>
      <w:r>
        <w:rPr>
          <w:rFonts w:hint="eastAsia"/>
          <w:b w:val="0"/>
          <w:bCs w:val="0"/>
          <w:lang w:val="en-US" w:eastAsia="zh-CN"/>
        </w:rPr>
        <w:t>本研究</w:t>
      </w:r>
      <w:r>
        <w:rPr>
          <w:rFonts w:hint="default"/>
          <w:b w:val="0"/>
          <w:bCs w:val="0"/>
          <w:lang w:val="en-US" w:eastAsia="zh-CN"/>
        </w:rPr>
        <w:t>拟建立一套面向通信领域的低秩分解与压缩理论框架与训练方法体系，实现深度模型的高效压缩与快速推理，支撑未来6G智能通信系统的绿色、高效发展，显著提升端侧AI通信系统的应用价值与部署能力。</w:t>
      </w:r>
    </w:p>
    <w:p w14:paraId="0240E328">
      <w:pPr>
        <w:pStyle w:val="2"/>
        <w:ind w:left="420" w:leftChars="0" w:firstLine="420" w:firstLineChars="0"/>
        <w:rPr>
          <w:rFonts w:hint="eastAsia"/>
          <w:b/>
          <w:bCs/>
          <w:lang w:val="en-US" w:eastAsia="zh-CN"/>
        </w:rPr>
      </w:pPr>
      <w:r>
        <w:rPr>
          <w:rFonts w:hint="eastAsia"/>
          <w:b/>
          <w:bCs/>
          <w:lang w:val="en-US" w:eastAsia="zh-CN"/>
        </w:rPr>
        <w:t>研究内容三：端侧高能效比NPU全链路技术</w:t>
      </w:r>
    </w:p>
    <w:p w14:paraId="5186C9EA">
      <w:pPr>
        <w:pStyle w:val="2"/>
        <w:numPr>
          <w:ilvl w:val="0"/>
          <w:numId w:val="7"/>
        </w:numPr>
        <w:ind w:left="1265" w:leftChars="0" w:hanging="425" w:firstLineChars="0"/>
        <w:rPr>
          <w:rFonts w:hint="eastAsia"/>
          <w:b/>
          <w:bCs/>
          <w:lang w:val="en-US" w:eastAsia="zh-CN"/>
        </w:rPr>
      </w:pPr>
      <w:r>
        <w:rPr>
          <w:rFonts w:hint="eastAsia"/>
          <w:b/>
          <w:bCs/>
          <w:lang w:val="en-US" w:eastAsia="zh-CN"/>
        </w:rPr>
        <w:t>高能效比：面向端侧NPU的能效优化技术</w:t>
      </w:r>
    </w:p>
    <w:p w14:paraId="3443047D">
      <w:pPr>
        <w:pStyle w:val="2"/>
        <w:numPr>
          <w:ilvl w:val="0"/>
          <w:numId w:val="0"/>
        </w:numPr>
        <w:ind w:left="840" w:leftChars="0" w:firstLine="420" w:firstLineChars="0"/>
        <w:rPr>
          <w:rFonts w:hint="eastAsia"/>
          <w:b w:val="0"/>
          <w:bCs w:val="0"/>
          <w:lang w:val="en-US" w:eastAsia="zh-CN"/>
        </w:rPr>
      </w:pPr>
      <w:r>
        <w:rPr>
          <w:rFonts w:hint="eastAsia"/>
          <w:b w:val="0"/>
          <w:bCs w:val="0"/>
          <w:lang w:val="en-US" w:eastAsia="zh-CN"/>
        </w:rPr>
        <w:t>随着无线通信系统向智能化、低功耗、端侧计算方向发展，端侧 NPU（神经网络处理单元）已成为支撑 AI 通信算法落地的核心硬件。然而，现有深度模型计算冗余较大，缺乏面向通信业务场景的能效优化设计，严重制约其在资源受限终端中的应用。为此，本项目拟围绕提升端侧 NPU 能效比这一核心目标，系统开展相关研究工作，突破高性能、低功耗、高效协同的技术瓶颈。</w:t>
      </w:r>
    </w:p>
    <w:p w14:paraId="2E1A4EB6">
      <w:pPr>
        <w:pStyle w:val="2"/>
        <w:numPr>
          <w:ilvl w:val="0"/>
          <w:numId w:val="0"/>
        </w:numPr>
        <w:ind w:left="840" w:leftChars="0" w:firstLine="420" w:firstLineChars="0"/>
        <w:rPr>
          <w:rFonts w:hint="eastAsia"/>
          <w:b w:val="0"/>
          <w:bCs w:val="0"/>
          <w:lang w:val="en-US" w:eastAsia="zh-CN"/>
        </w:rPr>
      </w:pPr>
      <w:r>
        <w:rPr>
          <w:rFonts w:hint="eastAsia"/>
          <w:b w:val="0"/>
          <w:bCs w:val="0"/>
          <w:lang w:val="en-US" w:eastAsia="zh-CN"/>
        </w:rPr>
        <w:t>本研究首先面向通信特定任务与数据特性，研究模型结构压缩与稀疏性优化方法，结合剪枝、量化、低秩分解等技术，显著降低模型参数与计算量，减少硬件负担。同时，针对 NPU 架构特征，研究算子融合、张量复用与访存优化方法，提升数据流通效率，减少内存带宽消耗，降低功耗瓶颈。此外，研究动态功耗管理与任务感知调度机制，实现按需激活、弹性算力配置，保障实时性与能效均衡。最后，结合通信系统多任务协同需求，构建软硬件协同优化框架，提升整体链路的能效比与鲁棒性，支撑高效智能通信系统发展。</w:t>
      </w:r>
    </w:p>
    <w:p w14:paraId="357EAB09">
      <w:pPr>
        <w:pStyle w:val="2"/>
        <w:numPr>
          <w:ilvl w:val="0"/>
          <w:numId w:val="7"/>
        </w:numPr>
        <w:ind w:left="1265" w:leftChars="0" w:hanging="425" w:firstLineChars="0"/>
        <w:rPr>
          <w:rFonts w:hint="eastAsia"/>
          <w:b/>
          <w:bCs/>
          <w:lang w:val="en-US" w:eastAsia="zh-CN"/>
        </w:rPr>
      </w:pPr>
      <w:r>
        <w:rPr>
          <w:rFonts w:hint="eastAsia"/>
          <w:b/>
          <w:bCs/>
          <w:lang w:val="en-US" w:eastAsia="zh-CN"/>
        </w:rPr>
        <w:t>空口通用性：多制式、多任务的适应性与鲁棒性</w:t>
      </w:r>
    </w:p>
    <w:p w14:paraId="27852986">
      <w:pPr>
        <w:pStyle w:val="2"/>
        <w:widowControl w:val="0"/>
        <w:numPr>
          <w:ilvl w:val="0"/>
          <w:numId w:val="0"/>
        </w:numPr>
        <w:spacing w:after="120" w:line="480" w:lineRule="auto"/>
        <w:ind w:left="840" w:leftChars="0" w:firstLine="420" w:firstLineChars="0"/>
        <w:jc w:val="both"/>
        <w:rPr>
          <w:rFonts w:hint="eastAsia"/>
          <w:b w:val="0"/>
          <w:bCs w:val="0"/>
          <w:lang w:val="en-US" w:eastAsia="zh-CN"/>
        </w:rPr>
      </w:pPr>
      <w:r>
        <w:rPr>
          <w:rFonts w:hint="eastAsia"/>
          <w:b w:val="0"/>
          <w:bCs w:val="0"/>
          <w:lang w:val="en-US" w:eastAsia="zh-CN"/>
        </w:rPr>
        <w:t>随着无线通信系统不断演进，通信场景呈现多样化、复杂化趋势，涉及不同频段（如 Sub-6GHz、毫米波、太赫兹）、多种制式（5G、6G、Wi-Fi、IoT）及多任务（信道估计、预测、感知等）需求，如何提升空口 AI 模型的通用性与鲁棒性，成为实现统一智能通信架构的关键问题。本项目拟聚焦多制式、多任务的空口 AI 通用性，开展系统研究，提升模型跨场景、跨任务的泛化能力与鲁棒性。</w:t>
      </w:r>
    </w:p>
    <w:p w14:paraId="653CE731">
      <w:pPr>
        <w:pStyle w:val="2"/>
        <w:widowControl w:val="0"/>
        <w:numPr>
          <w:ilvl w:val="0"/>
          <w:numId w:val="0"/>
        </w:numPr>
        <w:spacing w:after="120" w:line="480" w:lineRule="auto"/>
        <w:ind w:left="840" w:leftChars="0" w:firstLine="420" w:firstLineChars="0"/>
        <w:jc w:val="both"/>
        <w:rPr>
          <w:rFonts w:hint="eastAsia"/>
          <w:b w:val="0"/>
          <w:bCs w:val="0"/>
          <w:lang w:val="en-US" w:eastAsia="zh-CN"/>
        </w:rPr>
      </w:pPr>
      <w:r>
        <w:rPr>
          <w:rFonts w:hint="eastAsia"/>
          <w:b w:val="0"/>
          <w:bCs w:val="0"/>
          <w:lang w:val="en-US" w:eastAsia="zh-CN"/>
        </w:rPr>
        <w:t>本研究围绕多制式信道特性建模与统一数据表征方法，构建适用于不同频段、协议的标准化数据格式，保障 AI 模型对多样信道环境的适应性。研究多任务联合学习机制，融合信道估计、CSI 压缩、波束赋形等多任务，提升模型对不同通信任务的鲁棒性与共享表征能力。探索跨场景自适应与泛化优化策略，通过领域对抗、元学习等方法，增强模型对未知场景与动态变化的鲁棒性，减少部署时对标注数据的依赖。结合通信系统标准，研究多协议统一架构设计与动态适配机制，支撑模型在不同通信协议、硬件平台下的通用化部署，推动未来智能空口系统的统一演进。</w:t>
      </w:r>
    </w:p>
    <w:p w14:paraId="4690A8CA">
      <w:pPr>
        <w:pStyle w:val="2"/>
        <w:numPr>
          <w:ilvl w:val="0"/>
          <w:numId w:val="7"/>
        </w:numPr>
        <w:ind w:left="1265" w:leftChars="0" w:hanging="425" w:firstLineChars="0"/>
        <w:rPr>
          <w:rFonts w:hint="default"/>
          <w:b/>
          <w:bCs/>
          <w:lang w:val="en-US" w:eastAsia="zh-CN"/>
        </w:rPr>
      </w:pPr>
      <w:r>
        <w:rPr>
          <w:rFonts w:hint="default"/>
          <w:b/>
          <w:bCs/>
          <w:lang w:val="en-US" w:eastAsia="zh-CN"/>
        </w:rPr>
        <w:t>端到端：AI驱动的通信系统全链路优化</w:t>
      </w:r>
    </w:p>
    <w:p w14:paraId="0544AFFA">
      <w:pPr>
        <w:pStyle w:val="2"/>
        <w:ind w:left="840" w:leftChars="0" w:firstLine="420" w:firstLineChars="0"/>
        <w:rPr>
          <w:rFonts w:hint="default"/>
          <w:b/>
          <w:bCs/>
          <w:lang w:val="en-US" w:eastAsia="zh-CN"/>
        </w:rPr>
      </w:pPr>
      <w:r>
        <w:rPr>
          <w:rFonts w:hint="default"/>
          <w:b w:val="0"/>
          <w:bCs w:val="0"/>
          <w:lang w:val="en-US" w:eastAsia="zh-CN"/>
        </w:rPr>
        <w:t>为突破传统通信系统“分层独立设计、局部最优”的架构局限，本项目拟开展AI 驱动的端到端通信系统全链路优化研究，实现从物理层到应用层的跨层协同设计，提升系统整体性能与资源利用效率。研究首先围绕端到端通信建模方法，基于深度学习技术，融合信道编码、信号检测、调制解调、波束赋形等模块，构建联合优化的端到端学习框架。其次，结合无线信道时变性与复杂性，研究多任务联合与全链路鲁棒性增强机制，提升系统在动态场景下的稳定性与适应性。最后，探索结合 NPU 等硬件的端到端快速推理优化方法，实现通信性能、计算效率与能效比的整体最优，推动 AI 驱动的智能通信系统落地应用。</w:t>
      </w:r>
    </w:p>
    <w:p w14:paraId="58051DDE">
      <w:pPr>
        <w:pStyle w:val="2"/>
        <w:ind w:left="420" w:leftChars="0" w:firstLine="420" w:firstLineChars="0"/>
        <w:rPr>
          <w:rFonts w:hint="default"/>
          <w:b/>
          <w:bCs/>
          <w:lang w:val="en-US" w:eastAsia="zh-CN"/>
        </w:rPr>
      </w:pPr>
      <w:r>
        <w:rPr>
          <w:rFonts w:hint="eastAsia"/>
          <w:b/>
          <w:bCs/>
          <w:lang w:val="en-US" w:eastAsia="zh-CN"/>
        </w:rPr>
        <w:t>研究内容四：终端模组原理样机搭建及原型验证</w:t>
      </w:r>
    </w:p>
    <w:p w14:paraId="4EED8CB0">
      <w:pPr>
        <w:pStyle w:val="2"/>
        <w:numPr>
          <w:ilvl w:val="0"/>
          <w:numId w:val="8"/>
        </w:numPr>
        <w:ind w:left="1265" w:leftChars="0" w:hanging="425" w:firstLineChars="0"/>
        <w:rPr>
          <w:rFonts w:hint="eastAsia"/>
          <w:b/>
          <w:bCs/>
          <w:lang w:val="en-US" w:eastAsia="zh-CN"/>
        </w:rPr>
      </w:pPr>
      <w:r>
        <w:rPr>
          <w:rFonts w:hint="eastAsia"/>
          <w:b/>
          <w:bCs/>
          <w:lang w:val="en-US" w:eastAsia="zh-CN"/>
        </w:rPr>
        <w:t>终端模组原型样机</w:t>
      </w:r>
    </w:p>
    <w:p w14:paraId="7BB96E00">
      <w:pPr>
        <w:pStyle w:val="2"/>
        <w:numPr>
          <w:ilvl w:val="0"/>
          <w:numId w:val="0"/>
        </w:numPr>
        <w:ind w:left="840" w:leftChars="0" w:firstLine="420" w:firstLineChars="0"/>
        <w:rPr>
          <w:rFonts w:hint="eastAsia"/>
          <w:b w:val="0"/>
          <w:bCs w:val="0"/>
          <w:lang w:val="en-US" w:eastAsia="zh-CN"/>
        </w:rPr>
      </w:pPr>
      <w:r>
        <w:rPr>
          <w:rFonts w:hint="eastAsia"/>
          <w:b w:val="0"/>
          <w:bCs w:val="0"/>
          <w:lang w:val="en-US" w:eastAsia="zh-CN"/>
        </w:rPr>
        <w:t>本研究围绕 AI 驱动通信系统在端侧的实际部署需求，开展高集成度、低功耗的终端模组原型样机设计与实现研究。结合通信与 AI 协同的硬件架构，融合射频、基带、AI NPU 等核心模块，设计软硬件一体化的通信智能终端样机，支持多制式、多频段接入及 AI 算法实时推理，重点攻关高速数据处理、低时延接口、高能效协同等技术，完成具备实验验证能力的可交付原型。</w:t>
      </w:r>
    </w:p>
    <w:p w14:paraId="644E3049">
      <w:pPr>
        <w:pStyle w:val="2"/>
        <w:numPr>
          <w:ilvl w:val="0"/>
          <w:numId w:val="8"/>
        </w:numPr>
        <w:ind w:left="1265" w:leftChars="0" w:hanging="425" w:firstLineChars="0"/>
        <w:rPr>
          <w:rFonts w:hint="eastAsia"/>
          <w:b/>
          <w:bCs/>
          <w:lang w:val="en-US" w:eastAsia="zh-CN"/>
        </w:rPr>
      </w:pPr>
      <w:r>
        <w:rPr>
          <w:rFonts w:hint="eastAsia"/>
          <w:b/>
          <w:bCs/>
          <w:lang w:val="en-US" w:eastAsia="zh-CN"/>
        </w:rPr>
        <w:t>空口AI场景搭建</w:t>
      </w:r>
    </w:p>
    <w:p w14:paraId="37D95AD4">
      <w:pPr>
        <w:pStyle w:val="2"/>
        <w:numPr>
          <w:ilvl w:val="0"/>
          <w:numId w:val="0"/>
        </w:numPr>
        <w:ind w:left="840" w:leftChars="0" w:firstLine="420" w:firstLineChars="0"/>
        <w:rPr>
          <w:rFonts w:hint="eastAsia"/>
          <w:b w:val="0"/>
          <w:bCs w:val="0"/>
          <w:lang w:val="en-US" w:eastAsia="zh-CN"/>
        </w:rPr>
      </w:pPr>
      <w:r>
        <w:rPr>
          <w:rFonts w:hint="eastAsia"/>
          <w:b w:val="0"/>
          <w:bCs w:val="0"/>
          <w:lang w:val="en-US" w:eastAsia="zh-CN"/>
        </w:rPr>
        <w:t>本研究拟建设多维度、多场景的空口 AI 测试环境，涵盖室内、室外、静态、动态、多路径等典型信道条件，覆盖 Sub-6GHz、毫米波等多频段通信特征，形成仿真与实测结合的全链路数据采集与回放体系，支撑信道建模、CSI 获取、AI 数据集构建与模型训练验证。同时，搭建 AI 通信大模型训练与评测平台，支撑端到端链路性能测试、模型鲁棒性分析及快速迭代优化，构建可重复、可比对、可扩展的测试评价体系。</w:t>
      </w:r>
    </w:p>
    <w:p w14:paraId="32A5510D">
      <w:pPr>
        <w:pStyle w:val="2"/>
        <w:numPr>
          <w:ilvl w:val="0"/>
          <w:numId w:val="8"/>
        </w:numPr>
        <w:ind w:left="1265" w:leftChars="0" w:hanging="425" w:firstLineChars="0"/>
        <w:rPr>
          <w:rFonts w:hint="default"/>
          <w:b/>
          <w:bCs/>
          <w:lang w:val="en-US" w:eastAsia="zh-CN"/>
        </w:rPr>
      </w:pPr>
      <w:r>
        <w:rPr>
          <w:rFonts w:hint="eastAsia"/>
          <w:b/>
          <w:bCs/>
          <w:lang w:val="en-US" w:eastAsia="zh-CN"/>
        </w:rPr>
        <w:t>空口AI全生命周期管理</w:t>
      </w:r>
    </w:p>
    <w:p w14:paraId="08D074DD">
      <w:pPr>
        <w:pStyle w:val="2"/>
        <w:ind w:left="840" w:leftChars="0" w:firstLine="420" w:firstLineChars="0"/>
        <w:rPr>
          <w:rFonts w:hint="default"/>
          <w:lang w:val="en-US" w:eastAsia="zh-CN"/>
        </w:rPr>
      </w:pPr>
      <w:r>
        <w:rPr>
          <w:rFonts w:hint="eastAsia"/>
          <w:lang w:val="en-US" w:eastAsia="zh-CN"/>
        </w:rPr>
        <w:t>本</w:t>
      </w:r>
      <w:r>
        <w:rPr>
          <w:rFonts w:hint="default"/>
          <w:lang w:val="en-US" w:eastAsia="zh-CN"/>
        </w:rPr>
        <w:t>研究将围绕空口 AI 模型的开发、训练、部署、演进等全过程，</w:t>
      </w:r>
      <w:r>
        <w:rPr>
          <w:rFonts w:hint="default"/>
          <w:b w:val="0"/>
          <w:bCs w:val="0"/>
          <w:lang w:val="en-US" w:eastAsia="zh-CN"/>
        </w:rPr>
        <w:t>填补当前空口AI研究在终端侧部署与全生命周期运维方面的关键空白</w:t>
      </w:r>
      <w:r>
        <w:rPr>
          <w:rFonts w:hint="eastAsia"/>
          <w:b w:val="0"/>
          <w:bCs w:val="0"/>
          <w:lang w:val="en-US" w:eastAsia="zh-CN"/>
        </w:rPr>
        <w:t>，</w:t>
      </w:r>
      <w:r>
        <w:rPr>
          <w:rFonts w:hint="default"/>
          <w:lang w:val="en-US" w:eastAsia="zh-CN"/>
        </w:rPr>
        <w:t>建立标准化、体系化的管理框架。重点研究通信任务特定的模型压缩、量化、迁移与持续优化技术，结合数据治理、模型溯源、版本管理，构建面向环境变化与业务需求动态调整的模型迭代机制，提升模型泛化能力与长期稳定性。同时，研究安全可信机制，保障模型在生命周期各阶段的完整性、可控性与可追溯性，支撑通信系统长期稳定运行与性能持续提升。</w:t>
      </w:r>
    </w:p>
    <w:p w14:paraId="27538E22">
      <w:pPr>
        <w:snapToGrid w:val="0"/>
        <w:spacing w:line="360" w:lineRule="auto"/>
        <w:ind w:firstLine="572" w:firstLineChars="200"/>
        <w:outlineLvl w:val="1"/>
        <w:rPr>
          <w:rFonts w:hint="eastAsia" w:eastAsia="楷体_GB2312"/>
          <w:szCs w:val="28"/>
          <w:highlight w:val="none"/>
          <w:lang w:val="en-US" w:eastAsia="zh-CN"/>
        </w:rPr>
      </w:pPr>
      <w:r>
        <w:rPr>
          <w:rFonts w:hint="eastAsia" w:eastAsia="楷体_GB2312"/>
          <w:szCs w:val="28"/>
          <w:lang w:val="en-US" w:eastAsia="zh-CN"/>
        </w:rPr>
        <w:t>（三）里程碑节点与目标</w:t>
      </w:r>
      <w:r>
        <w:rPr>
          <w:rFonts w:hint="eastAsia" w:eastAsia="楷体_GB2312"/>
          <w:szCs w:val="28"/>
          <w:highlight w:val="none"/>
          <w:lang w:val="en-US" w:eastAsia="zh-CN"/>
        </w:rPr>
        <w:t>（附表：里程碑节点规划表）</w:t>
      </w:r>
    </w:p>
    <w:tbl>
      <w:tblPr>
        <w:tblStyle w:val="18"/>
        <w:tblW w:w="5096" w:type="pct"/>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0" w:type="dxa"/>
          <w:bottom w:w="0" w:type="dxa"/>
          <w:right w:w="0" w:type="dxa"/>
        </w:tblCellMar>
      </w:tblPr>
      <w:tblGrid>
        <w:gridCol w:w="1384"/>
        <w:gridCol w:w="1621"/>
        <w:gridCol w:w="2491"/>
        <w:gridCol w:w="2384"/>
        <w:gridCol w:w="728"/>
        <w:gridCol w:w="769"/>
      </w:tblGrid>
      <w:tr w14:paraId="04DD3E97">
        <w:trPr>
          <w:trHeight w:val="770" w:hRule="atLeast"/>
        </w:trPr>
        <w:tc>
          <w:tcPr>
            <w:tcW w:w="738" w:type="pct"/>
            <w:vMerge w:val="restart"/>
            <w:vAlign w:val="center"/>
          </w:tcPr>
          <w:p w14:paraId="361BA8D1">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default" w:ascii="仿宋_GB2312" w:hAnsi="仿宋_GB2312" w:eastAsia="仿宋_GB2312" w:cs="仿宋_GB2312"/>
                <w:b/>
                <w:color w:val="000000"/>
                <w:w w:val="100"/>
                <w:kern w:val="0"/>
                <w:sz w:val="28"/>
                <w:szCs w:val="28"/>
                <w:lang w:val="en-US" w:eastAsia="zh-CN" w:bidi="ar-SA"/>
              </w:rPr>
            </w:pPr>
            <w:r>
              <w:rPr>
                <w:rFonts w:hint="eastAsia" w:ascii="仿宋_GB2312" w:hAnsi="仿宋_GB2312" w:eastAsia="仿宋_GB2312" w:cs="仿宋_GB2312"/>
                <w:b/>
                <w:color w:val="000000"/>
                <w:w w:val="100"/>
                <w:kern w:val="0"/>
                <w:sz w:val="28"/>
                <w:szCs w:val="28"/>
                <w:lang w:val="en-US" w:eastAsia="zh-CN" w:bidi="ar-SA"/>
              </w:rPr>
              <w:t>节点</w:t>
            </w:r>
          </w:p>
        </w:tc>
        <w:tc>
          <w:tcPr>
            <w:tcW w:w="864" w:type="pct"/>
            <w:vMerge w:val="restart"/>
            <w:vAlign w:val="center"/>
          </w:tcPr>
          <w:p w14:paraId="74482A37">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eastAsia" w:ascii="仿宋_GB2312" w:hAnsi="仿宋_GB2312" w:eastAsia="仿宋_GB2312" w:cs="仿宋_GB2312"/>
                <w:b/>
                <w:color w:val="000000"/>
                <w:w w:val="100"/>
                <w:kern w:val="0"/>
                <w:sz w:val="28"/>
                <w:szCs w:val="28"/>
                <w:lang w:val="en-US" w:eastAsia="zh-CN" w:bidi="ar-SA"/>
              </w:rPr>
            </w:pPr>
            <w:r>
              <w:rPr>
                <w:rFonts w:hint="eastAsia" w:ascii="仿宋_GB2312" w:hAnsi="仿宋_GB2312" w:eastAsia="仿宋_GB2312" w:cs="仿宋_GB2312"/>
                <w:b/>
                <w:color w:val="000000"/>
                <w:w w:val="100"/>
                <w:kern w:val="0"/>
                <w:sz w:val="28"/>
                <w:szCs w:val="28"/>
                <w:lang w:val="en-US" w:eastAsia="zh-CN" w:bidi="ar-SA"/>
              </w:rPr>
              <w:t>时间</w:t>
            </w:r>
          </w:p>
        </w:tc>
        <w:tc>
          <w:tcPr>
            <w:tcW w:w="1328" w:type="pct"/>
            <w:vMerge w:val="restart"/>
            <w:vAlign w:val="center"/>
          </w:tcPr>
          <w:p w14:paraId="47BD5431">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default" w:ascii="仿宋_GB2312" w:hAnsi="仿宋_GB2312" w:eastAsia="仿宋_GB2312" w:cs="仿宋_GB2312"/>
                <w:b/>
                <w:color w:val="000000"/>
                <w:w w:val="100"/>
                <w:kern w:val="0"/>
                <w:sz w:val="28"/>
                <w:szCs w:val="28"/>
                <w:lang w:val="en-US" w:eastAsia="zh-CN" w:bidi="ar-SA"/>
              </w:rPr>
            </w:pPr>
            <w:r>
              <w:rPr>
                <w:rFonts w:hint="eastAsia" w:ascii="仿宋_GB2312" w:hAnsi="仿宋_GB2312" w:eastAsia="仿宋_GB2312" w:cs="仿宋_GB2312"/>
                <w:b/>
                <w:color w:val="000000"/>
                <w:w w:val="100"/>
                <w:kern w:val="0"/>
                <w:sz w:val="28"/>
                <w:szCs w:val="28"/>
                <w:lang w:val="en-US" w:eastAsia="zh-CN" w:bidi="ar-SA"/>
              </w:rPr>
              <w:t>考核目标</w:t>
            </w:r>
          </w:p>
        </w:tc>
        <w:tc>
          <w:tcPr>
            <w:tcW w:w="1271" w:type="pct"/>
            <w:vMerge w:val="restart"/>
            <w:vAlign w:val="center"/>
          </w:tcPr>
          <w:p w14:paraId="6622890C">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default" w:ascii="仿宋_GB2312" w:hAnsi="仿宋_GB2312" w:eastAsia="仿宋_GB2312" w:cs="仿宋_GB2312"/>
                <w:b/>
                <w:color w:val="000000"/>
                <w:w w:val="100"/>
                <w:kern w:val="0"/>
                <w:sz w:val="28"/>
                <w:szCs w:val="28"/>
                <w:lang w:val="en-US" w:eastAsia="zh-CN" w:bidi="ar-SA"/>
              </w:rPr>
            </w:pPr>
            <w:r>
              <w:rPr>
                <w:rFonts w:hint="eastAsia" w:ascii="仿宋_GB2312" w:hAnsi="仿宋_GB2312" w:eastAsia="仿宋_GB2312" w:cs="仿宋_GB2312"/>
                <w:b/>
                <w:color w:val="000000"/>
                <w:w w:val="100"/>
                <w:kern w:val="0"/>
                <w:sz w:val="28"/>
                <w:szCs w:val="28"/>
                <w:lang w:val="en-US" w:eastAsia="zh-CN" w:bidi="ar-SA"/>
              </w:rPr>
              <w:t>考核方式</w:t>
            </w:r>
          </w:p>
        </w:tc>
        <w:tc>
          <w:tcPr>
            <w:tcW w:w="798" w:type="pct"/>
            <w:gridSpan w:val="2"/>
            <w:vAlign w:val="center"/>
          </w:tcPr>
          <w:p w14:paraId="06737E97">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eastAsia" w:ascii="仿宋_GB2312" w:hAnsi="仿宋_GB2312" w:eastAsia="仿宋_GB2312" w:cs="仿宋_GB2312"/>
                <w:b/>
                <w:color w:val="000000"/>
                <w:w w:val="100"/>
                <w:kern w:val="0"/>
                <w:sz w:val="28"/>
                <w:szCs w:val="28"/>
                <w:lang w:val="en-US" w:eastAsia="zh-CN" w:bidi="ar-SA"/>
              </w:rPr>
            </w:pPr>
            <w:r>
              <w:rPr>
                <w:rFonts w:hint="eastAsia" w:ascii="仿宋_GB2312" w:hAnsi="仿宋_GB2312" w:eastAsia="仿宋_GB2312" w:cs="仿宋_GB2312"/>
                <w:b/>
                <w:color w:val="000000"/>
                <w:w w:val="100"/>
                <w:kern w:val="0"/>
                <w:sz w:val="28"/>
                <w:szCs w:val="28"/>
                <w:lang w:val="en-US" w:eastAsia="zh-CN" w:bidi="ar-SA"/>
              </w:rPr>
              <w:t>经费概算（万元）</w:t>
            </w:r>
          </w:p>
        </w:tc>
      </w:tr>
      <w:tr w14:paraId="6A37AAF5">
        <w:trPr>
          <w:trHeight w:val="392" w:hRule="atLeast"/>
        </w:trPr>
        <w:tc>
          <w:tcPr>
            <w:tcW w:w="738" w:type="pct"/>
            <w:vMerge w:val="continue"/>
            <w:vAlign w:val="center"/>
          </w:tcPr>
          <w:p w14:paraId="0932E3CD">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ascii="新宋体" w:hAnsi="新宋体" w:eastAsia="新宋体" w:cs="新宋体"/>
                <w:kern w:val="0"/>
                <w:sz w:val="22"/>
                <w:szCs w:val="22"/>
                <w:lang w:val="en-US" w:eastAsia="en-US" w:bidi="ar-SA"/>
              </w:rPr>
            </w:pPr>
          </w:p>
        </w:tc>
        <w:tc>
          <w:tcPr>
            <w:tcW w:w="864" w:type="pct"/>
            <w:vMerge w:val="continue"/>
            <w:vAlign w:val="center"/>
          </w:tcPr>
          <w:p w14:paraId="474C64D9">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ascii="新宋体" w:hAnsi="新宋体" w:eastAsia="新宋体" w:cs="新宋体"/>
                <w:kern w:val="0"/>
                <w:sz w:val="22"/>
                <w:szCs w:val="22"/>
                <w:lang w:val="en-US" w:eastAsia="en-US" w:bidi="ar-SA"/>
              </w:rPr>
            </w:pPr>
          </w:p>
        </w:tc>
        <w:tc>
          <w:tcPr>
            <w:tcW w:w="1328" w:type="pct"/>
            <w:vMerge w:val="continue"/>
            <w:vAlign w:val="center"/>
          </w:tcPr>
          <w:p w14:paraId="3D880E3D">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ascii="新宋体" w:hAnsi="新宋体" w:eastAsia="新宋体" w:cs="新宋体"/>
                <w:kern w:val="0"/>
                <w:sz w:val="22"/>
                <w:szCs w:val="22"/>
                <w:lang w:val="en-US" w:eastAsia="en-US" w:bidi="ar-SA"/>
              </w:rPr>
            </w:pPr>
          </w:p>
        </w:tc>
        <w:tc>
          <w:tcPr>
            <w:tcW w:w="1271" w:type="pct"/>
            <w:vMerge w:val="continue"/>
            <w:vAlign w:val="center"/>
          </w:tcPr>
          <w:p w14:paraId="30EC0682">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ascii="新宋体" w:hAnsi="新宋体" w:eastAsia="新宋体" w:cs="新宋体"/>
                <w:kern w:val="0"/>
                <w:sz w:val="22"/>
                <w:szCs w:val="22"/>
                <w:lang w:val="en-US" w:eastAsia="en-US" w:bidi="ar-SA"/>
              </w:rPr>
            </w:pPr>
          </w:p>
        </w:tc>
        <w:tc>
          <w:tcPr>
            <w:tcW w:w="388" w:type="pct"/>
            <w:vAlign w:val="center"/>
          </w:tcPr>
          <w:p w14:paraId="1AD368D2">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eastAsia" w:ascii="仿宋_GB2312" w:hAnsi="仿宋_GB2312" w:eastAsia="仿宋_GB2312" w:cs="仿宋_GB2312"/>
                <w:b/>
                <w:color w:val="000000"/>
                <w:kern w:val="0"/>
                <w:sz w:val="28"/>
                <w:szCs w:val="28"/>
                <w:lang w:val="en-US" w:eastAsia="zh-CN" w:bidi="ar-SA"/>
              </w:rPr>
            </w:pPr>
            <w:r>
              <w:rPr>
                <w:rFonts w:hint="eastAsia" w:ascii="仿宋_GB2312" w:hAnsi="仿宋_GB2312" w:eastAsia="仿宋_GB2312" w:cs="仿宋_GB2312"/>
                <w:b/>
                <w:color w:val="000000"/>
                <w:kern w:val="0"/>
                <w:sz w:val="28"/>
                <w:szCs w:val="28"/>
                <w:lang w:val="en-US" w:eastAsia="zh-CN" w:bidi="ar-SA"/>
              </w:rPr>
              <w:t>专项经费</w:t>
            </w:r>
          </w:p>
        </w:tc>
        <w:tc>
          <w:tcPr>
            <w:tcW w:w="410" w:type="pct"/>
            <w:vAlign w:val="center"/>
          </w:tcPr>
          <w:p w14:paraId="44E690E4">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eastAsia" w:ascii="仿宋_GB2312" w:hAnsi="仿宋_GB2312" w:eastAsia="仿宋_GB2312" w:cs="仿宋_GB2312"/>
                <w:b/>
                <w:color w:val="000000"/>
                <w:kern w:val="0"/>
                <w:sz w:val="28"/>
                <w:szCs w:val="28"/>
                <w:lang w:val="en-US" w:eastAsia="zh-CN" w:bidi="ar-SA"/>
              </w:rPr>
            </w:pPr>
            <w:r>
              <w:rPr>
                <w:rFonts w:hint="eastAsia" w:ascii="仿宋_GB2312" w:hAnsi="仿宋_GB2312" w:eastAsia="仿宋_GB2312" w:cs="仿宋_GB2312"/>
                <w:b/>
                <w:color w:val="000000"/>
                <w:kern w:val="0"/>
                <w:sz w:val="28"/>
                <w:szCs w:val="28"/>
                <w:lang w:val="en-US" w:eastAsia="zh-CN" w:bidi="ar-SA"/>
              </w:rPr>
              <w:t>自筹经费</w:t>
            </w:r>
          </w:p>
        </w:tc>
      </w:tr>
      <w:tr w14:paraId="4D85D645">
        <w:trPr>
          <w:trHeight w:val="567" w:hRule="atLeast"/>
        </w:trPr>
        <w:tc>
          <w:tcPr>
            <w:tcW w:w="738" w:type="pct"/>
            <w:vAlign w:val="center"/>
          </w:tcPr>
          <w:p w14:paraId="0AA5929A">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default" w:ascii="仿宋_GB2312" w:hAnsi="仿宋_GB2312" w:eastAsia="仿宋_GB2312" w:cs="仿宋_GB2312"/>
                <w:color w:val="000000"/>
                <w:w w:val="100"/>
                <w:kern w:val="0"/>
                <w:sz w:val="28"/>
                <w:szCs w:val="28"/>
                <w:lang w:val="en-US" w:eastAsia="en-US" w:bidi="ar-SA"/>
              </w:rPr>
            </w:pPr>
            <w:r>
              <w:rPr>
                <w:rFonts w:hint="eastAsia" w:ascii="仿宋_GB2312" w:hAnsi="仿宋_GB2312" w:eastAsia="仿宋_GB2312" w:cs="仿宋_GB2312"/>
                <w:color w:val="000000"/>
                <w:w w:val="100"/>
                <w:kern w:val="0"/>
                <w:sz w:val="28"/>
                <w:szCs w:val="28"/>
                <w:lang w:val="en-US" w:eastAsia="zh-CN" w:bidi="ar-SA"/>
              </w:rPr>
              <w:t>里程碑1</w:t>
            </w:r>
          </w:p>
        </w:tc>
        <w:tc>
          <w:tcPr>
            <w:tcW w:w="864" w:type="pct"/>
            <w:vAlign w:val="center"/>
          </w:tcPr>
          <w:p w14:paraId="1C0E75D5">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default" w:ascii="仿宋_GB2312" w:hAnsi="仿宋_GB2312" w:eastAsia="仿宋_GB2312" w:cs="仿宋_GB2312"/>
                <w:color w:val="000000"/>
                <w:w w:val="100"/>
                <w:kern w:val="0"/>
                <w:sz w:val="28"/>
                <w:szCs w:val="28"/>
                <w:lang w:val="en-US" w:eastAsia="zh-CN" w:bidi="ar-SA"/>
              </w:rPr>
            </w:pPr>
            <w:r>
              <w:rPr>
                <w:rFonts w:hint="eastAsia" w:ascii="仿宋_GB2312" w:hAnsi="仿宋_GB2312" w:eastAsia="仿宋_GB2312" w:cs="仿宋_GB2312"/>
                <w:color w:val="000000"/>
                <w:w w:val="100"/>
                <w:kern w:val="0"/>
                <w:sz w:val="28"/>
                <w:szCs w:val="28"/>
                <w:u w:val="single"/>
                <w:lang w:val="en-US" w:eastAsia="zh-CN" w:bidi="ar-SA"/>
              </w:rPr>
              <w:t xml:space="preserve">     </w:t>
            </w:r>
            <w:r>
              <w:rPr>
                <w:rFonts w:hint="eastAsia" w:ascii="仿宋_GB2312" w:hAnsi="仿宋_GB2312" w:eastAsia="仿宋_GB2312" w:cs="仿宋_GB2312"/>
                <w:color w:val="000000"/>
                <w:w w:val="100"/>
                <w:kern w:val="0"/>
                <w:sz w:val="28"/>
                <w:szCs w:val="28"/>
                <w:lang w:val="en-US" w:eastAsia="zh-CN" w:bidi="ar-SA"/>
              </w:rPr>
              <w:t>年</w:t>
            </w:r>
            <w:r>
              <w:rPr>
                <w:rFonts w:hint="eastAsia" w:ascii="仿宋_GB2312" w:hAnsi="仿宋_GB2312" w:eastAsia="仿宋_GB2312" w:cs="仿宋_GB2312"/>
                <w:color w:val="000000"/>
                <w:w w:val="100"/>
                <w:kern w:val="0"/>
                <w:sz w:val="28"/>
                <w:szCs w:val="28"/>
                <w:u w:val="single"/>
                <w:lang w:val="en-US" w:eastAsia="zh-CN" w:bidi="ar-SA"/>
              </w:rPr>
              <w:t xml:space="preserve">  </w:t>
            </w:r>
            <w:r>
              <w:rPr>
                <w:rFonts w:hint="eastAsia" w:ascii="仿宋_GB2312" w:hAnsi="仿宋_GB2312" w:eastAsia="仿宋_GB2312" w:cs="仿宋_GB2312"/>
                <w:color w:val="000000"/>
                <w:w w:val="100"/>
                <w:kern w:val="0"/>
                <w:sz w:val="28"/>
                <w:szCs w:val="28"/>
                <w:lang w:val="en-US" w:eastAsia="zh-CN" w:bidi="ar-SA"/>
              </w:rPr>
              <w:t>月</w:t>
            </w:r>
          </w:p>
        </w:tc>
        <w:tc>
          <w:tcPr>
            <w:tcW w:w="1328" w:type="pct"/>
            <w:vAlign w:val="center"/>
          </w:tcPr>
          <w:p w14:paraId="5EEB543C">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eastAsia" w:ascii="仿宋_GB2312" w:hAnsi="仿宋_GB2312" w:eastAsia="仿宋_GB2312" w:cs="仿宋_GB2312"/>
                <w:color w:val="000000"/>
                <w:w w:val="100"/>
                <w:kern w:val="0"/>
                <w:sz w:val="28"/>
                <w:szCs w:val="28"/>
                <w:lang w:val="en-US" w:eastAsia="zh-CN" w:bidi="ar-SA"/>
              </w:rPr>
            </w:pPr>
            <w:r>
              <w:rPr>
                <w:rFonts w:hint="eastAsia" w:ascii="仿宋_GB2312" w:hAnsi="仿宋_GB2312" w:eastAsia="仿宋_GB2312" w:cs="仿宋_GB2312"/>
                <w:color w:val="000000"/>
                <w:w w:val="100"/>
                <w:kern w:val="0"/>
                <w:sz w:val="28"/>
                <w:szCs w:val="28"/>
                <w:lang w:val="en-US" w:eastAsia="zh-CN" w:bidi="ar-SA"/>
              </w:rPr>
              <w:t>1.……</w:t>
            </w:r>
          </w:p>
          <w:p w14:paraId="12F99E13">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eastAsia" w:ascii="仿宋_GB2312" w:hAnsi="仿宋_GB2312" w:eastAsia="仿宋_GB2312" w:cs="仿宋_GB2312"/>
                <w:color w:val="000000"/>
                <w:w w:val="100"/>
                <w:kern w:val="0"/>
                <w:sz w:val="28"/>
                <w:szCs w:val="28"/>
                <w:lang w:val="en-US" w:eastAsia="zh-CN" w:bidi="ar-SA"/>
              </w:rPr>
            </w:pPr>
            <w:r>
              <w:rPr>
                <w:rFonts w:hint="eastAsia" w:ascii="仿宋_GB2312" w:hAnsi="仿宋_GB2312" w:eastAsia="仿宋_GB2312" w:cs="仿宋_GB2312"/>
                <w:color w:val="000000"/>
                <w:w w:val="100"/>
                <w:kern w:val="0"/>
                <w:sz w:val="28"/>
                <w:szCs w:val="28"/>
                <w:lang w:val="en-US" w:eastAsia="zh-CN" w:bidi="ar-SA"/>
              </w:rPr>
              <w:t>2.……</w:t>
            </w:r>
          </w:p>
          <w:p w14:paraId="23B3B975">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default" w:ascii="仿宋_GB2312" w:hAnsi="仿宋_GB2312" w:eastAsia="仿宋_GB2312" w:cs="仿宋_GB2312"/>
                <w:color w:val="000000"/>
                <w:w w:val="100"/>
                <w:kern w:val="0"/>
                <w:sz w:val="28"/>
                <w:szCs w:val="28"/>
                <w:lang w:val="en-US" w:eastAsia="zh-CN" w:bidi="ar-SA"/>
              </w:rPr>
            </w:pPr>
            <w:r>
              <w:rPr>
                <w:rFonts w:hint="eastAsia" w:ascii="仿宋_GB2312" w:hAnsi="仿宋_GB2312" w:eastAsia="仿宋_GB2312" w:cs="仿宋_GB2312"/>
                <w:color w:val="000000"/>
                <w:w w:val="100"/>
                <w:kern w:val="0"/>
                <w:sz w:val="28"/>
                <w:szCs w:val="28"/>
                <w:lang w:val="en-US" w:eastAsia="zh-CN" w:bidi="ar-SA"/>
              </w:rPr>
              <w:t>3.……</w:t>
            </w:r>
          </w:p>
        </w:tc>
        <w:tc>
          <w:tcPr>
            <w:tcW w:w="1271" w:type="pct"/>
            <w:vAlign w:val="center"/>
          </w:tcPr>
          <w:p w14:paraId="6B00F338">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eastAsia" w:ascii="仿宋_GB2312" w:hAnsi="仿宋_GB2312" w:eastAsia="仿宋_GB2312" w:cs="仿宋_GB2312"/>
                <w:color w:val="000000"/>
                <w:w w:val="100"/>
                <w:kern w:val="0"/>
                <w:sz w:val="28"/>
                <w:szCs w:val="28"/>
                <w:lang w:val="en-US" w:eastAsia="zh-CN" w:bidi="ar-SA"/>
              </w:rPr>
            </w:pPr>
          </w:p>
        </w:tc>
        <w:tc>
          <w:tcPr>
            <w:tcW w:w="388" w:type="pct"/>
            <w:vAlign w:val="center"/>
          </w:tcPr>
          <w:p w14:paraId="267C9F36">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default" w:ascii="仿宋_GB2312" w:hAnsi="仿宋_GB2312" w:eastAsia="仿宋_GB2312" w:cs="仿宋_GB2312"/>
                <w:color w:val="000000"/>
                <w:w w:val="100"/>
                <w:kern w:val="0"/>
                <w:sz w:val="28"/>
                <w:szCs w:val="28"/>
                <w:lang w:val="en-US" w:eastAsia="zh-CN" w:bidi="ar-SA"/>
              </w:rPr>
            </w:pPr>
          </w:p>
        </w:tc>
        <w:tc>
          <w:tcPr>
            <w:tcW w:w="410" w:type="pct"/>
            <w:vAlign w:val="center"/>
          </w:tcPr>
          <w:p w14:paraId="0A4978C8">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default" w:ascii="仿宋_GB2312" w:hAnsi="仿宋_GB2312" w:eastAsia="仿宋_GB2312" w:cs="仿宋_GB2312"/>
                <w:color w:val="000000"/>
                <w:w w:val="100"/>
                <w:kern w:val="0"/>
                <w:sz w:val="28"/>
                <w:szCs w:val="28"/>
                <w:lang w:val="en-US" w:eastAsia="zh-CN" w:bidi="ar-SA"/>
              </w:rPr>
            </w:pPr>
          </w:p>
        </w:tc>
      </w:tr>
      <w:tr w14:paraId="5339F6F7">
        <w:trPr>
          <w:trHeight w:val="567" w:hRule="atLeast"/>
        </w:trPr>
        <w:tc>
          <w:tcPr>
            <w:tcW w:w="738" w:type="pct"/>
            <w:vAlign w:val="center"/>
          </w:tcPr>
          <w:p w14:paraId="0562E7BE">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eastAsia" w:ascii="仿宋_GB2312" w:hAnsi="仿宋_GB2312" w:eastAsia="仿宋_GB2312" w:cs="仿宋_GB2312"/>
                <w:color w:val="000000"/>
                <w:w w:val="100"/>
                <w:kern w:val="0"/>
                <w:sz w:val="28"/>
                <w:szCs w:val="28"/>
                <w:lang w:val="en-US" w:eastAsia="en-US" w:bidi="ar-SA"/>
              </w:rPr>
            </w:pPr>
            <w:r>
              <w:rPr>
                <w:rFonts w:hint="eastAsia" w:ascii="仿宋_GB2312" w:hAnsi="仿宋_GB2312" w:eastAsia="仿宋_GB2312" w:cs="仿宋_GB2312"/>
                <w:color w:val="000000"/>
                <w:w w:val="100"/>
                <w:kern w:val="0"/>
                <w:sz w:val="28"/>
                <w:szCs w:val="28"/>
                <w:lang w:val="en-US" w:eastAsia="zh-CN" w:bidi="ar-SA"/>
              </w:rPr>
              <w:t>里程碑2</w:t>
            </w:r>
          </w:p>
        </w:tc>
        <w:tc>
          <w:tcPr>
            <w:tcW w:w="864" w:type="pct"/>
            <w:vAlign w:val="center"/>
          </w:tcPr>
          <w:p w14:paraId="00F93B8A">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eastAsia" w:ascii="仿宋_GB2312" w:hAnsi="仿宋_GB2312" w:eastAsia="仿宋_GB2312" w:cs="仿宋_GB2312"/>
                <w:color w:val="000000"/>
                <w:w w:val="100"/>
                <w:kern w:val="0"/>
                <w:sz w:val="28"/>
                <w:szCs w:val="28"/>
                <w:lang w:val="en-US" w:eastAsia="zh-CN" w:bidi="ar-SA"/>
              </w:rPr>
            </w:pPr>
            <w:r>
              <w:rPr>
                <w:rFonts w:hint="eastAsia" w:ascii="仿宋_GB2312" w:hAnsi="仿宋_GB2312" w:eastAsia="仿宋_GB2312" w:cs="仿宋_GB2312"/>
                <w:color w:val="000000"/>
                <w:w w:val="100"/>
                <w:kern w:val="0"/>
                <w:sz w:val="28"/>
                <w:szCs w:val="28"/>
                <w:u w:val="single"/>
                <w:lang w:val="en-US" w:eastAsia="zh-CN" w:bidi="ar-SA"/>
              </w:rPr>
              <w:t xml:space="preserve">     </w:t>
            </w:r>
            <w:r>
              <w:rPr>
                <w:rFonts w:hint="eastAsia" w:ascii="仿宋_GB2312" w:hAnsi="仿宋_GB2312" w:eastAsia="仿宋_GB2312" w:cs="仿宋_GB2312"/>
                <w:color w:val="000000"/>
                <w:w w:val="100"/>
                <w:kern w:val="0"/>
                <w:sz w:val="28"/>
                <w:szCs w:val="28"/>
                <w:lang w:val="en-US" w:eastAsia="zh-CN" w:bidi="ar-SA"/>
              </w:rPr>
              <w:t>年</w:t>
            </w:r>
            <w:r>
              <w:rPr>
                <w:rFonts w:hint="eastAsia" w:ascii="仿宋_GB2312" w:hAnsi="仿宋_GB2312" w:eastAsia="仿宋_GB2312" w:cs="仿宋_GB2312"/>
                <w:color w:val="000000"/>
                <w:w w:val="100"/>
                <w:kern w:val="0"/>
                <w:sz w:val="28"/>
                <w:szCs w:val="28"/>
                <w:u w:val="single"/>
                <w:lang w:val="en-US" w:eastAsia="zh-CN" w:bidi="ar-SA"/>
              </w:rPr>
              <w:t xml:space="preserve">  </w:t>
            </w:r>
            <w:r>
              <w:rPr>
                <w:rFonts w:hint="eastAsia" w:ascii="仿宋_GB2312" w:hAnsi="仿宋_GB2312" w:eastAsia="仿宋_GB2312" w:cs="仿宋_GB2312"/>
                <w:color w:val="000000"/>
                <w:w w:val="100"/>
                <w:kern w:val="0"/>
                <w:sz w:val="28"/>
                <w:szCs w:val="28"/>
                <w:lang w:val="en-US" w:eastAsia="zh-CN" w:bidi="ar-SA"/>
              </w:rPr>
              <w:t>月</w:t>
            </w:r>
          </w:p>
        </w:tc>
        <w:tc>
          <w:tcPr>
            <w:tcW w:w="1328" w:type="pct"/>
            <w:vAlign w:val="center"/>
          </w:tcPr>
          <w:p w14:paraId="460791B1">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eastAsia" w:ascii="仿宋_GB2312" w:hAnsi="仿宋_GB2312" w:eastAsia="仿宋_GB2312" w:cs="仿宋_GB2312"/>
                <w:color w:val="000000"/>
                <w:w w:val="100"/>
                <w:kern w:val="0"/>
                <w:sz w:val="28"/>
                <w:szCs w:val="28"/>
                <w:lang w:val="en-US" w:eastAsia="zh-CN" w:bidi="ar-SA"/>
              </w:rPr>
            </w:pPr>
            <w:r>
              <w:rPr>
                <w:rFonts w:hint="eastAsia" w:ascii="仿宋_GB2312" w:hAnsi="仿宋_GB2312" w:eastAsia="仿宋_GB2312" w:cs="仿宋_GB2312"/>
                <w:color w:val="000000"/>
                <w:w w:val="100"/>
                <w:kern w:val="0"/>
                <w:sz w:val="28"/>
                <w:szCs w:val="28"/>
                <w:lang w:val="en-US" w:eastAsia="zh-CN" w:bidi="ar-SA"/>
              </w:rPr>
              <w:t>1.……</w:t>
            </w:r>
          </w:p>
          <w:p w14:paraId="0A2D7815">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eastAsia" w:ascii="仿宋_GB2312" w:hAnsi="仿宋_GB2312" w:eastAsia="仿宋_GB2312" w:cs="仿宋_GB2312"/>
                <w:color w:val="000000"/>
                <w:w w:val="100"/>
                <w:kern w:val="0"/>
                <w:sz w:val="28"/>
                <w:szCs w:val="28"/>
                <w:lang w:val="en-US" w:eastAsia="zh-CN" w:bidi="ar-SA"/>
              </w:rPr>
            </w:pPr>
            <w:r>
              <w:rPr>
                <w:rFonts w:hint="eastAsia" w:ascii="仿宋_GB2312" w:hAnsi="仿宋_GB2312" w:eastAsia="仿宋_GB2312" w:cs="仿宋_GB2312"/>
                <w:color w:val="000000"/>
                <w:w w:val="100"/>
                <w:kern w:val="0"/>
                <w:sz w:val="28"/>
                <w:szCs w:val="28"/>
                <w:lang w:val="en-US" w:eastAsia="zh-CN" w:bidi="ar-SA"/>
              </w:rPr>
              <w:t>2.……</w:t>
            </w:r>
          </w:p>
          <w:p w14:paraId="70DF655C">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eastAsia" w:ascii="仿宋_GB2312" w:hAnsi="仿宋_GB2312" w:eastAsia="仿宋_GB2312" w:cs="仿宋_GB2312"/>
                <w:color w:val="000000"/>
                <w:w w:val="100"/>
                <w:kern w:val="0"/>
                <w:sz w:val="28"/>
                <w:szCs w:val="28"/>
                <w:lang w:val="en-US" w:eastAsia="zh-CN" w:bidi="ar-SA"/>
              </w:rPr>
            </w:pPr>
            <w:r>
              <w:rPr>
                <w:rFonts w:hint="eastAsia" w:ascii="仿宋_GB2312" w:hAnsi="仿宋_GB2312" w:eastAsia="仿宋_GB2312" w:cs="仿宋_GB2312"/>
                <w:color w:val="000000"/>
                <w:w w:val="100"/>
                <w:kern w:val="0"/>
                <w:sz w:val="28"/>
                <w:szCs w:val="28"/>
                <w:lang w:val="en-US" w:eastAsia="zh-CN" w:bidi="ar-SA"/>
              </w:rPr>
              <w:t>3.……</w:t>
            </w:r>
          </w:p>
        </w:tc>
        <w:tc>
          <w:tcPr>
            <w:tcW w:w="1271" w:type="pct"/>
            <w:vAlign w:val="center"/>
          </w:tcPr>
          <w:p w14:paraId="70CE309D">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eastAsia" w:ascii="仿宋_GB2312" w:hAnsi="仿宋_GB2312" w:eastAsia="仿宋_GB2312" w:cs="仿宋_GB2312"/>
                <w:color w:val="000000"/>
                <w:w w:val="100"/>
                <w:kern w:val="0"/>
                <w:sz w:val="28"/>
                <w:szCs w:val="28"/>
                <w:lang w:val="en-US" w:eastAsia="zh-CN" w:bidi="ar-SA"/>
              </w:rPr>
            </w:pPr>
          </w:p>
        </w:tc>
        <w:tc>
          <w:tcPr>
            <w:tcW w:w="388" w:type="pct"/>
            <w:vAlign w:val="center"/>
          </w:tcPr>
          <w:p w14:paraId="64106AAF">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eastAsia" w:ascii="仿宋_GB2312" w:hAnsi="仿宋_GB2312" w:eastAsia="仿宋_GB2312" w:cs="仿宋_GB2312"/>
                <w:color w:val="000000"/>
                <w:w w:val="100"/>
                <w:kern w:val="0"/>
                <w:sz w:val="28"/>
                <w:szCs w:val="28"/>
                <w:lang w:val="en-US" w:eastAsia="zh-CN" w:bidi="ar-SA"/>
              </w:rPr>
            </w:pPr>
          </w:p>
        </w:tc>
        <w:tc>
          <w:tcPr>
            <w:tcW w:w="410" w:type="pct"/>
            <w:vAlign w:val="center"/>
          </w:tcPr>
          <w:p w14:paraId="014188C7">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eastAsia" w:ascii="仿宋_GB2312" w:hAnsi="仿宋_GB2312" w:eastAsia="仿宋_GB2312" w:cs="仿宋_GB2312"/>
                <w:color w:val="000000"/>
                <w:w w:val="100"/>
                <w:kern w:val="0"/>
                <w:sz w:val="28"/>
                <w:szCs w:val="28"/>
                <w:lang w:val="en-US" w:eastAsia="zh-CN" w:bidi="ar-SA"/>
              </w:rPr>
            </w:pPr>
          </w:p>
        </w:tc>
      </w:tr>
      <w:tr w14:paraId="79EBCF23">
        <w:trPr>
          <w:trHeight w:val="1010" w:hRule="atLeast"/>
        </w:trPr>
        <w:tc>
          <w:tcPr>
            <w:tcW w:w="738" w:type="pct"/>
            <w:vAlign w:val="center"/>
          </w:tcPr>
          <w:p w14:paraId="6BCA9D37">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rightChars="0" w:firstLine="0" w:firstLineChars="0"/>
              <w:jc w:val="center"/>
              <w:textAlignment w:val="auto"/>
              <w:rPr>
                <w:rFonts w:hint="default" w:ascii="仿宋_GB2312" w:hAnsi="仿宋_GB2312" w:eastAsia="仿宋_GB2312" w:cs="仿宋_GB2312"/>
                <w:color w:val="000000"/>
                <w:w w:val="100"/>
                <w:kern w:val="0"/>
                <w:sz w:val="28"/>
                <w:szCs w:val="28"/>
                <w:lang w:val="en-US" w:eastAsia="en-US" w:bidi="ar-SA"/>
              </w:rPr>
            </w:pPr>
            <w:r>
              <w:rPr>
                <w:rFonts w:hint="eastAsia" w:ascii="仿宋_GB2312" w:hAnsi="仿宋_GB2312" w:eastAsia="仿宋_GB2312" w:cs="仿宋_GB2312"/>
                <w:color w:val="000000"/>
                <w:w w:val="100"/>
                <w:kern w:val="0"/>
                <w:sz w:val="28"/>
                <w:szCs w:val="28"/>
                <w:lang w:val="en-US" w:eastAsia="zh-CN" w:bidi="ar-SA"/>
              </w:rPr>
              <w:t>里程碑3</w:t>
            </w:r>
            <w:r>
              <w:rPr>
                <w:rFonts w:hint="eastAsia" w:ascii="仿宋_GB2312" w:hAnsi="仿宋_GB2312" w:eastAsia="仿宋_GB2312" w:cs="仿宋_GB2312"/>
                <w:color w:val="000000"/>
                <w:w w:val="100"/>
                <w:kern w:val="0"/>
                <w:sz w:val="28"/>
                <w:szCs w:val="28"/>
                <w:lang w:val="en-US" w:eastAsia="zh-CN" w:bidi="ar-SA"/>
              </w:rPr>
              <w:br w:type="textWrapping"/>
            </w:r>
            <w:r>
              <w:rPr>
                <w:rFonts w:hint="eastAsia" w:ascii="仿宋_GB2312" w:hAnsi="仿宋_GB2312" w:eastAsia="仿宋_GB2312" w:cs="仿宋_GB2312"/>
                <w:color w:val="000000"/>
                <w:w w:val="100"/>
                <w:kern w:val="0"/>
                <w:sz w:val="28"/>
                <w:szCs w:val="28"/>
                <w:lang w:val="en-US" w:eastAsia="zh-CN" w:bidi="ar-SA"/>
              </w:rPr>
              <w:t>（验收）</w:t>
            </w:r>
          </w:p>
        </w:tc>
        <w:tc>
          <w:tcPr>
            <w:tcW w:w="864" w:type="pct"/>
            <w:vAlign w:val="center"/>
          </w:tcPr>
          <w:p w14:paraId="1068FF79">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rightChars="0" w:firstLine="0" w:firstLineChars="0"/>
              <w:jc w:val="center"/>
              <w:textAlignment w:val="auto"/>
              <w:rPr>
                <w:rFonts w:hint="eastAsia" w:ascii="仿宋_GB2312" w:hAnsi="仿宋_GB2312" w:eastAsia="仿宋_GB2312" w:cs="仿宋_GB2312"/>
                <w:color w:val="000000"/>
                <w:w w:val="100"/>
                <w:kern w:val="0"/>
                <w:sz w:val="28"/>
                <w:szCs w:val="28"/>
                <w:lang w:val="en-US" w:eastAsia="zh-CN" w:bidi="ar-SA"/>
              </w:rPr>
            </w:pPr>
            <w:r>
              <w:rPr>
                <w:rFonts w:hint="eastAsia" w:ascii="仿宋_GB2312" w:hAnsi="仿宋_GB2312" w:eastAsia="仿宋_GB2312" w:cs="仿宋_GB2312"/>
                <w:color w:val="000000"/>
                <w:w w:val="100"/>
                <w:kern w:val="0"/>
                <w:sz w:val="28"/>
                <w:szCs w:val="28"/>
                <w:u w:val="single"/>
                <w:lang w:val="en-US" w:eastAsia="zh-CN" w:bidi="ar-SA"/>
              </w:rPr>
              <w:t xml:space="preserve">     </w:t>
            </w:r>
            <w:r>
              <w:rPr>
                <w:rFonts w:hint="eastAsia" w:ascii="仿宋_GB2312" w:hAnsi="仿宋_GB2312" w:eastAsia="仿宋_GB2312" w:cs="仿宋_GB2312"/>
                <w:color w:val="000000"/>
                <w:w w:val="100"/>
                <w:kern w:val="0"/>
                <w:sz w:val="28"/>
                <w:szCs w:val="28"/>
                <w:lang w:val="en-US" w:eastAsia="zh-CN" w:bidi="ar-SA"/>
              </w:rPr>
              <w:t>年</w:t>
            </w:r>
            <w:r>
              <w:rPr>
                <w:rFonts w:hint="eastAsia" w:ascii="仿宋_GB2312" w:hAnsi="仿宋_GB2312" w:eastAsia="仿宋_GB2312" w:cs="仿宋_GB2312"/>
                <w:color w:val="000000"/>
                <w:w w:val="100"/>
                <w:kern w:val="0"/>
                <w:sz w:val="28"/>
                <w:szCs w:val="28"/>
                <w:u w:val="single"/>
                <w:lang w:val="en-US" w:eastAsia="zh-CN" w:bidi="ar-SA"/>
              </w:rPr>
              <w:t xml:space="preserve">  </w:t>
            </w:r>
            <w:r>
              <w:rPr>
                <w:rFonts w:hint="eastAsia" w:ascii="仿宋_GB2312" w:hAnsi="仿宋_GB2312" w:eastAsia="仿宋_GB2312" w:cs="仿宋_GB2312"/>
                <w:color w:val="000000"/>
                <w:w w:val="100"/>
                <w:kern w:val="0"/>
                <w:sz w:val="28"/>
                <w:szCs w:val="28"/>
                <w:lang w:val="en-US" w:eastAsia="zh-CN" w:bidi="ar-SA"/>
              </w:rPr>
              <w:t>月</w:t>
            </w:r>
          </w:p>
        </w:tc>
        <w:tc>
          <w:tcPr>
            <w:tcW w:w="1328" w:type="pct"/>
            <w:vAlign w:val="center"/>
          </w:tcPr>
          <w:p w14:paraId="5B39EB11">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eastAsia" w:ascii="仿宋_GB2312" w:hAnsi="仿宋_GB2312" w:eastAsia="仿宋_GB2312" w:cs="仿宋_GB2312"/>
                <w:color w:val="000000"/>
                <w:w w:val="100"/>
                <w:kern w:val="0"/>
                <w:sz w:val="28"/>
                <w:szCs w:val="28"/>
                <w:lang w:val="en-US" w:eastAsia="zh-CN" w:bidi="ar-SA"/>
              </w:rPr>
            </w:pPr>
            <w:r>
              <w:rPr>
                <w:rFonts w:hint="eastAsia" w:ascii="仿宋_GB2312" w:hAnsi="仿宋_GB2312" w:eastAsia="仿宋_GB2312" w:cs="仿宋_GB2312"/>
                <w:color w:val="000000"/>
                <w:w w:val="100"/>
                <w:kern w:val="0"/>
                <w:sz w:val="28"/>
                <w:szCs w:val="28"/>
                <w:lang w:val="en-US" w:eastAsia="zh-CN" w:bidi="ar-SA"/>
              </w:rPr>
              <w:t>1.……</w:t>
            </w:r>
          </w:p>
          <w:p w14:paraId="6CC256F2">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eastAsia" w:ascii="仿宋_GB2312" w:hAnsi="仿宋_GB2312" w:eastAsia="仿宋_GB2312" w:cs="仿宋_GB2312"/>
                <w:color w:val="000000"/>
                <w:w w:val="100"/>
                <w:kern w:val="0"/>
                <w:sz w:val="28"/>
                <w:szCs w:val="28"/>
                <w:lang w:val="en-US" w:eastAsia="zh-CN" w:bidi="ar-SA"/>
              </w:rPr>
            </w:pPr>
            <w:r>
              <w:rPr>
                <w:rFonts w:hint="eastAsia" w:ascii="仿宋_GB2312" w:hAnsi="仿宋_GB2312" w:eastAsia="仿宋_GB2312" w:cs="仿宋_GB2312"/>
                <w:color w:val="000000"/>
                <w:w w:val="100"/>
                <w:kern w:val="0"/>
                <w:sz w:val="28"/>
                <w:szCs w:val="28"/>
                <w:lang w:val="en-US" w:eastAsia="zh-CN" w:bidi="ar-SA"/>
              </w:rPr>
              <w:t>2.……</w:t>
            </w:r>
          </w:p>
          <w:p w14:paraId="63157B2A">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rightChars="0" w:firstLine="0" w:firstLineChars="0"/>
              <w:jc w:val="center"/>
              <w:textAlignment w:val="auto"/>
              <w:rPr>
                <w:rFonts w:hint="eastAsia" w:ascii="仿宋_GB2312" w:hAnsi="仿宋_GB2312" w:eastAsia="仿宋_GB2312" w:cs="仿宋_GB2312"/>
                <w:color w:val="000000"/>
                <w:w w:val="100"/>
                <w:kern w:val="0"/>
                <w:sz w:val="28"/>
                <w:szCs w:val="28"/>
                <w:lang w:val="en-US" w:eastAsia="zh-CN" w:bidi="ar-SA"/>
              </w:rPr>
            </w:pPr>
            <w:r>
              <w:rPr>
                <w:rFonts w:hint="eastAsia" w:ascii="仿宋_GB2312" w:hAnsi="仿宋_GB2312" w:eastAsia="仿宋_GB2312" w:cs="仿宋_GB2312"/>
                <w:color w:val="000000"/>
                <w:w w:val="100"/>
                <w:kern w:val="0"/>
                <w:sz w:val="28"/>
                <w:szCs w:val="28"/>
                <w:lang w:val="en-US" w:eastAsia="zh-CN" w:bidi="ar-SA"/>
              </w:rPr>
              <w:t>3.……</w:t>
            </w:r>
          </w:p>
        </w:tc>
        <w:tc>
          <w:tcPr>
            <w:tcW w:w="1271" w:type="pct"/>
            <w:vAlign w:val="center"/>
          </w:tcPr>
          <w:p w14:paraId="44D0718D">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eastAsia" w:ascii="仿宋_GB2312" w:hAnsi="仿宋_GB2312" w:eastAsia="仿宋_GB2312" w:cs="仿宋_GB2312"/>
                <w:color w:val="000000"/>
                <w:w w:val="100"/>
                <w:kern w:val="0"/>
                <w:sz w:val="28"/>
                <w:szCs w:val="28"/>
                <w:lang w:val="en-US" w:eastAsia="zh-CN" w:bidi="ar-SA"/>
              </w:rPr>
            </w:pPr>
          </w:p>
        </w:tc>
        <w:tc>
          <w:tcPr>
            <w:tcW w:w="388" w:type="pct"/>
            <w:vAlign w:val="center"/>
          </w:tcPr>
          <w:p w14:paraId="4F548B44">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eastAsia" w:ascii="仿宋_GB2312" w:hAnsi="仿宋_GB2312" w:eastAsia="仿宋_GB2312" w:cs="仿宋_GB2312"/>
                <w:color w:val="000000"/>
                <w:w w:val="100"/>
                <w:kern w:val="0"/>
                <w:sz w:val="28"/>
                <w:szCs w:val="28"/>
                <w:lang w:val="en-US" w:eastAsia="zh-CN" w:bidi="ar-SA"/>
              </w:rPr>
            </w:pPr>
          </w:p>
        </w:tc>
        <w:tc>
          <w:tcPr>
            <w:tcW w:w="410" w:type="pct"/>
            <w:vAlign w:val="center"/>
          </w:tcPr>
          <w:p w14:paraId="1D11C9CB">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eastAsia" w:ascii="仿宋_GB2312" w:hAnsi="仿宋_GB2312" w:eastAsia="仿宋_GB2312" w:cs="仿宋_GB2312"/>
                <w:color w:val="000000"/>
                <w:w w:val="100"/>
                <w:kern w:val="0"/>
                <w:sz w:val="28"/>
                <w:szCs w:val="28"/>
                <w:lang w:val="en-US" w:eastAsia="zh-CN" w:bidi="ar-SA"/>
              </w:rPr>
            </w:pPr>
          </w:p>
        </w:tc>
      </w:tr>
      <w:tr w14:paraId="0D114077">
        <w:trPr>
          <w:trHeight w:val="542" w:hRule="atLeast"/>
        </w:trPr>
        <w:tc>
          <w:tcPr>
            <w:tcW w:w="738" w:type="pct"/>
            <w:vAlign w:val="center"/>
          </w:tcPr>
          <w:p w14:paraId="4078716B">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eastAsia" w:ascii="仿宋_GB2312" w:hAnsi="仿宋_GB2312" w:eastAsia="仿宋_GB2312" w:cs="仿宋_GB2312"/>
                <w:color w:val="000000"/>
                <w:w w:val="100"/>
                <w:kern w:val="0"/>
                <w:sz w:val="28"/>
                <w:szCs w:val="28"/>
                <w:lang w:val="en-US" w:eastAsia="en-US" w:bidi="ar-SA"/>
              </w:rPr>
            </w:pPr>
            <w:r>
              <w:rPr>
                <w:rFonts w:hint="eastAsia" w:ascii="仿宋_GB2312" w:hAnsi="仿宋_GB2312" w:eastAsia="仿宋_GB2312" w:cs="仿宋_GB2312"/>
                <w:color w:val="000000"/>
                <w:w w:val="100"/>
                <w:kern w:val="0"/>
                <w:sz w:val="28"/>
                <w:szCs w:val="28"/>
                <w:lang w:val="en-US" w:eastAsia="en-US" w:bidi="ar-SA"/>
              </w:rPr>
              <w:t>……</w:t>
            </w:r>
          </w:p>
        </w:tc>
        <w:tc>
          <w:tcPr>
            <w:tcW w:w="864" w:type="pct"/>
            <w:vAlign w:val="center"/>
          </w:tcPr>
          <w:p w14:paraId="01880A2B">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eastAsia" w:ascii="仿宋_GB2312" w:hAnsi="仿宋_GB2312" w:eastAsia="仿宋_GB2312" w:cs="仿宋_GB2312"/>
                <w:color w:val="000000"/>
                <w:w w:val="100"/>
                <w:kern w:val="0"/>
                <w:sz w:val="28"/>
                <w:szCs w:val="28"/>
                <w:lang w:val="en-US" w:eastAsia="zh-CN" w:bidi="ar-SA"/>
              </w:rPr>
            </w:pPr>
          </w:p>
        </w:tc>
        <w:tc>
          <w:tcPr>
            <w:tcW w:w="1328" w:type="pct"/>
            <w:vAlign w:val="center"/>
          </w:tcPr>
          <w:p w14:paraId="1F7B2C8E">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eastAsia" w:ascii="仿宋_GB2312" w:hAnsi="仿宋_GB2312" w:eastAsia="仿宋_GB2312" w:cs="仿宋_GB2312"/>
                <w:color w:val="000000"/>
                <w:w w:val="100"/>
                <w:kern w:val="0"/>
                <w:sz w:val="28"/>
                <w:szCs w:val="28"/>
                <w:lang w:val="en-US" w:eastAsia="zh-CN" w:bidi="ar-SA"/>
              </w:rPr>
            </w:pPr>
          </w:p>
        </w:tc>
        <w:tc>
          <w:tcPr>
            <w:tcW w:w="1271" w:type="pct"/>
            <w:vAlign w:val="center"/>
          </w:tcPr>
          <w:p w14:paraId="699D6E16">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eastAsia" w:ascii="仿宋_GB2312" w:hAnsi="仿宋_GB2312" w:eastAsia="仿宋_GB2312" w:cs="仿宋_GB2312"/>
                <w:color w:val="000000"/>
                <w:w w:val="100"/>
                <w:kern w:val="0"/>
                <w:sz w:val="28"/>
                <w:szCs w:val="28"/>
                <w:lang w:val="en-US" w:eastAsia="zh-CN" w:bidi="ar-SA"/>
              </w:rPr>
            </w:pPr>
          </w:p>
        </w:tc>
        <w:tc>
          <w:tcPr>
            <w:tcW w:w="388" w:type="pct"/>
            <w:vAlign w:val="center"/>
          </w:tcPr>
          <w:p w14:paraId="3D761C03">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eastAsia" w:ascii="仿宋_GB2312" w:hAnsi="仿宋_GB2312" w:eastAsia="仿宋_GB2312" w:cs="仿宋_GB2312"/>
                <w:color w:val="000000"/>
                <w:w w:val="100"/>
                <w:kern w:val="0"/>
                <w:sz w:val="28"/>
                <w:szCs w:val="28"/>
                <w:lang w:val="en-US" w:eastAsia="zh-CN" w:bidi="ar-SA"/>
              </w:rPr>
            </w:pPr>
          </w:p>
        </w:tc>
        <w:tc>
          <w:tcPr>
            <w:tcW w:w="410" w:type="pct"/>
            <w:vAlign w:val="center"/>
          </w:tcPr>
          <w:p w14:paraId="469A39A4">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eastAsia" w:ascii="仿宋_GB2312" w:hAnsi="仿宋_GB2312" w:eastAsia="仿宋_GB2312" w:cs="仿宋_GB2312"/>
                <w:color w:val="000000"/>
                <w:w w:val="100"/>
                <w:kern w:val="0"/>
                <w:sz w:val="28"/>
                <w:szCs w:val="28"/>
                <w:lang w:val="en-US" w:eastAsia="zh-CN" w:bidi="ar-SA"/>
              </w:rPr>
            </w:pPr>
          </w:p>
        </w:tc>
      </w:tr>
    </w:tbl>
    <w:p w14:paraId="48AAB0F5">
      <w:pPr>
        <w:bidi w:val="0"/>
        <w:rPr>
          <w:rFonts w:hint="default"/>
          <w:lang w:val="en-US" w:eastAsia="zh-CN"/>
        </w:rPr>
      </w:pPr>
    </w:p>
    <w:bookmarkEnd w:id="9"/>
    <w:p w14:paraId="2C0C5AF1">
      <w:pPr>
        <w:adjustRightInd w:val="0"/>
        <w:snapToGrid w:val="0"/>
        <w:spacing w:line="360" w:lineRule="auto"/>
        <w:outlineLvl w:val="0"/>
        <w:rPr>
          <w:rFonts w:hint="default" w:eastAsia="黑体"/>
          <w:sz w:val="32"/>
          <w:szCs w:val="32"/>
          <w:lang w:val="en-US" w:eastAsia="zh-CN"/>
        </w:rPr>
      </w:pPr>
      <w:bookmarkStart w:id="10" w:name="_Toc172321782"/>
      <w:r>
        <w:rPr>
          <w:rFonts w:hint="eastAsia" w:eastAsia="黑体"/>
          <w:sz w:val="32"/>
          <w:szCs w:val="32"/>
          <w:lang w:val="en-US" w:eastAsia="zh-CN"/>
        </w:rPr>
        <w:t>四</w:t>
      </w:r>
      <w:r>
        <w:rPr>
          <w:rFonts w:eastAsia="黑体"/>
          <w:sz w:val="32"/>
          <w:szCs w:val="32"/>
        </w:rPr>
        <w:t>、研究</w:t>
      </w:r>
      <w:r>
        <w:rPr>
          <w:rFonts w:hint="eastAsia" w:eastAsia="黑体"/>
          <w:sz w:val="32"/>
          <w:szCs w:val="32"/>
          <w:lang w:val="en-US" w:eastAsia="zh-CN"/>
        </w:rPr>
        <w:t>实施</w:t>
      </w:r>
      <w:r>
        <w:rPr>
          <w:rFonts w:eastAsia="黑体"/>
          <w:sz w:val="32"/>
          <w:szCs w:val="32"/>
        </w:rPr>
        <w:t>方案</w:t>
      </w:r>
      <w:bookmarkEnd w:id="10"/>
    </w:p>
    <w:p w14:paraId="5788C75F">
      <w:pPr>
        <w:adjustRightInd w:val="0"/>
        <w:snapToGrid w:val="0"/>
        <w:spacing w:line="360" w:lineRule="auto"/>
        <w:ind w:firstLine="572" w:firstLineChars="200"/>
        <w:outlineLvl w:val="1"/>
        <w:rPr>
          <w:rFonts w:eastAsia="楷体_GB2312"/>
          <w:szCs w:val="28"/>
          <w:lang w:val="zh-CN"/>
        </w:rPr>
      </w:pPr>
      <w:bookmarkStart w:id="11" w:name="_Toc172321783"/>
      <w:r>
        <w:rPr>
          <w:rFonts w:eastAsia="楷体_GB2312"/>
          <w:szCs w:val="28"/>
          <w:lang w:val="zh-CN"/>
        </w:rPr>
        <w:t>（一）技术路线</w:t>
      </w:r>
      <w:bookmarkEnd w:id="11"/>
    </w:p>
    <w:p w14:paraId="1910826A">
      <w:pPr>
        <w:adjustRightInd w:val="0"/>
        <w:snapToGrid w:val="0"/>
        <w:spacing w:line="360" w:lineRule="auto"/>
        <w:ind w:firstLine="572" w:firstLineChars="200"/>
        <w:outlineLvl w:val="1"/>
        <w:rPr>
          <w:rFonts w:hint="eastAsia"/>
          <w:lang w:val="en-US" w:eastAsia="zh-CN"/>
        </w:rPr>
      </w:pPr>
      <w:r>
        <w:rPr>
          <w:rFonts w:hint="eastAsia" w:eastAsia="楷体_GB2312"/>
          <w:szCs w:val="28"/>
          <w:lang w:val="en-US" w:eastAsia="zh-CN"/>
        </w:rPr>
        <w:t>主要阐述：项目的</w:t>
      </w:r>
      <w:r>
        <w:rPr>
          <w:rFonts w:eastAsia="楷体_GB2312"/>
          <w:szCs w:val="28"/>
          <w:lang w:val="zh-CN"/>
        </w:rPr>
        <w:t>核心科学技术问题</w:t>
      </w:r>
      <w:r>
        <w:rPr>
          <w:rFonts w:hint="eastAsia" w:eastAsia="楷体_GB2312"/>
          <w:szCs w:val="28"/>
          <w:lang w:val="zh-CN"/>
        </w:rPr>
        <w:t>、</w:t>
      </w:r>
      <w:r>
        <w:rPr>
          <w:rFonts w:eastAsia="楷体_GB2312"/>
          <w:szCs w:val="28"/>
          <w:lang w:val="zh-CN"/>
        </w:rPr>
        <w:t>创新点</w:t>
      </w:r>
      <w:r>
        <w:rPr>
          <w:rFonts w:hint="eastAsia" w:eastAsia="楷体_GB2312"/>
          <w:szCs w:val="28"/>
          <w:lang w:val="en-US" w:eastAsia="zh-CN"/>
        </w:rPr>
        <w:t>等</w:t>
      </w:r>
    </w:p>
    <w:p w14:paraId="5146D647">
      <w:pPr>
        <w:pStyle w:val="2"/>
        <w:ind w:firstLine="420" w:firstLineChars="0"/>
        <w:rPr>
          <w:rFonts w:hint="eastAsia"/>
          <w:b/>
          <w:bCs/>
          <w:lang w:val="en-US" w:eastAsia="zh-CN"/>
        </w:rPr>
      </w:pPr>
      <w:r>
        <w:rPr>
          <w:rFonts w:hint="eastAsia"/>
          <w:b/>
          <w:bCs/>
          <w:lang w:val="en-US" w:eastAsia="zh-CN"/>
        </w:rPr>
        <w:t>研究内容一：超宽带超线性基带信号处理技术</w:t>
      </w:r>
    </w:p>
    <w:p w14:paraId="63ECC6CF">
      <w:pPr>
        <w:pStyle w:val="2"/>
        <w:numPr>
          <w:ilvl w:val="0"/>
          <w:numId w:val="9"/>
        </w:numPr>
        <w:tabs>
          <w:tab w:val="clear" w:pos="420"/>
        </w:tabs>
        <w:ind w:left="845" w:leftChars="0" w:hanging="425" w:firstLineChars="0"/>
        <w:rPr>
          <w:rFonts w:hint="eastAsia"/>
          <w:b/>
          <w:bCs/>
          <w:lang w:val="en-US" w:eastAsia="zh-CN"/>
        </w:rPr>
      </w:pPr>
      <w:r>
        <w:rPr>
          <w:rFonts w:hint="eastAsia"/>
          <w:b/>
          <w:bCs/>
          <w:lang w:val="en-US" w:eastAsia="zh-CN"/>
        </w:rPr>
        <w:t>发端预失真处理</w:t>
      </w:r>
    </w:p>
    <w:p w14:paraId="300396D8">
      <w:pPr>
        <w:pStyle w:val="2"/>
        <w:numPr>
          <w:numId w:val="0"/>
        </w:numPr>
        <w:ind w:left="420" w:leftChars="0"/>
        <w:jc w:val="center"/>
      </w:pPr>
      <w:r>
        <w:drawing>
          <wp:inline distT="0" distB="0" distL="114300" distR="114300">
            <wp:extent cx="3911600" cy="3557270"/>
            <wp:effectExtent l="0" t="0" r="0" b="24130"/>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9" cstate="print">
                      <a:extLst>
                        <a:ext uri="{28A0092B-C50C-407E-A947-70E740481C1C}">
                          <a14:useLocalDpi xmlns:a14="http://schemas.microsoft.com/office/drawing/2010/main" val="0"/>
                        </a:ext>
                      </a:extLst>
                    </a:blip>
                    <a:srcRect l="40012"/>
                    <a:stretch>
                      <a:fillRect/>
                    </a:stretch>
                  </pic:blipFill>
                  <pic:spPr>
                    <a:xfrm>
                      <a:off x="0" y="0"/>
                      <a:ext cx="3911600" cy="3557270"/>
                    </a:xfrm>
                    <a:prstGeom prst="rect">
                      <a:avLst/>
                    </a:prstGeom>
                  </pic:spPr>
                </pic:pic>
              </a:graphicData>
            </a:graphic>
          </wp:inline>
        </w:drawing>
      </w:r>
    </w:p>
    <w:p w14:paraId="6B89CCA7">
      <w:pPr>
        <w:pStyle w:val="2"/>
        <w:numPr>
          <w:numId w:val="0"/>
        </w:numPr>
        <w:ind w:left="420" w:leftChars="0"/>
        <w:jc w:val="center"/>
        <w:rPr>
          <w:rFonts w:hint="default" w:eastAsia="仿宋_GB2312"/>
          <w:lang w:val="en-US" w:eastAsia="zh-CN"/>
        </w:rPr>
      </w:pPr>
      <w:r>
        <w:rPr>
          <w:rFonts w:hint="eastAsia"/>
          <w:lang w:val="en-US" w:eastAsia="zh-CN"/>
        </w:rPr>
        <w:t>图1:预失真处理</w:t>
      </w:r>
    </w:p>
    <w:p w14:paraId="3829A46E">
      <w:pPr>
        <w:pStyle w:val="2"/>
        <w:numPr>
          <w:numId w:val="0"/>
        </w:numPr>
        <w:ind w:left="420" w:leftChars="0" w:firstLine="420" w:firstLineChars="0"/>
        <w:jc w:val="both"/>
        <w:rPr>
          <w:rFonts w:hint="eastAsia"/>
          <w:lang w:val="en-US" w:eastAsia="zh-CN"/>
        </w:rPr>
      </w:pPr>
      <w:r>
        <w:rPr>
          <w:rFonts w:hint="eastAsia"/>
          <w:lang w:val="en-US" w:eastAsia="zh-CN"/>
        </w:rPr>
        <w:t>为有效抑制无线通信发射链路中功率放大器（PA）及射频前端的非线性失真问题，提升信号传输质量与系统能效，本项目围绕“发端预失真处理技术”展开深入研究，旨在构建具备高精度、低复杂度、强鲁棒性的数字预失真（Digital Pre-Distortion, DPD）方案，适配未来宽带、多载波、高频段、多制式等复杂通信场景。</w:t>
      </w:r>
    </w:p>
    <w:p w14:paraId="257915A1">
      <w:pPr>
        <w:pStyle w:val="2"/>
        <w:numPr>
          <w:ilvl w:val="0"/>
          <w:numId w:val="10"/>
        </w:numPr>
        <w:tabs>
          <w:tab w:val="clear" w:pos="0"/>
        </w:tabs>
        <w:ind w:left="845" w:leftChars="0" w:hanging="425" w:firstLineChars="0"/>
        <w:jc w:val="both"/>
        <w:rPr>
          <w:rFonts w:hint="eastAsia"/>
          <w:lang w:val="en-US" w:eastAsia="zh-CN"/>
        </w:rPr>
      </w:pPr>
      <w:r>
        <w:rPr>
          <w:rFonts w:hint="eastAsia"/>
          <w:b/>
          <w:bCs/>
          <w:lang w:val="en-US" w:eastAsia="zh-CN"/>
        </w:rPr>
        <w:t>非线性建模</w:t>
      </w:r>
    </w:p>
    <w:p w14:paraId="59ECF33F">
      <w:pPr>
        <w:pStyle w:val="2"/>
        <w:numPr>
          <w:numId w:val="0"/>
        </w:numPr>
        <w:ind w:left="420" w:leftChars="0" w:firstLine="420" w:firstLineChars="0"/>
        <w:jc w:val="both"/>
        <w:rPr>
          <w:rFonts w:hint="eastAsia"/>
          <w:lang w:val="en-US" w:eastAsia="zh-CN"/>
        </w:rPr>
      </w:pPr>
      <w:r>
        <w:rPr>
          <w:rFonts w:hint="eastAsia"/>
          <w:lang w:val="en-US" w:eastAsia="zh-CN"/>
        </w:rPr>
        <w:t>针对PA等射频前端在高功率工作状态下易产生的非线性失真（包括幅度压缩、相位旋转、交调失真、记忆效应等），通过理论分析与仿真实验相结合，系统梳理不同工作模式下的非线性特征与建模需求。采用广义记忆多项式（GMP）、Volterra 系列、多通路并联模型等经典数学模型，并结合机器学习方法（如深度神经网络、RNN等）对非线性特征进行拟合与抽象，建立面向宽带信号、复杂场景的精准逆向建模体系。</w:t>
      </w:r>
    </w:p>
    <w:p w14:paraId="0AD469AD">
      <w:pPr>
        <w:pStyle w:val="2"/>
        <w:numPr>
          <w:ilvl w:val="0"/>
          <w:numId w:val="11"/>
        </w:numPr>
        <w:tabs>
          <w:tab w:val="clear" w:pos="420"/>
        </w:tabs>
        <w:ind w:left="840" w:leftChars="0" w:hanging="420" w:firstLineChars="0"/>
        <w:jc w:val="both"/>
        <w:rPr>
          <w:rFonts w:hint="default"/>
          <w:lang w:val="en-US" w:eastAsia="zh-CN"/>
        </w:rPr>
      </w:pPr>
      <w:r>
        <w:rPr>
          <w:rFonts w:hint="eastAsia"/>
          <w:b/>
          <w:bCs/>
          <w:lang w:val="en-US" w:eastAsia="zh-CN"/>
        </w:rPr>
        <w:t>预失真算法设计</w:t>
      </w:r>
    </w:p>
    <w:p w14:paraId="12AC8E32">
      <w:pPr>
        <w:pStyle w:val="2"/>
        <w:numPr>
          <w:numId w:val="0"/>
        </w:numPr>
        <w:ind w:left="420" w:leftChars="0" w:firstLine="420" w:firstLineChars="0"/>
        <w:jc w:val="both"/>
        <w:rPr>
          <w:rFonts w:hint="eastAsia"/>
          <w:lang w:val="en-US" w:eastAsia="zh-CN"/>
        </w:rPr>
      </w:pPr>
      <w:r>
        <w:rPr>
          <w:rFonts w:hint="eastAsia"/>
          <w:lang w:val="en-US" w:eastAsia="zh-CN"/>
        </w:rPr>
        <w:t>基于上述建模结果，设计结构灵活、精度可调的预失真补偿算法。研究结合信号特征的稀疏性与可分解性，构建稀疏映射、子带分解、分布式学习等优化策略，显著降低模型参数量与计算复杂度。同时，考虑到通信终端资源受限，探索轻量化预失真模型（如压缩感知思想、低秩近似等），确保算法具备实时性与硬件可实现性。研究基于频谱掩盖与误差向量幅度（EVM）联合优化的损失函数设计，提升预失真效果在不同业务模式下的鲁棒性。</w:t>
      </w:r>
    </w:p>
    <w:p w14:paraId="404F90D2">
      <w:pPr>
        <w:pStyle w:val="2"/>
        <w:numPr>
          <w:ilvl w:val="0"/>
          <w:numId w:val="12"/>
        </w:numPr>
        <w:tabs>
          <w:tab w:val="clear" w:pos="420"/>
        </w:tabs>
        <w:ind w:left="840" w:leftChars="0" w:hanging="420" w:firstLineChars="0"/>
        <w:jc w:val="both"/>
        <w:rPr>
          <w:rFonts w:hint="eastAsia"/>
          <w:lang w:val="en-US" w:eastAsia="zh-CN"/>
        </w:rPr>
      </w:pPr>
      <w:r>
        <w:rPr>
          <w:rFonts w:hint="eastAsia"/>
          <w:b/>
          <w:bCs/>
          <w:lang w:val="en-US" w:eastAsia="zh-CN"/>
        </w:rPr>
        <w:t>自适应更新机制</w:t>
      </w:r>
    </w:p>
    <w:p w14:paraId="4B9B1255">
      <w:pPr>
        <w:pStyle w:val="2"/>
        <w:numPr>
          <w:numId w:val="0"/>
        </w:numPr>
        <w:ind w:left="420" w:leftChars="0" w:firstLine="420" w:firstLineChars="0"/>
        <w:jc w:val="both"/>
        <w:rPr>
          <w:rFonts w:hint="eastAsia"/>
          <w:lang w:val="en-US" w:eastAsia="zh-CN"/>
        </w:rPr>
      </w:pPr>
      <w:r>
        <w:rPr>
          <w:rFonts w:hint="eastAsia"/>
          <w:lang w:val="en-US" w:eastAsia="zh-CN"/>
        </w:rPr>
        <w:t>通过采集发射输出与理想基带信号，构建误差信号驱动的自适应更新框架，研究LMS、RLS、深度强化学习等算法在动态调整预失真参数中的适应性与收敛性，提升系统对功放老化、环境变化等动态因素的长期稳定补偿能力。</w:t>
      </w:r>
    </w:p>
    <w:p w14:paraId="20FC567A">
      <w:pPr>
        <w:pStyle w:val="2"/>
        <w:numPr>
          <w:ilvl w:val="0"/>
          <w:numId w:val="9"/>
        </w:numPr>
        <w:tabs>
          <w:tab w:val="clear" w:pos="420"/>
        </w:tabs>
        <w:ind w:left="845" w:leftChars="0" w:hanging="425" w:firstLineChars="0"/>
        <w:rPr>
          <w:rFonts w:hint="default"/>
          <w:b/>
          <w:bCs/>
          <w:lang w:val="en-US" w:eastAsia="zh-CN"/>
        </w:rPr>
      </w:pPr>
      <w:r>
        <w:rPr>
          <w:rFonts w:hint="eastAsia"/>
          <w:b/>
          <w:bCs/>
          <w:lang w:val="en-US" w:eastAsia="zh-CN"/>
        </w:rPr>
        <w:t>收端非线性建模</w:t>
      </w:r>
    </w:p>
    <w:p w14:paraId="1F7D20C8">
      <w:pPr>
        <w:pStyle w:val="2"/>
        <w:numPr>
          <w:numId w:val="0"/>
        </w:numPr>
        <w:ind w:left="420" w:leftChars="0"/>
        <w:jc w:val="center"/>
      </w:pPr>
      <w:r>
        <w:drawing>
          <wp:inline distT="0" distB="0" distL="114300" distR="114300">
            <wp:extent cx="5392420" cy="2747645"/>
            <wp:effectExtent l="0" t="0" r="17780" b="20955"/>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92420" cy="2747645"/>
                    </a:xfrm>
                    <a:prstGeom prst="rect">
                      <a:avLst/>
                    </a:prstGeom>
                  </pic:spPr>
                </pic:pic>
              </a:graphicData>
            </a:graphic>
          </wp:inline>
        </w:drawing>
      </w:r>
    </w:p>
    <w:p w14:paraId="43F3ADDB">
      <w:pPr>
        <w:pStyle w:val="2"/>
        <w:numPr>
          <w:numId w:val="0"/>
        </w:numPr>
        <w:ind w:left="420" w:leftChars="0"/>
        <w:jc w:val="center"/>
        <w:rPr>
          <w:rFonts w:hint="default" w:eastAsia="仿宋_GB2312"/>
          <w:lang w:val="en-US" w:eastAsia="zh-CN"/>
        </w:rPr>
      </w:pPr>
      <w:r>
        <w:rPr>
          <w:rFonts w:hint="eastAsia"/>
          <w:lang w:val="en-US" w:eastAsia="zh-CN"/>
        </w:rPr>
        <w:t>图2:非线性均衡</w:t>
      </w:r>
    </w:p>
    <w:p w14:paraId="72DFA4AB">
      <w:pPr>
        <w:pStyle w:val="2"/>
        <w:numPr>
          <w:ilvl w:val="0"/>
          <w:numId w:val="0"/>
        </w:numPr>
        <w:ind w:left="420" w:leftChars="0" w:firstLine="420" w:firstLineChars="0"/>
        <w:jc w:val="both"/>
        <w:rPr>
          <w:rFonts w:hint="eastAsia"/>
          <w:lang w:val="en-US" w:eastAsia="zh-CN"/>
        </w:rPr>
      </w:pPr>
      <w:r>
        <w:rPr>
          <w:rFonts w:hint="eastAsia"/>
          <w:lang w:val="en-US" w:eastAsia="zh-CN"/>
        </w:rPr>
        <w:t>为提升无线通信系统在复杂信道、硬件非理想等环境下的鲁棒性与信号恢复精度，本项目聚焦于“收端非线性建模技术”，旨在建立精确刻画接收链路中非线性畸变特征的数学与数据驱动模型，结合先进补偿算法，提升信号解调准确率与系统整体性能。技术路线分为非线性失真分析、建模方法设计、联合均衡补偿、软硬协同优化四个阶段展开。</w:t>
      </w:r>
    </w:p>
    <w:p w14:paraId="455DF86B">
      <w:pPr>
        <w:pStyle w:val="2"/>
        <w:numPr>
          <w:ilvl w:val="0"/>
          <w:numId w:val="13"/>
        </w:numPr>
        <w:ind w:left="840" w:leftChars="0" w:hanging="420" w:firstLineChars="0"/>
        <w:jc w:val="both"/>
        <w:rPr>
          <w:rFonts w:hint="eastAsia"/>
          <w:lang w:val="en-US" w:eastAsia="zh-CN"/>
        </w:rPr>
      </w:pPr>
      <w:r>
        <w:rPr>
          <w:rFonts w:hint="eastAsia"/>
          <w:b/>
          <w:bCs/>
          <w:lang w:val="en-US" w:eastAsia="zh-CN"/>
        </w:rPr>
        <w:t>非线性失真分析</w:t>
      </w:r>
    </w:p>
    <w:p w14:paraId="265717CE">
      <w:pPr>
        <w:pStyle w:val="2"/>
        <w:numPr>
          <w:ilvl w:val="0"/>
          <w:numId w:val="0"/>
        </w:numPr>
        <w:ind w:left="420" w:leftChars="0" w:firstLine="420" w:firstLineChars="0"/>
        <w:jc w:val="both"/>
        <w:rPr>
          <w:rFonts w:hint="eastAsia"/>
          <w:lang w:val="en-US" w:eastAsia="zh-CN"/>
        </w:rPr>
      </w:pPr>
      <w:r>
        <w:rPr>
          <w:rFonts w:hint="eastAsia"/>
          <w:lang w:val="en-US" w:eastAsia="zh-CN"/>
        </w:rPr>
        <w:t>系统分析接收链路中的非线性失真源，包括射频前端（如低噪声放大器LNA的饱和、混频器交调、ADC量化饱和等）与信道本身的非线性影响（如器件非理想、强干扰引入的非线性效应等）。结合实际硬件测试数据与仿真平台，研究不同失真源对通信信号在时域、频域、星座图等特征维度的具体影响，提取关键非线性特征，为后续建模提供依据。</w:t>
      </w:r>
    </w:p>
    <w:p w14:paraId="7B7C02AF">
      <w:pPr>
        <w:pStyle w:val="2"/>
        <w:numPr>
          <w:ilvl w:val="0"/>
          <w:numId w:val="13"/>
        </w:numPr>
        <w:ind w:left="840" w:leftChars="0" w:hanging="420" w:firstLineChars="0"/>
        <w:jc w:val="both"/>
        <w:rPr>
          <w:rFonts w:hint="eastAsia"/>
          <w:lang w:val="en-US" w:eastAsia="zh-CN"/>
        </w:rPr>
      </w:pPr>
      <w:r>
        <w:rPr>
          <w:rFonts w:hint="eastAsia"/>
          <w:b/>
          <w:bCs/>
          <w:lang w:val="en-US" w:eastAsia="zh-CN"/>
        </w:rPr>
        <w:t>建模方法设计</w:t>
      </w:r>
    </w:p>
    <w:p w14:paraId="3665DD41">
      <w:pPr>
        <w:pStyle w:val="2"/>
        <w:numPr>
          <w:numId w:val="0"/>
        </w:numPr>
        <w:ind w:left="420" w:leftChars="0" w:firstLine="420" w:firstLineChars="0"/>
        <w:jc w:val="both"/>
        <w:rPr>
          <w:rFonts w:hint="eastAsia"/>
          <w:lang w:val="en-US" w:eastAsia="zh-CN"/>
        </w:rPr>
      </w:pPr>
      <w:r>
        <w:rPr>
          <w:rFonts w:hint="eastAsia"/>
          <w:lang w:val="en-US" w:eastAsia="zh-CN"/>
        </w:rPr>
        <w:t>面向上述特征，设计多层级、可拓展的非线性建模方法。研究基于Volterra序列、记忆多项式、极值理论等数学建模方法，构建物理可解释的白盒模型，提升对常见失真模式的描述能力。同时，结合机器学习与数据驱动方法（如深度神经网络、Transformer、图神经网络GNN等），构建黑盒或灰盒模型，适应更复杂、动态、多域耦合的失真特征，提升建模精度与泛化性。设计融合物理模型先验与数据学习能力的混合建模框架，形成覆盖多场景、多制式的通用性模型体系。</w:t>
      </w:r>
    </w:p>
    <w:p w14:paraId="0CE1403E">
      <w:pPr>
        <w:pStyle w:val="2"/>
        <w:numPr>
          <w:ilvl w:val="0"/>
          <w:numId w:val="13"/>
        </w:numPr>
        <w:ind w:left="840" w:leftChars="0" w:hanging="420" w:firstLineChars="0"/>
        <w:jc w:val="both"/>
        <w:rPr>
          <w:rFonts w:hint="eastAsia"/>
          <w:lang w:val="en-US" w:eastAsia="zh-CN"/>
        </w:rPr>
      </w:pPr>
      <w:r>
        <w:rPr>
          <w:rFonts w:hint="eastAsia"/>
          <w:b/>
          <w:bCs/>
          <w:lang w:val="en-US" w:eastAsia="zh-CN"/>
        </w:rPr>
        <w:t>联合均衡补偿</w:t>
      </w:r>
    </w:p>
    <w:p w14:paraId="65298D15">
      <w:pPr>
        <w:pStyle w:val="2"/>
        <w:numPr>
          <w:ilvl w:val="0"/>
          <w:numId w:val="0"/>
        </w:numPr>
        <w:ind w:left="420" w:leftChars="0" w:firstLine="420" w:firstLineChars="0"/>
        <w:jc w:val="both"/>
        <w:rPr>
          <w:rFonts w:hint="eastAsia"/>
          <w:lang w:val="en-US" w:eastAsia="zh-CN"/>
        </w:rPr>
      </w:pPr>
      <w:r>
        <w:rPr>
          <w:rFonts w:hint="eastAsia"/>
          <w:lang w:val="en-US" w:eastAsia="zh-CN"/>
        </w:rPr>
        <w:t>研究基于非线性建模结果的联合均衡与补偿机制。结合经典均衡算法（ZF、MMSE）与数据驱动模型，构建级联式或端到端联合补偿架构，分别或协同消除线性失真（多径、频偏）与非线性畸变（互调、幅相失真），提升误码率（BER）、误差向量幅度（EVM）等核心指标。同时，探索基于神经网络的端到端鲁棒接收机设计，实现从失真建模到信号恢复的一体化优化。</w:t>
      </w:r>
    </w:p>
    <w:p w14:paraId="2C743007">
      <w:pPr>
        <w:pStyle w:val="2"/>
        <w:ind w:firstLine="420" w:firstLineChars="0"/>
        <w:rPr>
          <w:rFonts w:hint="eastAsia"/>
          <w:b/>
          <w:bCs/>
          <w:lang w:val="en-US" w:eastAsia="zh-CN"/>
        </w:rPr>
      </w:pPr>
      <w:r>
        <w:rPr>
          <w:rFonts w:hint="eastAsia"/>
          <w:b/>
          <w:bCs/>
          <w:lang w:val="en-US" w:eastAsia="zh-CN"/>
        </w:rPr>
        <w:t>研究内容二：轻量化空口AI模型软硬件协同</w:t>
      </w:r>
    </w:p>
    <w:p w14:paraId="73E93E47">
      <w:pPr>
        <w:pStyle w:val="2"/>
        <w:numPr>
          <w:ilvl w:val="0"/>
          <w:numId w:val="14"/>
        </w:numPr>
        <w:ind w:left="845" w:leftChars="0" w:hanging="425" w:firstLineChars="0"/>
        <w:rPr>
          <w:rFonts w:hint="eastAsia"/>
          <w:b/>
          <w:bCs/>
          <w:lang w:val="en-US" w:eastAsia="zh-CN"/>
        </w:rPr>
      </w:pPr>
      <w:r>
        <w:rPr>
          <w:rFonts w:hint="eastAsia"/>
          <w:b/>
          <w:bCs/>
          <w:lang w:val="en-US" w:eastAsia="zh-CN"/>
        </w:rPr>
        <w:t>模型稀疏化剪枝</w:t>
      </w:r>
    </w:p>
    <w:p w14:paraId="524B536E">
      <w:pPr>
        <w:pStyle w:val="2"/>
        <w:numPr>
          <w:ilvl w:val="0"/>
          <w:numId w:val="0"/>
        </w:numPr>
        <w:ind w:left="420" w:leftChars="0" w:firstLine="420" w:firstLineChars="0"/>
        <w:rPr>
          <w:rFonts w:hint="eastAsia"/>
          <w:b w:val="0"/>
          <w:bCs w:val="0"/>
          <w:lang w:val="en-US" w:eastAsia="zh-CN"/>
        </w:rPr>
      </w:pPr>
      <w:r>
        <w:rPr>
          <w:rFonts w:hint="eastAsia"/>
          <w:b w:val="0"/>
          <w:bCs w:val="0"/>
          <w:lang w:val="en-US" w:eastAsia="zh-CN"/>
        </w:rPr>
        <w:t>本项目拟围绕通信领域神经网络在端侧部署的实际需求，研究并设计一套适应通信数据特性与任务需求的模型稀疏剪枝技术路线，以降低模型冗余，提高运算效率与能效比，支撑端侧低算力设备的落地应用。技术路线总体分为四个步骤推进：稀疏性建模、重要性评估、剪枝策略设计、硬件友好化实现。</w:t>
      </w:r>
    </w:p>
    <w:p w14:paraId="6EA8F524">
      <w:pPr>
        <w:pStyle w:val="2"/>
        <w:numPr>
          <w:ilvl w:val="0"/>
          <w:numId w:val="15"/>
        </w:numPr>
        <w:ind w:left="840" w:leftChars="0" w:hanging="420" w:firstLineChars="0"/>
        <w:rPr>
          <w:rFonts w:hint="eastAsia"/>
          <w:b/>
          <w:bCs/>
          <w:lang w:val="en-US" w:eastAsia="zh-CN"/>
        </w:rPr>
      </w:pPr>
      <w:r>
        <w:rPr>
          <w:rFonts w:hint="eastAsia"/>
          <w:b/>
          <w:bCs/>
          <w:lang w:val="en-US" w:eastAsia="zh-CN"/>
        </w:rPr>
        <w:t>通信任务驱动的稀疏性建模</w:t>
      </w:r>
    </w:p>
    <w:p w14:paraId="44194955">
      <w:pPr>
        <w:pStyle w:val="2"/>
        <w:numPr>
          <w:ilvl w:val="0"/>
          <w:numId w:val="0"/>
        </w:numPr>
        <w:ind w:left="420" w:leftChars="0" w:firstLine="420" w:firstLineChars="0"/>
        <w:rPr>
          <w:rFonts w:hint="eastAsia"/>
          <w:b w:val="0"/>
          <w:bCs w:val="0"/>
          <w:lang w:val="en-US" w:eastAsia="zh-CN"/>
        </w:rPr>
      </w:pPr>
      <w:r>
        <w:rPr>
          <w:rFonts w:hint="eastAsia"/>
          <w:b w:val="0"/>
          <w:bCs w:val="0"/>
          <w:lang w:val="en-US" w:eastAsia="zh-CN"/>
        </w:rPr>
        <w:t>与传统视觉、语言领域不同，通信领域模型通常涉及信道状态信息（CSI）、频域矩阵等高度结构化数据，其模型参数冗余不仅存在于通用层（如卷积、全连接），更体现在天线维、时频维、多通道特征冗余。因此，首先构建符合通信领域特性的稀疏性假设模型，包括通道层稀疏、频域稀疏、天线维稀疏等多维结构化稀疏视角，明确剪枝的对象与结构性。</w:t>
      </w:r>
    </w:p>
    <w:p w14:paraId="2C6B3FEE">
      <w:pPr>
        <w:pStyle w:val="2"/>
        <w:numPr>
          <w:ilvl w:val="0"/>
          <w:numId w:val="15"/>
        </w:numPr>
        <w:ind w:left="840" w:leftChars="0" w:hanging="420" w:firstLineChars="0"/>
        <w:rPr>
          <w:rFonts w:hint="eastAsia"/>
          <w:b/>
          <w:bCs/>
          <w:lang w:val="en-US" w:eastAsia="zh-CN"/>
        </w:rPr>
      </w:pPr>
      <w:r>
        <w:rPr>
          <w:rFonts w:hint="eastAsia"/>
          <w:b/>
          <w:bCs/>
          <w:lang w:val="en-US" w:eastAsia="zh-CN"/>
        </w:rPr>
        <w:t>重要性评估机制设计</w:t>
      </w:r>
    </w:p>
    <w:p w14:paraId="30A1A3DD">
      <w:pPr>
        <w:pStyle w:val="2"/>
        <w:numPr>
          <w:ilvl w:val="0"/>
          <w:numId w:val="0"/>
        </w:numPr>
        <w:ind w:left="420" w:leftChars="0" w:firstLine="420" w:firstLineChars="0"/>
        <w:rPr>
          <w:rFonts w:hint="eastAsia"/>
          <w:b w:val="0"/>
          <w:bCs w:val="0"/>
          <w:lang w:val="en-US" w:eastAsia="zh-CN"/>
        </w:rPr>
      </w:pPr>
      <w:r>
        <w:rPr>
          <w:rFonts w:hint="eastAsia"/>
          <w:b w:val="0"/>
          <w:bCs w:val="0"/>
          <w:lang w:val="en-US" w:eastAsia="zh-CN"/>
        </w:rPr>
        <w:t>基于上述稀疏性假设，进一步研究模型中不同参数的重要性量化方法。结合通信任务（如误码率 BER、容量、速率）对精度与鲁棒性要求，设计基于梯度敏感度、权重幅值、激活贡献的综合评分机制，识别低贡献冗余结构，建立剪枝优先级。同时，结合动态训练过程中的稀疏性诱导正则化（如 L1、Group Lasso），逐步显化可剪枝区域。</w:t>
      </w:r>
    </w:p>
    <w:p w14:paraId="48791C2E">
      <w:pPr>
        <w:pStyle w:val="2"/>
        <w:numPr>
          <w:ilvl w:val="0"/>
          <w:numId w:val="15"/>
        </w:numPr>
        <w:ind w:left="840" w:leftChars="0" w:hanging="420" w:firstLineChars="0"/>
        <w:rPr>
          <w:rFonts w:hint="eastAsia"/>
          <w:b/>
          <w:bCs/>
          <w:lang w:val="en-US" w:eastAsia="zh-CN"/>
        </w:rPr>
      </w:pPr>
      <w:r>
        <w:rPr>
          <w:rFonts w:hint="eastAsia"/>
          <w:b/>
          <w:bCs/>
          <w:lang w:val="en-US" w:eastAsia="zh-CN"/>
        </w:rPr>
        <w:t>剪枝策略与训练机制</w:t>
      </w:r>
    </w:p>
    <w:p w14:paraId="52AD4315">
      <w:pPr>
        <w:pStyle w:val="2"/>
        <w:numPr>
          <w:ilvl w:val="0"/>
          <w:numId w:val="0"/>
        </w:numPr>
        <w:ind w:left="420" w:leftChars="0" w:firstLine="420" w:firstLineChars="0"/>
        <w:rPr>
          <w:rFonts w:hint="eastAsia"/>
          <w:b w:val="0"/>
          <w:bCs w:val="0"/>
          <w:lang w:val="en-US" w:eastAsia="zh-CN"/>
        </w:rPr>
      </w:pPr>
      <w:r>
        <w:rPr>
          <w:rFonts w:hint="eastAsia"/>
          <w:b w:val="0"/>
          <w:bCs w:val="0"/>
          <w:lang w:val="en-US" w:eastAsia="zh-CN"/>
        </w:rPr>
        <w:t>设计基于结构化稀疏的分阶段剪枝方案，包括通道剪枝（Channel Pruning）、核剪枝（Kernel Pruning）、块剪枝（Block Pruning）等多粒度方法，按模块、层级、任务敏感性差异灵活选择策略。在剪枝过程中，采用“剪枝-微调-再剪枝”的迭代式训练策略，通过逐步压缩与细粒度恢复，减少一次性剪枝带来的性能突变问题。同时，结合知识蒸馏辅助训练，利用原模型作为教师，指导剪枝后模型保留有效表征能力，降低性能损失。</w:t>
      </w:r>
    </w:p>
    <w:p w14:paraId="0F1182AA">
      <w:pPr>
        <w:pStyle w:val="2"/>
        <w:numPr>
          <w:ilvl w:val="0"/>
          <w:numId w:val="15"/>
        </w:numPr>
        <w:ind w:left="840" w:leftChars="0" w:hanging="420" w:firstLineChars="0"/>
        <w:rPr>
          <w:rFonts w:hint="eastAsia"/>
          <w:b/>
          <w:bCs/>
          <w:lang w:val="en-US" w:eastAsia="zh-CN"/>
        </w:rPr>
      </w:pPr>
      <w:r>
        <w:rPr>
          <w:rFonts w:hint="eastAsia"/>
          <w:b/>
          <w:bCs/>
          <w:lang w:val="en-US" w:eastAsia="zh-CN"/>
        </w:rPr>
        <w:t>硬件友好化稀疏实现</w:t>
      </w:r>
    </w:p>
    <w:p w14:paraId="66CA3FF3">
      <w:pPr>
        <w:pStyle w:val="2"/>
        <w:numPr>
          <w:ilvl w:val="0"/>
          <w:numId w:val="0"/>
        </w:numPr>
        <w:ind w:left="420" w:leftChars="0" w:firstLine="420" w:firstLineChars="0"/>
        <w:rPr>
          <w:rFonts w:hint="eastAsia"/>
          <w:b w:val="0"/>
          <w:bCs w:val="0"/>
          <w:lang w:val="en-US" w:eastAsia="zh-CN"/>
        </w:rPr>
      </w:pPr>
      <w:r>
        <w:rPr>
          <w:rFonts w:hint="eastAsia"/>
          <w:b w:val="0"/>
          <w:bCs w:val="0"/>
          <w:lang w:val="en-US" w:eastAsia="zh-CN"/>
        </w:rPr>
        <w:t>为确保剪枝效果可转化为实际端侧部署收益，研究结合 NPU、FPGA 硬件架构的稀疏张量映射方法，优化稀疏算子（如稀疏 GEMM、稀疏 CONV）在硬件上的并行调度与访存机制，提升稀疏性利用率与计算加速效果。最终形成“结构稀疏—算子稀疏—硬件优化”一体化闭环方案，显著降低模型体积、算力消耗与功耗，支撑端侧实时部署需求。</w:t>
      </w:r>
    </w:p>
    <w:p w14:paraId="3DD80E55">
      <w:pPr>
        <w:pStyle w:val="2"/>
        <w:numPr>
          <w:ilvl w:val="0"/>
          <w:numId w:val="14"/>
        </w:numPr>
        <w:ind w:left="845" w:leftChars="0" w:hanging="425" w:firstLineChars="0"/>
        <w:rPr>
          <w:rFonts w:hint="eastAsia"/>
          <w:b/>
          <w:bCs/>
          <w:lang w:val="en-US" w:eastAsia="zh-CN"/>
        </w:rPr>
      </w:pPr>
      <w:r>
        <w:rPr>
          <w:rFonts w:hint="eastAsia"/>
          <w:b/>
          <w:bCs/>
          <w:lang w:val="en-US" w:eastAsia="zh-CN"/>
        </w:rPr>
        <w:t>低比特精度量化</w:t>
      </w:r>
    </w:p>
    <w:p w14:paraId="46A9CB1D">
      <w:pPr>
        <w:pStyle w:val="2"/>
        <w:numPr>
          <w:ilvl w:val="0"/>
          <w:numId w:val="16"/>
        </w:numPr>
        <w:ind w:left="840" w:leftChars="0" w:hanging="420" w:firstLineChars="0"/>
        <w:rPr>
          <w:rFonts w:hint="eastAsia"/>
          <w:b w:val="0"/>
          <w:bCs w:val="0"/>
          <w:lang w:val="en-US" w:eastAsia="zh-CN"/>
        </w:rPr>
      </w:pPr>
      <w:r>
        <w:rPr>
          <w:rFonts w:hint="eastAsia"/>
          <w:b/>
          <w:bCs/>
          <w:lang w:val="en-US" w:eastAsia="zh-CN"/>
        </w:rPr>
        <w:t>通信数据量化表征研究</w:t>
      </w:r>
    </w:p>
    <w:p w14:paraId="3D69E94C">
      <w:pPr>
        <w:pStyle w:val="2"/>
        <w:numPr>
          <w:ilvl w:val="0"/>
          <w:numId w:val="0"/>
        </w:numPr>
        <w:ind w:left="420" w:leftChars="0" w:firstLine="420" w:firstLineChars="0"/>
        <w:rPr>
          <w:rFonts w:hint="eastAsia"/>
          <w:b w:val="0"/>
          <w:bCs w:val="0"/>
          <w:lang w:val="en-US" w:eastAsia="zh-CN"/>
        </w:rPr>
      </w:pPr>
      <w:r>
        <w:rPr>
          <w:rFonts w:hint="eastAsia"/>
          <w:b w:val="0"/>
          <w:bCs w:val="0"/>
          <w:lang w:val="en-US" w:eastAsia="zh-CN"/>
        </w:rPr>
        <w:t>通信领域数据通常包含复数信号、CSI 矩阵、频域特征等，与 CV/NLP 数据截然不同，存在实虚分离、相位敏感等特点。研究拟构建复数信号专用的量化表示机制，探索实部虚部分离与共享动态区间的方法，避免统一量化带来的失真。此外，研究多尺度数据（天线、频率、时间维）下的统一尺度映射策略，提升数据压缩一致性。</w:t>
      </w:r>
    </w:p>
    <w:p w14:paraId="3FB49655">
      <w:pPr>
        <w:pStyle w:val="2"/>
        <w:numPr>
          <w:ilvl w:val="0"/>
          <w:numId w:val="16"/>
        </w:numPr>
        <w:ind w:left="840" w:leftChars="0" w:hanging="420" w:firstLineChars="0"/>
        <w:rPr>
          <w:rFonts w:hint="eastAsia"/>
          <w:b/>
          <w:bCs/>
          <w:lang w:val="en-US" w:eastAsia="zh-CN"/>
        </w:rPr>
      </w:pPr>
      <w:r>
        <w:rPr>
          <w:rFonts w:hint="eastAsia"/>
          <w:b/>
          <w:bCs/>
          <w:lang w:val="en-US" w:eastAsia="zh-CN"/>
        </w:rPr>
        <w:t>多策略量化方法设计</w:t>
      </w:r>
    </w:p>
    <w:p w14:paraId="17212597">
      <w:pPr>
        <w:pStyle w:val="2"/>
        <w:numPr>
          <w:ilvl w:val="0"/>
          <w:numId w:val="0"/>
        </w:numPr>
        <w:ind w:left="420" w:leftChars="0" w:firstLine="420" w:firstLineChars="0"/>
        <w:rPr>
          <w:rFonts w:hint="eastAsia"/>
          <w:b w:val="0"/>
          <w:bCs w:val="0"/>
          <w:lang w:val="en-US" w:eastAsia="zh-CN"/>
        </w:rPr>
      </w:pPr>
      <w:r>
        <w:rPr>
          <w:rFonts w:hint="eastAsia"/>
          <w:b w:val="0"/>
          <w:bCs w:val="0"/>
          <w:lang w:val="en-US" w:eastAsia="zh-CN"/>
        </w:rPr>
        <w:t>结合通信任务对鲁棒性与精度需求，设计对称、非对称混合的定点量化框架（如 INT8、INT4），研究感知任务特性的动态区间调整策略，提升不同信道环境下模型鲁棒性。进一步探索混合精度量化方案，按层级、模块、任务重要性动态分配比特宽度，形成通信任务感知的多级量化策略。重点研究 BatchNorm、Attention 等特殊结构的量化适配方法，保障压缩后模型推理一致性。</w:t>
      </w:r>
    </w:p>
    <w:p w14:paraId="29CD3DEE">
      <w:pPr>
        <w:pStyle w:val="2"/>
        <w:numPr>
          <w:ilvl w:val="0"/>
          <w:numId w:val="16"/>
        </w:numPr>
        <w:ind w:left="840" w:leftChars="0" w:hanging="420" w:firstLineChars="0"/>
        <w:rPr>
          <w:rFonts w:hint="eastAsia"/>
          <w:b/>
          <w:bCs/>
          <w:lang w:val="en-US" w:eastAsia="zh-CN"/>
        </w:rPr>
      </w:pPr>
      <w:r>
        <w:rPr>
          <w:rFonts w:hint="eastAsia"/>
          <w:b/>
          <w:bCs/>
          <w:lang w:val="en-US" w:eastAsia="zh-CN"/>
        </w:rPr>
        <w:t>训练优化机制</w:t>
      </w:r>
    </w:p>
    <w:p w14:paraId="00927F51">
      <w:pPr>
        <w:pStyle w:val="2"/>
        <w:numPr>
          <w:ilvl w:val="0"/>
          <w:numId w:val="0"/>
        </w:numPr>
        <w:ind w:left="420" w:leftChars="0" w:firstLine="420" w:firstLineChars="0"/>
        <w:rPr>
          <w:rFonts w:hint="eastAsia"/>
          <w:b w:val="0"/>
          <w:bCs w:val="0"/>
          <w:lang w:val="en-US" w:eastAsia="zh-CN"/>
        </w:rPr>
      </w:pPr>
      <w:r>
        <w:rPr>
          <w:rFonts w:hint="eastAsia"/>
          <w:b w:val="0"/>
          <w:bCs w:val="0"/>
          <w:lang w:val="en-US" w:eastAsia="zh-CN"/>
        </w:rPr>
        <w:t>基于感知量化（QAT）与后训练量化（PTQ）结合的思路，构建量化友好训练框架。通过引入量化噪声模拟、伪量化算子、软量化策略，使模型在训练阶段提前适应低比特约束。同时结合知识蒸馏，利用高精度模型辅助指导低比特模型保持表征能力。探索通信特定的误码率（BER）、容量等感知损失函数，提升量化模型的任务鲁棒性。</w:t>
      </w:r>
    </w:p>
    <w:p w14:paraId="1CABEC51">
      <w:pPr>
        <w:pStyle w:val="2"/>
        <w:numPr>
          <w:ilvl w:val="0"/>
          <w:numId w:val="16"/>
        </w:numPr>
        <w:ind w:left="840" w:leftChars="0" w:hanging="420" w:firstLineChars="0"/>
        <w:rPr>
          <w:rFonts w:hint="eastAsia"/>
          <w:b/>
          <w:bCs/>
          <w:lang w:val="en-US" w:eastAsia="zh-CN"/>
        </w:rPr>
      </w:pPr>
      <w:r>
        <w:rPr>
          <w:rFonts w:hint="eastAsia"/>
          <w:b/>
          <w:bCs/>
          <w:lang w:val="en-US" w:eastAsia="zh-CN"/>
        </w:rPr>
        <w:t>硬件部署优化</w:t>
      </w:r>
    </w:p>
    <w:p w14:paraId="1AB08EAC">
      <w:pPr>
        <w:pStyle w:val="2"/>
        <w:numPr>
          <w:ilvl w:val="0"/>
          <w:numId w:val="0"/>
        </w:numPr>
        <w:ind w:left="420" w:leftChars="0" w:firstLine="420" w:firstLineChars="0"/>
        <w:rPr>
          <w:rFonts w:hint="eastAsia"/>
          <w:b w:val="0"/>
          <w:bCs w:val="0"/>
          <w:lang w:val="en-US" w:eastAsia="zh-CN"/>
        </w:rPr>
      </w:pPr>
      <w:r>
        <w:rPr>
          <w:rFonts w:hint="eastAsia"/>
          <w:b w:val="0"/>
          <w:bCs w:val="0"/>
          <w:lang w:val="en-US" w:eastAsia="zh-CN"/>
        </w:rPr>
        <w:t>结合端侧 NPU/FPGA 硬件，研究量化张量的数据对齐、访存优化、算子映射等底层实现，开发面向稀疏-量化联合优化的算子库，提升算力利用率。最终形成一套适用于通信任务、可直接落地的低比特量化模型设计与部署方法，显著降低模型体积、功耗与推理延迟，支撑端侧智能通信需求。</w:t>
      </w:r>
    </w:p>
    <w:p w14:paraId="1F17B199">
      <w:pPr>
        <w:pStyle w:val="2"/>
        <w:numPr>
          <w:ilvl w:val="0"/>
          <w:numId w:val="14"/>
        </w:numPr>
        <w:ind w:left="845" w:leftChars="0" w:hanging="425" w:firstLineChars="0"/>
        <w:rPr>
          <w:rFonts w:hint="eastAsia"/>
          <w:b/>
          <w:bCs/>
          <w:lang w:val="en-US" w:eastAsia="zh-CN"/>
        </w:rPr>
      </w:pPr>
      <w:r>
        <w:rPr>
          <w:rFonts w:hint="eastAsia"/>
          <w:b/>
          <w:bCs/>
          <w:lang w:val="en-US" w:eastAsia="zh-CN"/>
        </w:rPr>
        <w:t>教师学生模型蒸馏</w:t>
      </w:r>
    </w:p>
    <w:p w14:paraId="694C6FA2">
      <w:pPr>
        <w:pStyle w:val="2"/>
        <w:numPr>
          <w:ilvl w:val="0"/>
          <w:numId w:val="17"/>
        </w:numPr>
        <w:ind w:left="840" w:leftChars="0" w:hanging="420" w:firstLineChars="0"/>
        <w:rPr>
          <w:rFonts w:hint="eastAsia"/>
          <w:b w:val="0"/>
          <w:bCs w:val="0"/>
          <w:lang w:val="en-US" w:eastAsia="zh-CN"/>
        </w:rPr>
      </w:pPr>
      <w:r>
        <w:rPr>
          <w:rFonts w:hint="eastAsia"/>
          <w:b/>
          <w:bCs/>
          <w:lang w:val="en-US" w:eastAsia="zh-CN"/>
        </w:rPr>
        <w:t>教师模型构建与知识挖掘</w:t>
      </w:r>
    </w:p>
    <w:p w14:paraId="2E66EF1D">
      <w:pPr>
        <w:pStyle w:val="2"/>
        <w:numPr>
          <w:ilvl w:val="0"/>
          <w:numId w:val="0"/>
        </w:numPr>
        <w:ind w:left="420" w:leftChars="0" w:firstLine="420" w:firstLineChars="0"/>
        <w:rPr>
          <w:rFonts w:hint="eastAsia"/>
          <w:b w:val="0"/>
          <w:bCs w:val="0"/>
          <w:lang w:val="en-US" w:eastAsia="zh-CN"/>
        </w:rPr>
      </w:pPr>
      <w:r>
        <w:rPr>
          <w:rFonts w:hint="eastAsia"/>
          <w:b w:val="0"/>
          <w:bCs w:val="0"/>
          <w:lang w:val="en-US" w:eastAsia="zh-CN"/>
        </w:rPr>
        <w:t>基于大规模、多制式、多场景通信数据，训练高精度、大规模的教师模型，具备全面的信道感知与特征表征能力。重点挖掘中间层特征、时频特征、CSI 空间相关性等隐含信息，明确作为学生模型学习的知识载体，包括输出分布（Soft Targets）、隐层特征（Feature Maps）、注意力权重（Attention Maps）等多维度知识表示。</w:t>
      </w:r>
    </w:p>
    <w:p w14:paraId="087BB4D8">
      <w:pPr>
        <w:pStyle w:val="2"/>
        <w:numPr>
          <w:ilvl w:val="0"/>
          <w:numId w:val="17"/>
        </w:numPr>
        <w:ind w:left="840" w:leftChars="0" w:hanging="420" w:firstLineChars="0"/>
        <w:rPr>
          <w:rFonts w:hint="eastAsia"/>
          <w:b/>
          <w:bCs/>
          <w:lang w:val="en-US" w:eastAsia="zh-CN"/>
        </w:rPr>
      </w:pPr>
      <w:r>
        <w:rPr>
          <w:rFonts w:hint="eastAsia"/>
          <w:b/>
          <w:bCs/>
          <w:lang w:val="en-US" w:eastAsia="zh-CN"/>
        </w:rPr>
        <w:t>蒸馏机制设计</w:t>
      </w:r>
    </w:p>
    <w:p w14:paraId="12786265">
      <w:pPr>
        <w:pStyle w:val="2"/>
        <w:numPr>
          <w:ilvl w:val="0"/>
          <w:numId w:val="0"/>
        </w:numPr>
        <w:ind w:left="420" w:leftChars="0" w:firstLine="420" w:firstLineChars="0"/>
        <w:rPr>
          <w:rFonts w:hint="eastAsia"/>
          <w:b w:val="0"/>
          <w:bCs w:val="0"/>
          <w:lang w:val="en-US" w:eastAsia="zh-CN"/>
        </w:rPr>
      </w:pPr>
      <w:r>
        <w:rPr>
          <w:rFonts w:hint="eastAsia"/>
          <w:b w:val="0"/>
          <w:bCs w:val="0"/>
          <w:lang w:val="en-US" w:eastAsia="zh-CN"/>
        </w:rPr>
        <w:t>研究结合通信特性的多域蒸馏策略，包括频域-时域双域对齐、物理特征与统计特征协同学习等，构建深层特征蒸馏、多尺度信息传递机制。设计温度调节、多目标对齐、多教师融合等策略，提升蒸馏效果在不同信道、不同业务任务下的鲁棒性。探索从 BER、容量等通信指标反向约束蒸馏过程，确保轻量模型保留关键通信性能。</w:t>
      </w:r>
    </w:p>
    <w:p w14:paraId="429800C9">
      <w:pPr>
        <w:pStyle w:val="2"/>
        <w:numPr>
          <w:ilvl w:val="0"/>
          <w:numId w:val="17"/>
        </w:numPr>
        <w:ind w:left="840" w:leftChars="0" w:hanging="420" w:firstLineChars="0"/>
        <w:rPr>
          <w:rFonts w:hint="eastAsia"/>
          <w:b w:val="0"/>
          <w:bCs w:val="0"/>
          <w:lang w:val="en-US" w:eastAsia="zh-CN"/>
        </w:rPr>
      </w:pPr>
      <w:r>
        <w:rPr>
          <w:rFonts w:hint="eastAsia"/>
          <w:b/>
          <w:bCs/>
          <w:lang w:val="en-US" w:eastAsia="zh-CN"/>
        </w:rPr>
        <w:t>多任务联合蒸馏优化</w:t>
      </w:r>
    </w:p>
    <w:p w14:paraId="2F9F9BBC">
      <w:pPr>
        <w:pStyle w:val="2"/>
        <w:numPr>
          <w:ilvl w:val="0"/>
          <w:numId w:val="0"/>
        </w:numPr>
        <w:ind w:left="420" w:leftChars="0" w:firstLine="420" w:firstLineChars="0"/>
        <w:rPr>
          <w:rFonts w:hint="eastAsia"/>
          <w:b w:val="0"/>
          <w:bCs w:val="0"/>
          <w:lang w:val="en-US" w:eastAsia="zh-CN"/>
        </w:rPr>
      </w:pPr>
      <w:r>
        <w:rPr>
          <w:rFonts w:hint="eastAsia"/>
          <w:b w:val="0"/>
          <w:bCs w:val="0"/>
          <w:lang w:val="en-US" w:eastAsia="zh-CN"/>
        </w:rPr>
        <w:t>结合信道建模、CSI 压缩、波束赋形、信号检测等多任务，设计联合蒸馏框架，通过共享特征蒸馏、任务特定蒸馏协同提升模型整体泛化能力，减少不同任务间冲突与偏移。同时，结合剪枝、量化形成协同优化路径，使轻量模型在稀疏、低比特条件下仍具备原任务适应性与鲁棒性。</w:t>
      </w:r>
    </w:p>
    <w:p w14:paraId="0B80BAAE">
      <w:pPr>
        <w:pStyle w:val="2"/>
        <w:numPr>
          <w:ilvl w:val="0"/>
          <w:numId w:val="18"/>
        </w:numPr>
        <w:ind w:left="840" w:leftChars="0" w:hanging="420" w:firstLineChars="0"/>
        <w:rPr>
          <w:rFonts w:hint="eastAsia"/>
          <w:b w:val="0"/>
          <w:bCs w:val="0"/>
          <w:lang w:val="en-US" w:eastAsia="zh-CN"/>
        </w:rPr>
      </w:pPr>
      <w:r>
        <w:rPr>
          <w:rFonts w:hint="eastAsia"/>
          <w:b/>
          <w:bCs/>
          <w:lang w:val="en-US" w:eastAsia="zh-CN"/>
        </w:rPr>
        <w:t>鲁棒性提升与硬件适配</w:t>
      </w:r>
    </w:p>
    <w:p w14:paraId="7945EEEC">
      <w:pPr>
        <w:pStyle w:val="2"/>
        <w:numPr>
          <w:ilvl w:val="0"/>
          <w:numId w:val="0"/>
        </w:numPr>
        <w:ind w:left="420" w:leftChars="0" w:firstLine="420" w:firstLineChars="0"/>
        <w:rPr>
          <w:rFonts w:hint="eastAsia"/>
          <w:b w:val="0"/>
          <w:bCs w:val="0"/>
          <w:lang w:val="en-US" w:eastAsia="zh-CN"/>
        </w:rPr>
      </w:pPr>
      <w:r>
        <w:rPr>
          <w:rFonts w:hint="eastAsia"/>
          <w:b w:val="0"/>
          <w:bCs w:val="0"/>
          <w:lang w:val="en-US" w:eastAsia="zh-CN"/>
        </w:rPr>
        <w:t>研究结合信道动态性、环境变化的自适应蒸馏机制，提升模型面对未见场景的泛化能力与稳健性。结合端侧推理需求，优化蒸馏后模型结构，提升算子并行性、减少推理开销，确保最终模型在低算力环境下稳定运行，支撑智能通信系统实时性与可靠性需求。</w:t>
      </w:r>
    </w:p>
    <w:p w14:paraId="1B926A39">
      <w:pPr>
        <w:pStyle w:val="2"/>
        <w:numPr>
          <w:ilvl w:val="0"/>
          <w:numId w:val="14"/>
        </w:numPr>
        <w:ind w:left="845" w:leftChars="0" w:hanging="425" w:firstLineChars="0"/>
        <w:rPr>
          <w:rFonts w:hint="default"/>
          <w:b/>
          <w:bCs/>
          <w:lang w:val="en-US" w:eastAsia="zh-CN"/>
        </w:rPr>
      </w:pPr>
      <w:r>
        <w:rPr>
          <w:rFonts w:hint="eastAsia"/>
          <w:b/>
          <w:bCs/>
          <w:lang w:val="en-US" w:eastAsia="zh-CN"/>
        </w:rPr>
        <w:t>低秩分解</w:t>
      </w:r>
    </w:p>
    <w:p w14:paraId="07575C0F">
      <w:pPr>
        <w:pStyle w:val="2"/>
        <w:numPr>
          <w:ilvl w:val="0"/>
          <w:numId w:val="19"/>
        </w:numPr>
        <w:ind w:left="840" w:leftChars="0" w:hanging="420" w:firstLineChars="0"/>
        <w:rPr>
          <w:rFonts w:hint="default"/>
          <w:b w:val="0"/>
          <w:bCs w:val="0"/>
          <w:lang w:val="en-US" w:eastAsia="zh-CN"/>
        </w:rPr>
      </w:pPr>
      <w:r>
        <w:rPr>
          <w:rFonts w:hint="default"/>
          <w:b/>
          <w:bCs/>
          <w:lang w:val="en-US" w:eastAsia="zh-CN"/>
        </w:rPr>
        <w:t>低秩性建模与分析</w:t>
      </w:r>
    </w:p>
    <w:p w14:paraId="1014C9F2">
      <w:pPr>
        <w:pStyle w:val="2"/>
        <w:numPr>
          <w:ilvl w:val="0"/>
          <w:numId w:val="0"/>
        </w:numPr>
        <w:ind w:left="420" w:leftChars="0" w:firstLine="420" w:firstLineChars="0"/>
        <w:rPr>
          <w:rFonts w:hint="default"/>
          <w:b w:val="0"/>
          <w:bCs w:val="0"/>
          <w:lang w:val="en-US" w:eastAsia="zh-CN"/>
        </w:rPr>
      </w:pPr>
      <w:r>
        <w:rPr>
          <w:rFonts w:hint="default"/>
          <w:b w:val="0"/>
          <w:bCs w:val="0"/>
          <w:lang w:val="en-US" w:eastAsia="zh-CN"/>
        </w:rPr>
        <w:t>基于通信神经网络的典型结构，分析其权重矩阵（卷积核、全连接层）与特征张量的秩特性，识别存在冗余的高秩区域。结合信道特性（如空时相关性、频域平稳性），构建数学先验模型，明确不同层级（输入、隐藏、输出）的压缩潜力与目标秩估计，形成多层次、分区域的低秩性剖析框架。</w:t>
      </w:r>
    </w:p>
    <w:p w14:paraId="3559C679">
      <w:pPr>
        <w:pStyle w:val="2"/>
        <w:numPr>
          <w:ilvl w:val="0"/>
          <w:numId w:val="20"/>
        </w:numPr>
        <w:ind w:left="840" w:leftChars="0" w:hanging="420" w:firstLineChars="0"/>
        <w:rPr>
          <w:rFonts w:hint="default"/>
          <w:b w:val="0"/>
          <w:bCs w:val="0"/>
          <w:lang w:val="en-US" w:eastAsia="zh-CN"/>
        </w:rPr>
      </w:pPr>
      <w:r>
        <w:rPr>
          <w:rFonts w:hint="default"/>
          <w:b/>
          <w:bCs/>
          <w:lang w:val="en-US" w:eastAsia="zh-CN"/>
        </w:rPr>
        <w:t>分解方法设计与优化</w:t>
      </w:r>
    </w:p>
    <w:p w14:paraId="13099CB9">
      <w:pPr>
        <w:pStyle w:val="2"/>
        <w:numPr>
          <w:ilvl w:val="0"/>
          <w:numId w:val="0"/>
        </w:numPr>
        <w:ind w:left="420" w:leftChars="0" w:firstLine="420" w:firstLineChars="0"/>
        <w:rPr>
          <w:rFonts w:hint="default"/>
          <w:b w:val="0"/>
          <w:bCs w:val="0"/>
          <w:lang w:val="en-US" w:eastAsia="zh-CN"/>
        </w:rPr>
      </w:pPr>
      <w:r>
        <w:rPr>
          <w:rFonts w:hint="default"/>
          <w:b w:val="0"/>
          <w:bCs w:val="0"/>
          <w:lang w:val="en-US" w:eastAsia="zh-CN"/>
        </w:rPr>
        <w:t>基于奇异值分解（SVD）、Tucker 分解、CP 分解等张量分解方法，设计适配通信任务的权重重构方案。结合结构稀疏性与硬件友好性，研究分块矩阵、子空间分解策略，构建分解后稀疏-低秩联合结构。进一步结合训练动态调整，设计渐进式低秩重构机制，避免一次性降秩带来的性能退化。</w:t>
      </w:r>
    </w:p>
    <w:p w14:paraId="7DA0EC0D">
      <w:pPr>
        <w:pStyle w:val="2"/>
        <w:numPr>
          <w:ilvl w:val="0"/>
          <w:numId w:val="21"/>
        </w:numPr>
        <w:ind w:left="840" w:leftChars="0" w:hanging="420" w:firstLineChars="0"/>
        <w:rPr>
          <w:rFonts w:hint="default"/>
          <w:b w:val="0"/>
          <w:bCs w:val="0"/>
          <w:lang w:val="en-US" w:eastAsia="zh-CN"/>
        </w:rPr>
      </w:pPr>
      <w:r>
        <w:rPr>
          <w:rFonts w:hint="default"/>
          <w:b/>
          <w:bCs/>
          <w:lang w:val="en-US" w:eastAsia="zh-CN"/>
        </w:rPr>
        <w:t>训练优化机制</w:t>
      </w:r>
    </w:p>
    <w:p w14:paraId="02BB9486">
      <w:pPr>
        <w:pStyle w:val="2"/>
        <w:numPr>
          <w:ilvl w:val="0"/>
          <w:numId w:val="0"/>
        </w:numPr>
        <w:ind w:left="420" w:leftChars="0" w:firstLine="420" w:firstLineChars="0"/>
        <w:rPr>
          <w:rFonts w:hint="default"/>
          <w:b w:val="0"/>
          <w:bCs w:val="0"/>
          <w:lang w:val="en-US" w:eastAsia="zh-CN"/>
        </w:rPr>
      </w:pPr>
      <w:r>
        <w:rPr>
          <w:rFonts w:hint="default"/>
          <w:b w:val="0"/>
          <w:bCs w:val="0"/>
          <w:lang w:val="en-US" w:eastAsia="zh-CN"/>
        </w:rPr>
        <w:t>结合端到端任务需求，设计低秩正则化约束、鲁棒优化机制，通过训练中动态调整秩分布与误差补偿，保障压缩模型在 CSI 预测、检测等任务下的准确性。研究误差反馈机制、多阶段微调，减少分解过程对通信任务指标的负面影响，提升低秩模型鲁棒性与泛化能力。</w:t>
      </w:r>
    </w:p>
    <w:p w14:paraId="547C97C5">
      <w:pPr>
        <w:pStyle w:val="2"/>
        <w:numPr>
          <w:ilvl w:val="0"/>
          <w:numId w:val="21"/>
        </w:numPr>
        <w:ind w:left="840" w:leftChars="0" w:hanging="420" w:firstLineChars="0"/>
        <w:rPr>
          <w:rFonts w:hint="default"/>
          <w:b w:val="0"/>
          <w:bCs w:val="0"/>
          <w:lang w:val="en-US" w:eastAsia="zh-CN"/>
        </w:rPr>
      </w:pPr>
      <w:r>
        <w:rPr>
          <w:rFonts w:hint="default"/>
          <w:b/>
          <w:bCs/>
          <w:lang w:val="en-US" w:eastAsia="zh-CN"/>
        </w:rPr>
        <w:t>硬件映射与部署实现</w:t>
      </w:r>
    </w:p>
    <w:p w14:paraId="5AFF54B8">
      <w:pPr>
        <w:pStyle w:val="2"/>
        <w:numPr>
          <w:ilvl w:val="0"/>
          <w:numId w:val="0"/>
        </w:numPr>
        <w:ind w:left="420" w:leftChars="0" w:firstLine="420" w:firstLineChars="0"/>
        <w:rPr>
          <w:rFonts w:hint="default"/>
          <w:b w:val="0"/>
          <w:bCs w:val="0"/>
          <w:lang w:val="en-US" w:eastAsia="zh-CN"/>
        </w:rPr>
      </w:pPr>
      <w:r>
        <w:rPr>
          <w:rFonts w:hint="default"/>
          <w:b w:val="0"/>
          <w:bCs w:val="0"/>
          <w:lang w:val="en-US" w:eastAsia="zh-CN"/>
        </w:rPr>
        <w:t>结合 NPU/FPGA 平台，研究张量分解结果的高效映射方法，包括重构张量缓存、矩阵乘法优化、并行调度机制，提升低秩模型在硬件上的实际加速效果。最终形成从模型设计到硬件部署的闭环优化体系，支撑低秩模型在端侧高效运行，满足通信系统实时性与能效比需求。</w:t>
      </w:r>
    </w:p>
    <w:p w14:paraId="69B9C36E">
      <w:pPr>
        <w:pStyle w:val="2"/>
        <w:ind w:firstLine="420" w:firstLineChars="0"/>
        <w:rPr>
          <w:rFonts w:hint="eastAsia"/>
          <w:b/>
          <w:bCs/>
          <w:lang w:val="en-US" w:eastAsia="zh-CN"/>
        </w:rPr>
      </w:pPr>
      <w:r>
        <w:rPr>
          <w:rFonts w:hint="eastAsia"/>
          <w:b/>
          <w:bCs/>
          <w:lang w:val="en-US" w:eastAsia="zh-CN"/>
        </w:rPr>
        <w:t>研究内容三：端侧NPU全链路技术</w:t>
      </w:r>
    </w:p>
    <w:p w14:paraId="76F1A2BB">
      <w:pPr>
        <w:pStyle w:val="2"/>
        <w:numPr>
          <w:ilvl w:val="0"/>
          <w:numId w:val="22"/>
        </w:numPr>
        <w:ind w:left="845" w:leftChars="0" w:hanging="425" w:firstLineChars="0"/>
        <w:rPr>
          <w:rFonts w:hint="eastAsia"/>
          <w:b/>
          <w:bCs/>
          <w:lang w:val="en-US" w:eastAsia="zh-CN"/>
        </w:rPr>
      </w:pPr>
      <w:r>
        <w:rPr>
          <w:rFonts w:hint="eastAsia"/>
          <w:b/>
          <w:bCs/>
          <w:lang w:val="en-US" w:eastAsia="zh-CN"/>
        </w:rPr>
        <w:t>基于数据流的ASIC方案</w:t>
      </w:r>
    </w:p>
    <w:p w14:paraId="0B8D4318">
      <w:pPr>
        <w:pStyle w:val="2"/>
        <w:numPr>
          <w:ilvl w:val="0"/>
          <w:numId w:val="0"/>
        </w:numPr>
        <w:ind w:left="420" w:leftChars="0" w:firstLine="420" w:firstLineChars="0"/>
        <w:rPr>
          <w:rFonts w:hint="eastAsia"/>
          <w:b w:val="0"/>
          <w:bCs w:val="0"/>
          <w:lang w:val="en-US" w:eastAsia="zh-CN"/>
        </w:rPr>
      </w:pPr>
      <w:r>
        <w:rPr>
          <w:rFonts w:hint="eastAsia"/>
          <w:b w:val="0"/>
          <w:bCs w:val="0"/>
          <w:lang w:val="en-US" w:eastAsia="zh-CN"/>
        </w:rPr>
        <w:t>针对未来通信 AI 在端侧对实时性、能效比的极致需求，本项目拟构建基于数据流驱动的 ASIC 专用硬件方案，重点解决传统存储主导型计算架构对通信 AI 数据流转效率不足、能效不高的问题。技术路线围绕通信 AI 算子的计算图与数据流特征，系统设计具备强鲁棒性、高并行性与灵活性的硬件架构。</w:t>
      </w:r>
    </w:p>
    <w:p w14:paraId="7FA719AE">
      <w:pPr>
        <w:pStyle w:val="2"/>
        <w:numPr>
          <w:ilvl w:val="0"/>
          <w:numId w:val="23"/>
        </w:numPr>
        <w:ind w:left="840" w:leftChars="0" w:hanging="420" w:firstLineChars="0"/>
        <w:rPr>
          <w:rFonts w:hint="eastAsia"/>
          <w:b w:val="0"/>
          <w:bCs w:val="0"/>
          <w:lang w:val="en-US" w:eastAsia="zh-CN"/>
        </w:rPr>
      </w:pPr>
      <w:r>
        <w:rPr>
          <w:rFonts w:hint="eastAsia"/>
          <w:b/>
          <w:bCs/>
          <w:lang w:val="en-US" w:eastAsia="zh-CN"/>
        </w:rPr>
        <w:t>通信 AI 数据流建模与分析</w:t>
      </w:r>
    </w:p>
    <w:p w14:paraId="10B0DDF3">
      <w:pPr>
        <w:pStyle w:val="2"/>
        <w:numPr>
          <w:ilvl w:val="0"/>
          <w:numId w:val="0"/>
        </w:numPr>
        <w:ind w:left="420" w:leftChars="0" w:firstLine="420" w:firstLineChars="0"/>
        <w:rPr>
          <w:rFonts w:hint="eastAsia"/>
          <w:b w:val="0"/>
          <w:bCs w:val="0"/>
          <w:lang w:val="en-US" w:eastAsia="zh-CN"/>
        </w:rPr>
      </w:pPr>
      <w:r>
        <w:rPr>
          <w:rFonts w:hint="eastAsia"/>
          <w:b w:val="0"/>
          <w:bCs w:val="0"/>
          <w:lang w:val="en-US" w:eastAsia="zh-CN"/>
        </w:rPr>
        <w:t>结合通信 AI 模型（如信道估计、波束赋形、信号检测等）的张量特征，系统梳理模型数据流动路径与依赖关系，抽象跨时频域、天线域、子载波等数据的复用模式与稀疏特征。基于数据流驱动方法，建立计算图调度模型，明确数据切片粒度、节点间同步关系与复用策略，形成面向物理实现可落地的设计蓝图。</w:t>
      </w:r>
    </w:p>
    <w:p w14:paraId="37F4DD14">
      <w:pPr>
        <w:pStyle w:val="2"/>
        <w:numPr>
          <w:ilvl w:val="0"/>
          <w:numId w:val="24"/>
        </w:numPr>
        <w:ind w:left="840" w:leftChars="0" w:hanging="420" w:firstLineChars="0"/>
        <w:rPr>
          <w:rFonts w:hint="eastAsia"/>
          <w:b w:val="0"/>
          <w:bCs w:val="0"/>
          <w:lang w:val="en-US" w:eastAsia="zh-CN"/>
        </w:rPr>
      </w:pPr>
      <w:r>
        <w:rPr>
          <w:rFonts w:hint="eastAsia"/>
          <w:b/>
          <w:bCs/>
          <w:lang w:val="en-US" w:eastAsia="zh-CN"/>
        </w:rPr>
        <w:t>数据流导向的架构设计</w:t>
      </w:r>
    </w:p>
    <w:p w14:paraId="2DF245EE">
      <w:pPr>
        <w:pStyle w:val="2"/>
        <w:numPr>
          <w:ilvl w:val="0"/>
          <w:numId w:val="0"/>
        </w:numPr>
        <w:ind w:left="420" w:leftChars="0" w:firstLine="420" w:firstLineChars="0"/>
        <w:rPr>
          <w:rFonts w:hint="eastAsia"/>
          <w:b w:val="0"/>
          <w:bCs w:val="0"/>
          <w:lang w:val="en-US" w:eastAsia="zh-CN"/>
        </w:rPr>
      </w:pPr>
      <w:r>
        <w:rPr>
          <w:rFonts w:hint="eastAsia"/>
          <w:b w:val="0"/>
          <w:bCs w:val="0"/>
          <w:lang w:val="en-US" w:eastAsia="zh-CN"/>
        </w:rPr>
        <w:t>围绕数据流连续性、局部性，设计片上高效数据流驱动计算单元（如张量乘法阵列、稀疏矩阵引擎、FFT 加速模块），构建支持高度流水、跨层调度的硬件架构，结合多核并行、多片协同设计方法，提升吞吐与能效比。片上互联采用高带宽、低延迟的网络拓扑（如Mesh/NoC），优化跨算子、跨模块数据流转，减少访存冗余与延迟。</w:t>
      </w:r>
    </w:p>
    <w:p w14:paraId="318EEB93">
      <w:pPr>
        <w:pStyle w:val="2"/>
        <w:numPr>
          <w:ilvl w:val="0"/>
          <w:numId w:val="25"/>
        </w:numPr>
        <w:ind w:left="840" w:leftChars="0" w:hanging="420" w:firstLineChars="0"/>
        <w:rPr>
          <w:rFonts w:hint="eastAsia"/>
          <w:b w:val="0"/>
          <w:bCs w:val="0"/>
          <w:lang w:val="en-US" w:eastAsia="zh-CN"/>
        </w:rPr>
      </w:pPr>
      <w:r>
        <w:rPr>
          <w:rFonts w:hint="eastAsia"/>
          <w:b/>
          <w:bCs/>
          <w:lang w:val="en-US" w:eastAsia="zh-CN"/>
        </w:rPr>
        <w:t>数据流感知的可重配置机制</w:t>
      </w:r>
    </w:p>
    <w:p w14:paraId="3F4E9549">
      <w:pPr>
        <w:pStyle w:val="2"/>
        <w:numPr>
          <w:ilvl w:val="0"/>
          <w:numId w:val="0"/>
        </w:numPr>
        <w:ind w:left="420" w:leftChars="0" w:firstLine="420" w:firstLineChars="0"/>
        <w:rPr>
          <w:rFonts w:hint="eastAsia"/>
          <w:b w:val="0"/>
          <w:bCs w:val="0"/>
          <w:lang w:val="en-US" w:eastAsia="zh-CN"/>
        </w:rPr>
      </w:pPr>
      <w:r>
        <w:rPr>
          <w:rFonts w:hint="eastAsia"/>
          <w:b w:val="0"/>
          <w:bCs w:val="0"/>
          <w:lang w:val="en-US" w:eastAsia="zh-CN"/>
        </w:rPr>
        <w:t>针对通信多场景、多业务动态变化特性，设计支持任务调度、数据路由、算子映射灵活切换的数据流调度机制，提升架构对模型版本演进与不同场景（MIMO、多制式、动态频谱）的适应能力，形成具备长期生命力的可持续架构基础。</w:t>
      </w:r>
    </w:p>
    <w:p w14:paraId="7E0EAFA2">
      <w:pPr>
        <w:pStyle w:val="2"/>
        <w:numPr>
          <w:ilvl w:val="0"/>
          <w:numId w:val="26"/>
        </w:numPr>
        <w:ind w:left="840" w:leftChars="0" w:hanging="420" w:firstLineChars="0"/>
        <w:rPr>
          <w:rFonts w:hint="eastAsia"/>
          <w:b/>
          <w:bCs/>
          <w:lang w:val="en-US" w:eastAsia="zh-CN"/>
        </w:rPr>
      </w:pPr>
      <w:r>
        <w:rPr>
          <w:rFonts w:hint="eastAsia"/>
          <w:b/>
          <w:bCs/>
          <w:lang w:val="en-US" w:eastAsia="zh-CN"/>
        </w:rPr>
        <w:t>物理设计与能效优化</w:t>
      </w:r>
    </w:p>
    <w:p w14:paraId="0B0D678A">
      <w:pPr>
        <w:pStyle w:val="2"/>
        <w:numPr>
          <w:ilvl w:val="0"/>
          <w:numId w:val="0"/>
        </w:numPr>
        <w:ind w:left="420" w:leftChars="0" w:firstLine="420" w:firstLineChars="0"/>
        <w:rPr>
          <w:rFonts w:hint="eastAsia"/>
          <w:b w:val="0"/>
          <w:bCs w:val="0"/>
          <w:lang w:val="en-US" w:eastAsia="zh-CN"/>
        </w:rPr>
      </w:pPr>
      <w:r>
        <w:rPr>
          <w:rFonts w:hint="eastAsia"/>
          <w:b w:val="0"/>
          <w:bCs w:val="0"/>
          <w:lang w:val="en-US" w:eastAsia="zh-CN"/>
        </w:rPr>
        <w:t>结合上述数据流架构特性，开展布图规划、功耗建模、时序分析等低功耗设计技术研究，优化数据通路长度、缓冲分布、能效管控机制，确保在面积、功耗、时序等层面具备实际可行性。最终形成支持通信 AI 全场景应用的专用 ASIC 方案，显著提升吞吐、降低功耗，满足未来 6G 等高能效通信系统对智能计算的需求。</w:t>
      </w:r>
    </w:p>
    <w:p w14:paraId="6DB37AB2">
      <w:pPr>
        <w:pStyle w:val="2"/>
        <w:numPr>
          <w:ilvl w:val="0"/>
          <w:numId w:val="22"/>
        </w:numPr>
        <w:ind w:left="845" w:leftChars="0" w:hanging="425" w:firstLineChars="0"/>
        <w:rPr>
          <w:rFonts w:hint="eastAsia"/>
          <w:b/>
          <w:bCs/>
          <w:lang w:val="en-US" w:eastAsia="zh-CN"/>
        </w:rPr>
      </w:pPr>
      <w:r>
        <w:rPr>
          <w:rFonts w:hint="eastAsia"/>
          <w:b/>
          <w:bCs/>
          <w:lang w:val="en-US" w:eastAsia="zh-CN"/>
        </w:rPr>
        <w:t>Future</w:t>
      </w:r>
      <w:r>
        <w:rPr>
          <w:rFonts w:hint="default"/>
          <w:b/>
          <w:bCs/>
          <w:lang w:val="en-US" w:eastAsia="zh-CN"/>
        </w:rPr>
        <w:t>-Proof</w:t>
      </w:r>
      <w:r>
        <w:rPr>
          <w:rFonts w:hint="eastAsia"/>
          <w:b/>
          <w:bCs/>
          <w:lang w:val="en-US" w:eastAsia="zh-CN"/>
        </w:rPr>
        <w:t>的算子完备</w:t>
      </w:r>
    </w:p>
    <w:p w14:paraId="7BF0C06E">
      <w:pPr>
        <w:pStyle w:val="2"/>
        <w:numPr>
          <w:ilvl w:val="0"/>
          <w:numId w:val="0"/>
        </w:numPr>
        <w:ind w:left="420" w:leftChars="0" w:firstLine="420" w:firstLineChars="0"/>
        <w:rPr>
          <w:rFonts w:hint="eastAsia"/>
          <w:b w:val="0"/>
          <w:bCs w:val="0"/>
          <w:lang w:val="en-US" w:eastAsia="zh-CN"/>
        </w:rPr>
      </w:pPr>
      <w:r>
        <w:rPr>
          <w:rFonts w:hint="eastAsia"/>
          <w:b w:val="0"/>
          <w:bCs w:val="0"/>
          <w:lang w:val="en-US" w:eastAsia="zh-CN"/>
        </w:rPr>
        <w:t>面向未来通信 AI 模型多样化、不断演进的特点，本项目设计具备 Future-Proof 能力的算子完备体系，确保硬件平台长期兼容性与扩展性，降低未来模型变迁带来的硬件更新成本。该路线围绕通信 AI 任务所需算子全生命周期管理展开，涵盖算子归纳标准化、类型扩展、模板参数化、软硬一体化适配等核心方向。</w:t>
      </w:r>
    </w:p>
    <w:p w14:paraId="00AFBC31">
      <w:pPr>
        <w:pStyle w:val="2"/>
        <w:numPr>
          <w:ilvl w:val="0"/>
          <w:numId w:val="0"/>
        </w:numPr>
        <w:ind w:left="420" w:leftChars="0" w:firstLine="420" w:firstLineChars="0"/>
        <w:jc w:val="center"/>
      </w:pPr>
      <w:r>
        <w:drawing>
          <wp:inline distT="0" distB="0" distL="114300" distR="114300">
            <wp:extent cx="5127625" cy="3157220"/>
            <wp:effectExtent l="0" t="0" r="3175" b="17780"/>
            <wp:docPr id="6" name="图片 5" descr="Future-Proof算子完备.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Future-Proof算子完备.drawio"/>
                    <pic:cNvPicPr>
                      <a:picLocks noChangeAspect="1"/>
                    </pic:cNvPicPr>
                  </pic:nvPicPr>
                  <pic:blipFill>
                    <a:blip r:embed="rId11"/>
                    <a:stretch>
                      <a:fillRect/>
                    </a:stretch>
                  </pic:blipFill>
                  <pic:spPr>
                    <a:xfrm>
                      <a:off x="0" y="0"/>
                      <a:ext cx="5127625" cy="3157220"/>
                    </a:xfrm>
                    <a:prstGeom prst="rect">
                      <a:avLst/>
                    </a:prstGeom>
                  </pic:spPr>
                </pic:pic>
              </a:graphicData>
            </a:graphic>
          </wp:inline>
        </w:drawing>
      </w:r>
    </w:p>
    <w:p w14:paraId="069C90DC">
      <w:pPr>
        <w:pStyle w:val="2"/>
        <w:numPr>
          <w:ilvl w:val="0"/>
          <w:numId w:val="0"/>
        </w:numPr>
        <w:ind w:left="420" w:leftChars="0" w:firstLine="420" w:firstLineChars="0"/>
        <w:jc w:val="center"/>
        <w:rPr>
          <w:rFonts w:hint="default" w:eastAsia="仿宋_GB2312"/>
          <w:lang w:val="en-US" w:eastAsia="zh-CN"/>
        </w:rPr>
      </w:pPr>
      <w:r>
        <w:rPr>
          <w:rFonts w:hint="eastAsia"/>
          <w:lang w:val="en-US" w:eastAsia="zh-CN"/>
        </w:rPr>
        <w:t>图3：算子完备</w:t>
      </w:r>
    </w:p>
    <w:p w14:paraId="423DF324">
      <w:pPr>
        <w:pStyle w:val="2"/>
        <w:numPr>
          <w:ilvl w:val="0"/>
          <w:numId w:val="27"/>
        </w:numPr>
        <w:ind w:left="840" w:leftChars="0" w:hanging="420" w:firstLineChars="0"/>
        <w:rPr>
          <w:rFonts w:hint="eastAsia"/>
          <w:b w:val="0"/>
          <w:bCs w:val="0"/>
          <w:lang w:val="en-US" w:eastAsia="zh-CN"/>
        </w:rPr>
      </w:pPr>
      <w:r>
        <w:rPr>
          <w:rFonts w:hint="eastAsia"/>
          <w:b/>
          <w:bCs/>
          <w:lang w:val="en-US" w:eastAsia="zh-CN"/>
        </w:rPr>
        <w:t>空口 AI 核心算子梳理与标准化抽象</w:t>
      </w:r>
    </w:p>
    <w:p w14:paraId="0C6D3CBA">
      <w:pPr>
        <w:pStyle w:val="2"/>
        <w:numPr>
          <w:ilvl w:val="0"/>
          <w:numId w:val="0"/>
        </w:numPr>
        <w:ind w:left="420" w:leftChars="0" w:firstLine="420" w:firstLineChars="0"/>
        <w:rPr>
          <w:rFonts w:hint="eastAsia"/>
          <w:b w:val="0"/>
          <w:bCs w:val="0"/>
          <w:lang w:val="en-US" w:eastAsia="zh-CN"/>
        </w:rPr>
      </w:pPr>
      <w:r>
        <w:rPr>
          <w:rFonts w:hint="eastAsia"/>
          <w:b w:val="0"/>
          <w:bCs w:val="0"/>
          <w:lang w:val="en-US" w:eastAsia="zh-CN"/>
        </w:rPr>
        <w:t>系统梳理包括信道估计、CSI 压缩、波束赋形、信号检测等任务所涉及的通用基础算子（矩阵乘、FFT、复数运算）与领域特异性算子（稀疏变换、空时协同处理等），制定统一接口规范、数据类型规范（支持复数、定浮混合）、计算精度标准，构建全面覆盖通信空口 AI 基础需求的算子库体系。</w:t>
      </w:r>
    </w:p>
    <w:p w14:paraId="50BC9087">
      <w:pPr>
        <w:pStyle w:val="2"/>
        <w:numPr>
          <w:ilvl w:val="0"/>
          <w:numId w:val="28"/>
        </w:numPr>
        <w:ind w:left="840" w:leftChars="0" w:hanging="420" w:firstLineChars="0"/>
        <w:rPr>
          <w:rFonts w:hint="eastAsia"/>
          <w:b w:val="0"/>
          <w:bCs w:val="0"/>
          <w:lang w:val="en-US" w:eastAsia="zh-CN"/>
        </w:rPr>
      </w:pPr>
      <w:r>
        <w:rPr>
          <w:rFonts w:hint="eastAsia"/>
          <w:b/>
          <w:bCs/>
          <w:lang w:val="en-US" w:eastAsia="zh-CN"/>
        </w:rPr>
        <w:t>算子类型扩展与融合机制设计</w:t>
      </w:r>
    </w:p>
    <w:p w14:paraId="14D50794">
      <w:pPr>
        <w:pStyle w:val="2"/>
        <w:numPr>
          <w:ilvl w:val="0"/>
          <w:numId w:val="0"/>
        </w:numPr>
        <w:ind w:left="420" w:leftChars="0" w:firstLine="420" w:firstLineChars="0"/>
        <w:rPr>
          <w:rFonts w:hint="eastAsia"/>
          <w:b w:val="0"/>
          <w:bCs w:val="0"/>
          <w:lang w:val="en-US" w:eastAsia="zh-CN"/>
        </w:rPr>
      </w:pPr>
      <w:r>
        <w:rPr>
          <w:rFonts w:hint="eastAsia"/>
          <w:b w:val="0"/>
          <w:bCs w:val="0"/>
          <w:lang w:val="en-US" w:eastAsia="zh-CN"/>
        </w:rPr>
        <w:t>基于基础算子（Dense、Sparse、FFT）、高阶算子（Attention、MLP）抽象融合方法，设计面向未来 AI 模型快速扩展的算子组合与重构机制，支持通用算子灵活组合为新型算子，减少因新模型产生的硬件瓶颈。构建模块化、参数化算子模板，提供比特宽度、张量维度、多输入输出等灵活配置，适配不同模型特征。</w:t>
      </w:r>
    </w:p>
    <w:p w14:paraId="387CFE32">
      <w:pPr>
        <w:pStyle w:val="2"/>
        <w:numPr>
          <w:ilvl w:val="0"/>
          <w:numId w:val="28"/>
        </w:numPr>
        <w:ind w:left="840" w:leftChars="0" w:hanging="420" w:firstLineChars="0"/>
        <w:rPr>
          <w:rFonts w:hint="eastAsia"/>
          <w:b/>
          <w:bCs/>
          <w:lang w:val="en-US" w:eastAsia="zh-CN"/>
        </w:rPr>
      </w:pPr>
      <w:r>
        <w:rPr>
          <w:rFonts w:hint="eastAsia"/>
          <w:b/>
          <w:bCs/>
          <w:lang w:val="en-US" w:eastAsia="zh-CN"/>
        </w:rPr>
        <w:t>跨模型、多任务算子参数抽象与标准适配</w:t>
      </w:r>
    </w:p>
    <w:p w14:paraId="0783A7F9">
      <w:pPr>
        <w:pStyle w:val="2"/>
        <w:numPr>
          <w:ilvl w:val="0"/>
          <w:numId w:val="0"/>
        </w:numPr>
        <w:ind w:left="420" w:leftChars="0" w:firstLine="420" w:firstLineChars="0"/>
        <w:rPr>
          <w:rFonts w:hint="eastAsia"/>
          <w:b w:val="0"/>
          <w:bCs w:val="0"/>
          <w:lang w:val="en-US" w:eastAsia="zh-CN"/>
        </w:rPr>
      </w:pPr>
      <w:r>
        <w:rPr>
          <w:rFonts w:hint="eastAsia"/>
          <w:b w:val="0"/>
          <w:bCs w:val="0"/>
          <w:lang w:val="en-US" w:eastAsia="zh-CN"/>
        </w:rPr>
        <w:t>研究不同模型下算子共性与差异性，设计可统一映射的接口标准，形成通用化的算子调用规范与调度策略，保障未来不同模型、不同任务对现有硬件的长期兼容。结合硬件架构，建立算子级版本演进机制，预留扩展空间，支撑未来算法发展需求。</w:t>
      </w:r>
    </w:p>
    <w:p w14:paraId="6C50606C">
      <w:pPr>
        <w:pStyle w:val="2"/>
        <w:numPr>
          <w:ilvl w:val="0"/>
          <w:numId w:val="28"/>
        </w:numPr>
        <w:ind w:left="840" w:leftChars="0" w:hanging="420" w:firstLineChars="0"/>
        <w:rPr>
          <w:rFonts w:hint="eastAsia"/>
          <w:b/>
          <w:bCs/>
          <w:lang w:val="en-US" w:eastAsia="zh-CN"/>
        </w:rPr>
      </w:pPr>
      <w:r>
        <w:rPr>
          <w:rFonts w:hint="eastAsia"/>
          <w:b/>
          <w:bCs/>
          <w:lang w:val="en-US" w:eastAsia="zh-CN"/>
        </w:rPr>
        <w:t>软硬一体化可拓展性机制</w:t>
      </w:r>
    </w:p>
    <w:p w14:paraId="796428FC">
      <w:pPr>
        <w:pStyle w:val="2"/>
        <w:numPr>
          <w:ilvl w:val="0"/>
          <w:numId w:val="0"/>
        </w:numPr>
        <w:ind w:left="420" w:leftChars="0" w:firstLine="420" w:firstLineChars="0"/>
        <w:rPr>
          <w:rFonts w:hint="eastAsia"/>
          <w:b w:val="0"/>
          <w:bCs w:val="0"/>
          <w:lang w:val="en-US" w:eastAsia="zh-CN"/>
        </w:rPr>
      </w:pPr>
      <w:r>
        <w:rPr>
          <w:rFonts w:hint="eastAsia"/>
          <w:b w:val="0"/>
          <w:bCs w:val="0"/>
          <w:lang w:val="en-US" w:eastAsia="zh-CN"/>
        </w:rPr>
        <w:t>设计支持新算子快速集成的软硬件协同机制，形成算子迭代—映射更新—硬件适配闭环，降低后续开发与维护成本，支撑硬件架构长期演进与生态可持续发展。</w:t>
      </w:r>
    </w:p>
    <w:p w14:paraId="117EFDCC">
      <w:pPr>
        <w:pStyle w:val="2"/>
        <w:numPr>
          <w:ilvl w:val="0"/>
          <w:numId w:val="22"/>
        </w:numPr>
        <w:ind w:left="845" w:leftChars="0" w:hanging="425" w:firstLineChars="0"/>
        <w:rPr>
          <w:rFonts w:hint="eastAsia"/>
          <w:b/>
          <w:bCs/>
          <w:lang w:val="en-US" w:eastAsia="zh-CN"/>
        </w:rPr>
      </w:pPr>
      <w:r>
        <w:rPr>
          <w:rFonts w:hint="eastAsia"/>
          <w:b/>
          <w:bCs/>
          <w:lang w:val="en-US" w:eastAsia="zh-CN"/>
        </w:rPr>
        <w:t>先进的架构和微架构设计</w:t>
      </w:r>
    </w:p>
    <w:p w14:paraId="654AEF02">
      <w:pPr>
        <w:pStyle w:val="2"/>
        <w:numPr>
          <w:ilvl w:val="0"/>
          <w:numId w:val="0"/>
        </w:numPr>
        <w:ind w:left="420" w:leftChars="0"/>
        <w:jc w:val="center"/>
      </w:pPr>
      <w:r>
        <w:drawing>
          <wp:inline distT="0" distB="0" distL="114300" distR="114300">
            <wp:extent cx="4751705" cy="2995930"/>
            <wp:effectExtent l="0" t="0" r="23495" b="127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4751705" cy="2995930"/>
                    </a:xfrm>
                    <a:prstGeom prst="rect">
                      <a:avLst/>
                    </a:prstGeom>
                  </pic:spPr>
                </pic:pic>
              </a:graphicData>
            </a:graphic>
          </wp:inline>
        </w:drawing>
      </w:r>
    </w:p>
    <w:p w14:paraId="7ADFE5BC">
      <w:pPr>
        <w:pStyle w:val="2"/>
        <w:numPr>
          <w:ilvl w:val="0"/>
          <w:numId w:val="0"/>
        </w:numPr>
        <w:ind w:left="420" w:leftChars="0"/>
        <w:jc w:val="center"/>
        <w:rPr>
          <w:rFonts w:hint="default" w:eastAsia="仿宋_GB2312"/>
          <w:lang w:val="en-US" w:eastAsia="zh-CN"/>
        </w:rPr>
      </w:pPr>
      <w:r>
        <w:rPr>
          <w:rFonts w:hint="eastAsia"/>
          <w:lang w:val="en-US" w:eastAsia="zh-CN"/>
        </w:rPr>
        <w:t>图4:微架构设计</w:t>
      </w:r>
    </w:p>
    <w:p w14:paraId="3CA5C001">
      <w:pPr>
        <w:pStyle w:val="2"/>
        <w:numPr>
          <w:ilvl w:val="0"/>
          <w:numId w:val="29"/>
        </w:numPr>
        <w:ind w:left="840" w:leftChars="0" w:hanging="420" w:firstLineChars="0"/>
        <w:rPr>
          <w:rFonts w:hint="eastAsia"/>
          <w:b w:val="0"/>
          <w:bCs w:val="0"/>
          <w:lang w:val="en-US" w:eastAsia="zh-CN"/>
        </w:rPr>
      </w:pPr>
      <w:r>
        <w:rPr>
          <w:rFonts w:hint="eastAsia"/>
          <w:b/>
          <w:bCs/>
          <w:lang w:val="en-US" w:eastAsia="zh-CN"/>
        </w:rPr>
        <w:t>通信特化计算单元设计</w:t>
      </w:r>
    </w:p>
    <w:p w14:paraId="7EA7D7FA">
      <w:pPr>
        <w:pStyle w:val="2"/>
        <w:numPr>
          <w:ilvl w:val="0"/>
          <w:numId w:val="0"/>
        </w:numPr>
        <w:ind w:left="420" w:leftChars="0" w:firstLine="420" w:firstLineChars="0"/>
        <w:rPr>
          <w:rFonts w:hint="eastAsia"/>
          <w:b w:val="0"/>
          <w:bCs w:val="0"/>
          <w:lang w:val="en-US" w:eastAsia="zh-CN"/>
        </w:rPr>
      </w:pPr>
      <w:r>
        <w:rPr>
          <w:rFonts w:hint="eastAsia"/>
          <w:b w:val="0"/>
          <w:bCs w:val="0"/>
          <w:lang w:val="en-US" w:eastAsia="zh-CN"/>
        </w:rPr>
        <w:t>结合通信 AI 在信道估计、CSI 恢复、波束赋形等任务中的矩阵计算、复数计算、FFT 变换等密集操作，设计张量驱动的专用 PE（Processing Element）阵列、稀疏矩阵计算核心、FFT 专用引擎等通信特化模块，加速神经网络的向量计算，提升基础算力与数据处理效率，显著优化吞吐与能效比。</w:t>
      </w:r>
    </w:p>
    <w:p w14:paraId="1CCDE80A">
      <w:pPr>
        <w:pStyle w:val="2"/>
        <w:numPr>
          <w:ilvl w:val="0"/>
          <w:numId w:val="29"/>
        </w:numPr>
        <w:ind w:left="840" w:leftChars="0" w:hanging="420" w:firstLineChars="0"/>
        <w:rPr>
          <w:rFonts w:hint="eastAsia"/>
          <w:b w:val="0"/>
          <w:bCs w:val="0"/>
          <w:lang w:val="en-US" w:eastAsia="zh-CN"/>
        </w:rPr>
      </w:pPr>
      <w:r>
        <w:rPr>
          <w:rFonts w:hint="eastAsia"/>
          <w:b/>
          <w:bCs/>
          <w:lang w:val="en-US" w:eastAsia="zh-CN"/>
        </w:rPr>
        <w:t>异构融合与模块协同机制</w:t>
      </w:r>
    </w:p>
    <w:p w14:paraId="652E394A">
      <w:pPr>
        <w:pStyle w:val="2"/>
        <w:numPr>
          <w:ilvl w:val="0"/>
          <w:numId w:val="0"/>
        </w:numPr>
        <w:ind w:left="420" w:leftChars="0" w:firstLine="420" w:firstLineChars="0"/>
        <w:rPr>
          <w:rFonts w:hint="eastAsia"/>
          <w:b w:val="0"/>
          <w:bCs w:val="0"/>
          <w:lang w:val="en-US" w:eastAsia="zh-CN"/>
        </w:rPr>
      </w:pPr>
      <w:r>
        <w:rPr>
          <w:rFonts w:hint="eastAsia"/>
          <w:b w:val="0"/>
          <w:bCs w:val="0"/>
          <w:lang w:val="en-US" w:eastAsia="zh-CN"/>
        </w:rPr>
        <w:t>构建通用计算（GEMM 矩阵乘）与专用加速单元（FFT、稀疏张量等）深度融合的异构架构，设计多核多模块协同调度机制，使用DMA传输机制，高效读写SRAM中的数据，保障数据跨模块无缝传递与复用。支持不同任务算子链灵活映射与共享调度，提升架构整体利用率与灵活性，降低任务延迟与冗余数据流转。</w:t>
      </w:r>
    </w:p>
    <w:p w14:paraId="6BC3D8E7">
      <w:pPr>
        <w:pStyle w:val="2"/>
        <w:numPr>
          <w:ilvl w:val="0"/>
          <w:numId w:val="29"/>
        </w:numPr>
        <w:ind w:left="840" w:leftChars="0" w:hanging="420" w:firstLineChars="0"/>
        <w:rPr>
          <w:rFonts w:hint="eastAsia"/>
          <w:b/>
          <w:bCs/>
          <w:lang w:val="en-US" w:eastAsia="zh-CN"/>
        </w:rPr>
      </w:pPr>
      <w:r>
        <w:rPr>
          <w:rFonts w:hint="eastAsia"/>
          <w:b/>
          <w:bCs/>
          <w:lang w:val="en-US" w:eastAsia="zh-CN"/>
        </w:rPr>
        <w:t>软硬协同接口设计</w:t>
      </w:r>
    </w:p>
    <w:p w14:paraId="530A01E5">
      <w:pPr>
        <w:pStyle w:val="2"/>
        <w:numPr>
          <w:ilvl w:val="0"/>
          <w:numId w:val="0"/>
        </w:numPr>
        <w:ind w:left="420" w:leftChars="0" w:firstLine="420" w:firstLineChars="0"/>
        <w:rPr>
          <w:rFonts w:hint="eastAsia"/>
          <w:b/>
          <w:bCs/>
          <w:lang w:val="en-US" w:eastAsia="zh-CN"/>
        </w:rPr>
      </w:pPr>
      <w:r>
        <w:rPr>
          <w:rFonts w:hint="eastAsia"/>
          <w:b w:val="0"/>
          <w:bCs w:val="0"/>
          <w:lang w:val="en-US" w:eastAsia="zh-CN"/>
        </w:rPr>
        <w:t>研究与软件工具链协同设计的架构抽象层，保障架构在模型演进中具备良好适应性。结合编译器设计，形成自动映射、自动调优机制，支撑未来 AI 模型快速部署，提升架构生命力与生态兼容性。</w:t>
      </w:r>
    </w:p>
    <w:p w14:paraId="1CCF8969">
      <w:pPr>
        <w:pStyle w:val="2"/>
        <w:numPr>
          <w:ilvl w:val="0"/>
          <w:numId w:val="22"/>
        </w:numPr>
        <w:ind w:left="845" w:leftChars="0" w:hanging="425" w:firstLineChars="0"/>
        <w:rPr>
          <w:rFonts w:hint="default"/>
          <w:b/>
          <w:bCs/>
          <w:lang w:val="en-US" w:eastAsia="zh-CN"/>
        </w:rPr>
      </w:pPr>
      <w:r>
        <w:rPr>
          <w:rFonts w:hint="eastAsia"/>
          <w:b/>
          <w:bCs/>
          <w:lang w:val="en-US" w:eastAsia="zh-CN"/>
        </w:rPr>
        <w:t>硬件设计高度耦合的先进软件工具链</w:t>
      </w:r>
    </w:p>
    <w:p w14:paraId="6F3BF827">
      <w:pPr>
        <w:pStyle w:val="2"/>
        <w:numPr>
          <w:ilvl w:val="0"/>
          <w:numId w:val="0"/>
        </w:numPr>
        <w:jc w:val="center"/>
      </w:pPr>
      <w:r>
        <w:drawing>
          <wp:inline distT="0" distB="0" distL="114300" distR="114300">
            <wp:extent cx="5063490" cy="2646680"/>
            <wp:effectExtent l="0" t="0" r="16510" b="20320"/>
            <wp:docPr id="8" name="图片 7" descr="空口AI-与硬件设计高度耦合的先进的软件工具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descr="空口AI-与硬件设计高度耦合的先进的软件工具链.drawio"/>
                    <pic:cNvPicPr>
                      <a:picLocks noChangeAspect="1"/>
                    </pic:cNvPicPr>
                  </pic:nvPicPr>
                  <pic:blipFill>
                    <a:blip r:embed="rId13"/>
                    <a:stretch>
                      <a:fillRect/>
                    </a:stretch>
                  </pic:blipFill>
                  <pic:spPr>
                    <a:xfrm>
                      <a:off x="0" y="0"/>
                      <a:ext cx="5063490" cy="2646680"/>
                    </a:xfrm>
                    <a:prstGeom prst="rect">
                      <a:avLst/>
                    </a:prstGeom>
                  </pic:spPr>
                </pic:pic>
              </a:graphicData>
            </a:graphic>
          </wp:inline>
        </w:drawing>
      </w:r>
    </w:p>
    <w:p w14:paraId="2597360C">
      <w:pPr>
        <w:pStyle w:val="2"/>
        <w:numPr>
          <w:ilvl w:val="0"/>
          <w:numId w:val="0"/>
        </w:numPr>
        <w:jc w:val="center"/>
        <w:rPr>
          <w:rFonts w:hint="default" w:eastAsia="仿宋_GB2312"/>
          <w:lang w:val="en-US" w:eastAsia="zh-CN"/>
        </w:rPr>
      </w:pPr>
      <w:r>
        <w:rPr>
          <w:rFonts w:hint="eastAsia"/>
          <w:lang w:val="en-US" w:eastAsia="zh-CN"/>
        </w:rPr>
        <w:t>图</w:t>
      </w:r>
      <w:r>
        <w:rPr>
          <w:rFonts w:hint="default"/>
          <w:lang w:val="en-US" w:eastAsia="zh-CN"/>
        </w:rPr>
        <w:t>3</w:t>
      </w:r>
      <w:r>
        <w:rPr>
          <w:rFonts w:hint="eastAsia"/>
          <w:lang w:val="en-US" w:eastAsia="zh-CN"/>
        </w:rPr>
        <w:t>:与硬件设计高度耦合的软件工具链</w:t>
      </w:r>
    </w:p>
    <w:p w14:paraId="04F07A6E">
      <w:pPr>
        <w:pStyle w:val="2"/>
        <w:numPr>
          <w:ilvl w:val="0"/>
          <w:numId w:val="0"/>
        </w:numPr>
        <w:ind w:left="420" w:leftChars="0"/>
        <w:rPr>
          <w:rFonts w:hint="default"/>
          <w:b w:val="0"/>
          <w:bCs w:val="0"/>
          <w:lang w:val="en-US" w:eastAsia="zh-CN"/>
        </w:rPr>
      </w:pPr>
    </w:p>
    <w:p w14:paraId="74696FA0">
      <w:pPr>
        <w:pStyle w:val="2"/>
        <w:numPr>
          <w:ilvl w:val="0"/>
          <w:numId w:val="30"/>
        </w:numPr>
        <w:ind w:left="840" w:leftChars="0" w:hanging="420" w:firstLineChars="0"/>
        <w:rPr>
          <w:rFonts w:hint="default"/>
          <w:b/>
          <w:bCs/>
          <w:lang w:val="en-US" w:eastAsia="zh-CN"/>
        </w:rPr>
      </w:pPr>
      <w:r>
        <w:rPr>
          <w:rFonts w:hint="default"/>
          <w:b/>
          <w:bCs/>
          <w:lang w:val="en-US" w:eastAsia="zh-CN"/>
        </w:rPr>
        <w:t>通信 AI 专用编译器设计</w:t>
      </w:r>
    </w:p>
    <w:p w14:paraId="17BF470A">
      <w:pPr>
        <w:pStyle w:val="2"/>
        <w:numPr>
          <w:ilvl w:val="0"/>
          <w:numId w:val="0"/>
        </w:numPr>
        <w:ind w:left="420" w:leftChars="0" w:firstLine="420" w:firstLineChars="0"/>
        <w:rPr>
          <w:rFonts w:hint="default"/>
          <w:b w:val="0"/>
          <w:bCs w:val="0"/>
          <w:lang w:val="en-US" w:eastAsia="zh-CN"/>
        </w:rPr>
      </w:pPr>
      <w:r>
        <w:rPr>
          <w:rFonts w:hint="default"/>
          <w:b w:val="0"/>
          <w:bCs w:val="0"/>
          <w:lang w:val="en-US" w:eastAsia="zh-CN"/>
        </w:rPr>
        <w:t>基于通信领域模型结构与数据特征，开发融合剪枝、算子融合、稀疏调度等优化策略的图级编译器，支持模型自动解析、算子分解、计算图优化、硬件映射调度等功能，输出最优数据流与指令流，提高硬件利用率与执行效率。</w:t>
      </w:r>
    </w:p>
    <w:p w14:paraId="63914CB7">
      <w:pPr>
        <w:pStyle w:val="2"/>
        <w:numPr>
          <w:ilvl w:val="0"/>
          <w:numId w:val="30"/>
        </w:numPr>
        <w:ind w:left="840" w:leftChars="0" w:hanging="420" w:firstLineChars="0"/>
        <w:rPr>
          <w:rFonts w:hint="default"/>
          <w:b w:val="0"/>
          <w:bCs w:val="0"/>
          <w:lang w:val="en-US" w:eastAsia="zh-CN"/>
        </w:rPr>
      </w:pPr>
      <w:r>
        <w:rPr>
          <w:rFonts w:hint="default"/>
          <w:b/>
          <w:bCs/>
          <w:lang w:val="en-US" w:eastAsia="zh-CN"/>
        </w:rPr>
        <w:t>硬件友好算子调度优化机制</w:t>
      </w:r>
    </w:p>
    <w:p w14:paraId="5C60E81E">
      <w:pPr>
        <w:pStyle w:val="2"/>
        <w:numPr>
          <w:ilvl w:val="0"/>
          <w:numId w:val="0"/>
        </w:numPr>
        <w:ind w:left="420" w:leftChars="0" w:firstLine="420" w:firstLineChars="0"/>
        <w:rPr>
          <w:rFonts w:hint="default"/>
          <w:b w:val="0"/>
          <w:bCs w:val="0"/>
          <w:lang w:val="en-US" w:eastAsia="zh-CN"/>
        </w:rPr>
      </w:pPr>
      <w:r>
        <w:rPr>
          <w:rFonts w:hint="default"/>
          <w:b w:val="0"/>
          <w:bCs w:val="0"/>
          <w:lang w:val="en-US" w:eastAsia="zh-CN"/>
        </w:rPr>
        <w:t>针对专用硬件架构，研究稀疏张量数据映射、多核调度、流水线调度等技术，优化张量切片、数据对齐、缓存复用策略，提升数据流并行性与计算单元利用率。形成算子融合、子图复用、稀疏感知的自动优化模块，显著提升吞吐与能效比。</w:t>
      </w:r>
    </w:p>
    <w:p w14:paraId="01A18D6F">
      <w:pPr>
        <w:pStyle w:val="2"/>
        <w:numPr>
          <w:ilvl w:val="0"/>
          <w:numId w:val="30"/>
        </w:numPr>
        <w:ind w:left="840" w:leftChars="0" w:hanging="420" w:firstLineChars="0"/>
        <w:rPr>
          <w:rFonts w:hint="default"/>
          <w:b/>
          <w:bCs/>
          <w:lang w:val="en-US" w:eastAsia="zh-CN"/>
        </w:rPr>
      </w:pPr>
      <w:r>
        <w:rPr>
          <w:rFonts w:hint="default"/>
          <w:b/>
          <w:bCs/>
          <w:lang w:val="en-US" w:eastAsia="zh-CN"/>
        </w:rPr>
        <w:t>多层接口与生态适配设计</w:t>
      </w:r>
    </w:p>
    <w:p w14:paraId="612F0C55">
      <w:pPr>
        <w:pStyle w:val="2"/>
        <w:numPr>
          <w:ilvl w:val="-2"/>
          <w:numId w:val="0"/>
        </w:numPr>
        <w:ind w:left="420" w:leftChars="0" w:firstLine="420" w:firstLineChars="0"/>
        <w:rPr>
          <w:rFonts w:hint="default"/>
          <w:b w:val="0"/>
          <w:bCs w:val="0"/>
          <w:lang w:val="en-US" w:eastAsia="zh-CN"/>
        </w:rPr>
      </w:pPr>
      <w:r>
        <w:rPr>
          <w:rFonts w:hint="default"/>
          <w:b w:val="0"/>
          <w:bCs w:val="0"/>
          <w:lang w:val="en-US" w:eastAsia="zh-CN"/>
        </w:rPr>
        <w:t>构建兼容主流 AI 框架（如 Pytorch、TensorFlow</w:t>
      </w:r>
      <w:r>
        <w:rPr>
          <w:rFonts w:hint="eastAsia"/>
          <w:b w:val="0"/>
          <w:bCs w:val="0"/>
          <w:lang w:val="en-US" w:eastAsia="zh-CN"/>
        </w:rPr>
        <w:t>、Caffe</w:t>
      </w:r>
      <w:r>
        <w:rPr>
          <w:rFonts w:hint="default"/>
          <w:b w:val="0"/>
          <w:bCs w:val="0"/>
          <w:lang w:val="en-US" w:eastAsia="zh-CN"/>
        </w:rPr>
        <w:t>）的前端接口，提供灵活、统一的 API</w:t>
      </w:r>
      <w:r>
        <w:rPr>
          <w:rFonts w:hint="eastAsia"/>
          <w:b w:val="0"/>
          <w:bCs w:val="0"/>
          <w:lang w:val="en-US" w:eastAsia="zh-CN"/>
        </w:rPr>
        <w:t>（如OpenCL、OpenVX）</w:t>
      </w:r>
      <w:r>
        <w:rPr>
          <w:rFonts w:hint="default"/>
          <w:b w:val="0"/>
          <w:bCs w:val="0"/>
          <w:lang w:val="en-US" w:eastAsia="zh-CN"/>
        </w:rPr>
        <w:t>，保障模型迁移与部署便捷性。同时结合后端硬件特性，预留扩展空间，支撑未来新架构、新算子的无缝集成，形成软硬一体化、持续进化的生态体系。</w:t>
      </w:r>
    </w:p>
    <w:p w14:paraId="7735AA7F">
      <w:pPr>
        <w:pStyle w:val="2"/>
        <w:ind w:firstLine="420" w:firstLineChars="0"/>
        <w:rPr>
          <w:rFonts w:hint="default"/>
          <w:b/>
          <w:bCs/>
          <w:lang w:val="en-US" w:eastAsia="zh-CN"/>
        </w:rPr>
      </w:pPr>
      <w:r>
        <w:rPr>
          <w:rFonts w:hint="eastAsia"/>
          <w:b/>
          <w:bCs/>
          <w:lang w:val="en-US" w:eastAsia="zh-CN"/>
        </w:rPr>
        <w:t>研究内容四：终端模组原理样机搭建及模型验证</w:t>
      </w:r>
    </w:p>
    <w:p w14:paraId="0B0A4C86">
      <w:pPr>
        <w:pStyle w:val="2"/>
        <w:numPr>
          <w:ilvl w:val="0"/>
          <w:numId w:val="31"/>
        </w:numPr>
        <w:ind w:left="840" w:leftChars="0" w:hanging="420" w:firstLineChars="0"/>
        <w:rPr>
          <w:rFonts w:hint="default"/>
          <w:b/>
          <w:bCs/>
          <w:lang w:val="en-US" w:eastAsia="zh-CN"/>
        </w:rPr>
      </w:pPr>
      <w:r>
        <w:rPr>
          <w:rFonts w:hint="default"/>
          <w:b/>
          <w:bCs/>
          <w:lang w:val="en-US" w:eastAsia="zh-CN"/>
        </w:rPr>
        <w:t>硬件平台搭建与</w:t>
      </w:r>
      <w:r>
        <w:rPr>
          <w:rFonts w:hint="eastAsia"/>
          <w:b/>
          <w:bCs/>
          <w:lang w:val="en-US" w:eastAsia="zh-CN"/>
        </w:rPr>
        <w:t>模组</w:t>
      </w:r>
      <w:r>
        <w:rPr>
          <w:rFonts w:hint="default"/>
          <w:b/>
          <w:bCs/>
          <w:lang w:val="en-US" w:eastAsia="zh-CN"/>
        </w:rPr>
        <w:t>设计</w:t>
      </w:r>
    </w:p>
    <w:p w14:paraId="683E9747">
      <w:pPr>
        <w:pStyle w:val="2"/>
        <w:ind w:left="420" w:leftChars="0" w:firstLine="420" w:firstLineChars="0"/>
        <w:rPr>
          <w:rFonts w:hint="default"/>
          <w:b/>
          <w:bCs/>
          <w:lang w:val="en-US" w:eastAsia="zh-CN"/>
        </w:rPr>
      </w:pPr>
      <w:r>
        <w:rPr>
          <w:rFonts w:hint="default"/>
          <w:b w:val="0"/>
          <w:bCs w:val="0"/>
          <w:lang w:val="en-US" w:eastAsia="zh-CN"/>
        </w:rPr>
        <w:t>基于目标通信任务（如信道估计、波束赋形、信号检测）需求，选型或自研具备高算力、低功耗特征的端侧硬件平台，包括</w:t>
      </w:r>
      <w:r>
        <w:rPr>
          <w:rFonts w:hint="eastAsia"/>
          <w:b w:val="0"/>
          <w:bCs w:val="0"/>
          <w:lang w:val="en-US" w:eastAsia="zh-CN"/>
        </w:rPr>
        <w:t>选型</w:t>
      </w:r>
      <w:r>
        <w:rPr>
          <w:rFonts w:hint="default"/>
          <w:b w:val="0"/>
          <w:bCs w:val="0"/>
          <w:lang w:val="en-US" w:eastAsia="zh-CN"/>
        </w:rPr>
        <w:t>射频模组（支持 Sub-6GHz / mmWave）、基带处理单元</w:t>
      </w:r>
      <w:r>
        <w:rPr>
          <w:rFonts w:hint="eastAsia"/>
          <w:b w:val="0"/>
          <w:bCs w:val="0"/>
          <w:lang w:val="en-US" w:eastAsia="zh-CN"/>
        </w:rPr>
        <w:t>、</w:t>
      </w:r>
      <w:r>
        <w:rPr>
          <w:rFonts w:hint="default"/>
          <w:b w:val="0"/>
          <w:bCs w:val="0"/>
          <w:lang w:val="en-US" w:eastAsia="zh-CN"/>
        </w:rPr>
        <w:t>多天线阵列</w:t>
      </w:r>
      <w:r>
        <w:rPr>
          <w:rFonts w:hint="eastAsia"/>
          <w:b w:val="0"/>
          <w:bCs w:val="0"/>
          <w:lang w:val="en-US" w:eastAsia="zh-CN"/>
        </w:rPr>
        <w:t>，自研</w:t>
      </w:r>
      <w:r>
        <w:rPr>
          <w:rFonts w:hint="default"/>
          <w:b w:val="0"/>
          <w:bCs w:val="0"/>
          <w:lang w:val="en-US" w:eastAsia="zh-CN"/>
        </w:rPr>
        <w:t>AI 加速</w:t>
      </w:r>
      <w:r>
        <w:rPr>
          <w:rFonts w:hint="eastAsia"/>
          <w:b w:val="0"/>
          <w:bCs w:val="0"/>
          <w:lang w:val="en-US" w:eastAsia="zh-CN"/>
        </w:rPr>
        <w:t>芯片</w:t>
      </w:r>
      <w:r>
        <w:rPr>
          <w:rFonts w:hint="default"/>
          <w:b w:val="0"/>
          <w:bCs w:val="0"/>
          <w:lang w:val="en-US" w:eastAsia="zh-CN"/>
        </w:rPr>
        <w:t>（NPU</w:t>
      </w:r>
      <w:r>
        <w:rPr>
          <w:rFonts w:hint="eastAsia"/>
          <w:b w:val="0"/>
          <w:bCs w:val="0"/>
          <w:lang w:val="en-US" w:eastAsia="zh-CN"/>
        </w:rPr>
        <w:t>）</w:t>
      </w:r>
      <w:r>
        <w:rPr>
          <w:rFonts w:hint="default"/>
          <w:b w:val="0"/>
          <w:bCs w:val="0"/>
          <w:lang w:val="en-US" w:eastAsia="zh-CN"/>
        </w:rPr>
        <w:t>等关键组件，</w:t>
      </w:r>
      <w:r>
        <w:rPr>
          <w:rFonts w:hint="eastAsia"/>
          <w:b w:val="0"/>
          <w:bCs w:val="0"/>
          <w:lang w:val="en-US" w:eastAsia="zh-CN"/>
        </w:rPr>
        <w:t>并使用FPGA</w:t>
      </w:r>
      <w:r>
        <w:rPr>
          <w:rFonts w:hint="default"/>
          <w:b w:val="0"/>
          <w:bCs w:val="0"/>
          <w:lang w:val="en-US" w:eastAsia="zh-CN"/>
        </w:rPr>
        <w:t>完成</w:t>
      </w:r>
      <w:r>
        <w:rPr>
          <w:rFonts w:hint="eastAsia"/>
          <w:b w:val="0"/>
          <w:bCs w:val="0"/>
          <w:lang w:val="en-US" w:eastAsia="zh-CN"/>
        </w:rPr>
        <w:t>芯片的</w:t>
      </w:r>
      <w:r>
        <w:rPr>
          <w:rFonts w:hint="default"/>
          <w:b w:val="0"/>
          <w:bCs w:val="0"/>
          <w:lang w:val="en-US" w:eastAsia="zh-CN"/>
        </w:rPr>
        <w:t>基础硬件架构设计</w:t>
      </w:r>
      <w:r>
        <w:rPr>
          <w:rFonts w:hint="eastAsia"/>
          <w:b w:val="0"/>
          <w:bCs w:val="0"/>
          <w:lang w:val="en-US" w:eastAsia="zh-CN"/>
        </w:rPr>
        <w:t>和软硬协同验证</w:t>
      </w:r>
      <w:r>
        <w:rPr>
          <w:rFonts w:hint="default"/>
          <w:b w:val="0"/>
          <w:bCs w:val="0"/>
          <w:lang w:val="en-US" w:eastAsia="zh-CN"/>
        </w:rPr>
        <w:t>。结合端侧轻量化与模块化设计理念，进行系统硬件</w:t>
      </w:r>
      <w:r>
        <w:rPr>
          <w:rFonts w:hint="eastAsia"/>
          <w:b w:val="0"/>
          <w:bCs w:val="0"/>
          <w:lang w:val="en-US" w:eastAsia="zh-CN"/>
        </w:rPr>
        <w:t>模组</w:t>
      </w:r>
      <w:r>
        <w:rPr>
          <w:rFonts w:hint="default"/>
          <w:b w:val="0"/>
          <w:bCs w:val="0"/>
          <w:lang w:val="en-US" w:eastAsia="zh-CN"/>
        </w:rPr>
        <w:t>规划，明确数据接口（PCIe、CXL、TSN 等）、通信协议（5G NR、WiFi 7 等）适配关系，确保不同模块高效协同，构建具备代表性的通信原理样机平台。硬件层面重点突破高速数据通路（射频-基带-AI 模块）、低延迟数据搬移（DMA、内存管理）等关键设计，形成满足实验需求的硬件原型样机。</w:t>
      </w:r>
    </w:p>
    <w:p w14:paraId="09CEA608">
      <w:pPr>
        <w:pStyle w:val="2"/>
        <w:numPr>
          <w:ilvl w:val="0"/>
          <w:numId w:val="31"/>
        </w:numPr>
        <w:ind w:left="840" w:leftChars="0" w:hanging="420" w:firstLineChars="0"/>
        <w:rPr>
          <w:rFonts w:hint="default"/>
          <w:b/>
          <w:bCs/>
          <w:lang w:val="en-US" w:eastAsia="zh-CN"/>
        </w:rPr>
      </w:pPr>
      <w:r>
        <w:rPr>
          <w:rFonts w:hint="default"/>
          <w:b/>
          <w:bCs/>
          <w:lang w:val="en-US" w:eastAsia="zh-CN"/>
        </w:rPr>
        <w:t>软件系统开发与软硬件协同接口</w:t>
      </w:r>
    </w:p>
    <w:p w14:paraId="210A95E4">
      <w:pPr>
        <w:pStyle w:val="2"/>
        <w:ind w:left="420" w:leftChars="0" w:firstLine="420" w:firstLineChars="0"/>
        <w:rPr>
          <w:rFonts w:hint="default"/>
          <w:b/>
          <w:bCs/>
          <w:lang w:val="en-US" w:eastAsia="zh-CN"/>
        </w:rPr>
      </w:pPr>
      <w:r>
        <w:rPr>
          <w:rFonts w:hint="default"/>
          <w:b w:val="0"/>
          <w:bCs w:val="0"/>
          <w:lang w:val="en-US" w:eastAsia="zh-CN"/>
        </w:rPr>
        <w:t>在硬件基础之上，设计通信 AI 端侧软件系统，完成系统级驱动、硬件抽象层（HAL）、数据流管理等底层软件开发，构建统一数据调度框架，支持实时数据采集、预处理、AI 加速、结果回传等功能。同步开发软硬件协同接口，定义通信任务感知的中间表示（IR）、指令集（uISA）、数据标准，支撑上层 AI 算法对底层硬件资源的灵活调度。搭建端侧通信 AI 推理框架，优化数据复用、缓存管理、稀疏张量映射等机制，保障端侧推理的能效比与实时性。</w:t>
      </w:r>
    </w:p>
    <w:p w14:paraId="2616E8F0">
      <w:pPr>
        <w:pStyle w:val="2"/>
        <w:numPr>
          <w:ilvl w:val="0"/>
          <w:numId w:val="31"/>
        </w:numPr>
        <w:ind w:left="840" w:leftChars="0" w:hanging="420" w:firstLineChars="0"/>
        <w:rPr>
          <w:rFonts w:hint="default"/>
          <w:b/>
          <w:bCs/>
          <w:lang w:val="en-US" w:eastAsia="zh-CN"/>
        </w:rPr>
      </w:pPr>
      <w:r>
        <w:rPr>
          <w:rFonts w:hint="default"/>
          <w:b/>
          <w:bCs/>
          <w:lang w:val="en-US" w:eastAsia="zh-CN"/>
        </w:rPr>
        <w:t>通信模型适配与部署优化</w:t>
      </w:r>
    </w:p>
    <w:p w14:paraId="70A58260">
      <w:pPr>
        <w:pStyle w:val="2"/>
        <w:ind w:left="420" w:leftChars="0" w:firstLine="420" w:firstLineChars="0"/>
        <w:rPr>
          <w:rFonts w:hint="default"/>
          <w:b/>
          <w:bCs/>
          <w:lang w:val="en-US" w:eastAsia="zh-CN"/>
        </w:rPr>
      </w:pPr>
      <w:r>
        <w:rPr>
          <w:rFonts w:hint="default"/>
          <w:b w:val="0"/>
          <w:bCs w:val="0"/>
          <w:lang w:val="en-US" w:eastAsia="zh-CN"/>
        </w:rPr>
        <w:t>针对原理样机硬件特性，开展 AI 通信模型（包括 CSI 压缩、波束赋形、联合检测等）适配性研究，结合硬件算力特点，系统开展模型剪枝、量化、蒸馏、低秩分解等轻量化优化，提升模型在样机平台的运行效率与资源利用率。同时结合硬件实际拓扑与数据流特性，完成模型编译、算子映射、调度优化等工作，形成与硬件深度耦合的通信 AI 模型端侧部署方案。实现模型端到端数据链路闭环，保障输入输出接口与原通信协议体系兼容，支撑后续场景验证。</w:t>
      </w:r>
    </w:p>
    <w:p w14:paraId="12C9491C">
      <w:pPr>
        <w:pStyle w:val="2"/>
        <w:numPr>
          <w:ilvl w:val="0"/>
          <w:numId w:val="31"/>
        </w:numPr>
        <w:ind w:left="840" w:leftChars="0" w:hanging="420" w:firstLineChars="0"/>
        <w:rPr>
          <w:rFonts w:hint="default"/>
          <w:b/>
          <w:bCs/>
          <w:lang w:val="en-US" w:eastAsia="zh-CN"/>
        </w:rPr>
      </w:pPr>
      <w:r>
        <w:rPr>
          <w:rFonts w:hint="default"/>
          <w:b/>
          <w:bCs/>
          <w:lang w:val="en-US" w:eastAsia="zh-CN"/>
        </w:rPr>
        <w:t>原理样机测试与通信场景验证</w:t>
      </w:r>
    </w:p>
    <w:p w14:paraId="7C237283">
      <w:pPr>
        <w:pStyle w:val="2"/>
        <w:numPr>
          <w:ilvl w:val="0"/>
          <w:numId w:val="0"/>
        </w:numPr>
        <w:ind w:left="420" w:leftChars="0"/>
        <w:jc w:val="center"/>
      </w:pPr>
      <w:r>
        <w:drawing>
          <wp:inline distT="0" distB="0" distL="114300" distR="114300">
            <wp:extent cx="3460115" cy="3867150"/>
            <wp:effectExtent l="0" t="0" r="19685" b="19050"/>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14"/>
                    <a:stretch>
                      <a:fillRect/>
                    </a:stretch>
                  </pic:blipFill>
                  <pic:spPr>
                    <a:xfrm>
                      <a:off x="0" y="0"/>
                      <a:ext cx="3460115" cy="3867150"/>
                    </a:xfrm>
                    <a:prstGeom prst="rect">
                      <a:avLst/>
                    </a:prstGeom>
                    <a:noFill/>
                    <a:ln>
                      <a:noFill/>
                    </a:ln>
                  </pic:spPr>
                </pic:pic>
              </a:graphicData>
            </a:graphic>
          </wp:inline>
        </w:drawing>
      </w:r>
    </w:p>
    <w:p w14:paraId="6E1AA990">
      <w:pPr>
        <w:pStyle w:val="2"/>
        <w:numPr>
          <w:ilvl w:val="0"/>
          <w:numId w:val="0"/>
        </w:numPr>
        <w:ind w:left="420" w:leftChars="0"/>
        <w:jc w:val="center"/>
        <w:rPr>
          <w:rFonts w:hint="default" w:eastAsia="仿宋_GB2312"/>
          <w:lang w:val="en-US" w:eastAsia="zh-CN"/>
        </w:rPr>
      </w:pPr>
      <w:r>
        <w:rPr>
          <w:rFonts w:hint="eastAsia"/>
          <w:lang w:val="en-US" w:eastAsia="zh-CN"/>
        </w:rPr>
        <w:t>图5:动态场景注入</w:t>
      </w:r>
    </w:p>
    <w:p w14:paraId="59ABC647">
      <w:pPr>
        <w:pStyle w:val="2"/>
        <w:ind w:left="420" w:leftChars="0" w:firstLine="420" w:firstLineChars="0"/>
        <w:rPr>
          <w:rFonts w:hint="default"/>
          <w:b w:val="0"/>
          <w:bCs w:val="0"/>
          <w:lang w:val="en-US" w:eastAsia="zh-CN"/>
        </w:rPr>
      </w:pPr>
      <w:r>
        <w:rPr>
          <w:rFonts w:hint="default"/>
          <w:b w:val="0"/>
          <w:bCs w:val="0"/>
          <w:lang w:val="en-US" w:eastAsia="zh-CN"/>
        </w:rPr>
        <w:t>基于完成的终端样机，搭建多场景测试平台（实验室、半实物仿真、外场测试），完成空口 AI 驱动下的通信性能评估，包括误码率（BER）、信道容量、吞吐率、端到端延迟、功耗等多维</w:t>
      </w:r>
      <w:r>
        <w:rPr>
          <w:rFonts w:hint="default"/>
          <w:b/>
          <w:bCs/>
          <w:lang w:val="en-US" w:eastAsia="zh-CN"/>
        </w:rPr>
        <w:t>指标</w:t>
      </w:r>
      <w:r>
        <w:rPr>
          <w:rFonts w:hint="default"/>
          <w:b w:val="0"/>
          <w:bCs w:val="0"/>
          <w:lang w:val="en-US" w:eastAsia="zh-CN"/>
        </w:rPr>
        <w:t>，系统验证通信 AI 在端侧硬件上的实际效果。开展对比测试</w:t>
      </w:r>
      <w:r>
        <w:rPr>
          <w:rFonts w:hint="eastAsia"/>
          <w:b w:val="0"/>
          <w:bCs w:val="0"/>
          <w:lang w:val="en-US" w:eastAsia="zh-CN"/>
        </w:rPr>
        <w:t>，</w:t>
      </w:r>
      <w:r>
        <w:rPr>
          <w:rFonts w:hint="default"/>
          <w:b/>
          <w:bCs/>
          <w:lang w:val="en-US" w:eastAsia="zh-CN"/>
        </w:rPr>
        <w:t>AI vs 传统算法</w:t>
      </w:r>
      <w:r>
        <w:rPr>
          <w:rFonts w:hint="eastAsia"/>
          <w:b w:val="0"/>
          <w:bCs w:val="0"/>
          <w:lang w:val="en-US" w:eastAsia="zh-CN"/>
        </w:rPr>
        <w:t>，</w:t>
      </w:r>
      <w:r>
        <w:rPr>
          <w:rFonts w:hint="default"/>
          <w:b w:val="0"/>
          <w:bCs w:val="0"/>
          <w:lang w:val="en-US" w:eastAsia="zh-CN"/>
        </w:rPr>
        <w:t>验证 AI 方案在复杂信道环境、多用户、多制式下的鲁棒性与泛化能力。同步完成样机稳定性、可靠性测试，迭代完善软硬协同机制，最终形成具备推广价值的端侧通信 AI 原型样机参考方案。</w:t>
      </w:r>
    </w:p>
    <w:p w14:paraId="6F0FEF29">
      <w:pPr>
        <w:adjustRightInd w:val="0"/>
        <w:snapToGrid w:val="0"/>
        <w:spacing w:line="360" w:lineRule="auto"/>
        <w:ind w:firstLine="572" w:firstLineChars="200"/>
        <w:outlineLvl w:val="1"/>
        <w:rPr>
          <w:rFonts w:hint="eastAsia" w:eastAsia="楷体_GB2312"/>
          <w:szCs w:val="28"/>
          <w:lang w:val="en-US" w:eastAsia="zh-CN"/>
        </w:rPr>
      </w:pPr>
      <w:bookmarkStart w:id="12" w:name="_Toc172321785"/>
      <w:r>
        <w:rPr>
          <w:rFonts w:eastAsia="楷体_GB2312"/>
          <w:szCs w:val="28"/>
        </w:rPr>
        <w:t>（</w:t>
      </w:r>
      <w:r>
        <w:rPr>
          <w:rFonts w:hint="eastAsia" w:eastAsia="楷体_GB2312"/>
          <w:szCs w:val="28"/>
          <w:lang w:val="en-US" w:eastAsia="zh-CN"/>
        </w:rPr>
        <w:t>二</w:t>
      </w:r>
      <w:r>
        <w:rPr>
          <w:rFonts w:eastAsia="楷体_GB2312"/>
          <w:szCs w:val="28"/>
        </w:rPr>
        <w:t>）</w:t>
      </w:r>
      <w:r>
        <w:rPr>
          <w:rFonts w:hint="eastAsia" w:eastAsia="楷体_GB2312"/>
          <w:szCs w:val="28"/>
          <w:lang w:val="en-US" w:eastAsia="zh-CN"/>
        </w:rPr>
        <w:t>研究</w:t>
      </w:r>
      <w:r>
        <w:rPr>
          <w:rFonts w:eastAsia="楷体_GB2312"/>
          <w:szCs w:val="28"/>
          <w:lang w:val="zh-CN"/>
        </w:rPr>
        <w:t>任务分解</w:t>
      </w:r>
      <w:bookmarkEnd w:id="12"/>
      <w:r>
        <w:rPr>
          <w:rFonts w:hint="eastAsia" w:eastAsia="楷体_GB2312"/>
          <w:szCs w:val="28"/>
          <w:lang w:val="en-US" w:eastAsia="zh-CN"/>
        </w:rPr>
        <w:t>和实施计划（附表：研究进度安排表）</w:t>
      </w:r>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29"/>
        <w:gridCol w:w="6571"/>
      </w:tblGrid>
      <w:tr w14:paraId="238CFC4E">
        <w:tc>
          <w:tcPr>
            <w:tcW w:w="2829" w:type="dxa"/>
            <w:vAlign w:val="center"/>
          </w:tcPr>
          <w:p w14:paraId="671E3F2B">
            <w:pPr>
              <w:pageBreakBefore w:val="0"/>
              <w:kinsoku/>
              <w:wordWrap/>
              <w:overflowPunct/>
              <w:topLinePunct w:val="0"/>
              <w:autoSpaceDE w:val="0"/>
              <w:autoSpaceDN w:val="0"/>
              <w:bidi w:val="0"/>
              <w:adjustRightInd/>
              <w:spacing w:beforeAutospacing="0" w:afterAutospacing="0" w:line="560" w:lineRule="exact"/>
              <w:ind w:right="0" w:firstLine="0" w:firstLineChars="0"/>
              <w:jc w:val="center"/>
              <w:textAlignment w:val="auto"/>
              <w:rPr>
                <w:rFonts w:hint="default" w:cs="Times New Roman"/>
                <w:b/>
                <w:bCs/>
                <w:color w:val="auto"/>
                <w:vertAlign w:val="baseline"/>
                <w:lang w:val="en-US" w:eastAsia="zh-CN"/>
                <w14:ligatures w14:val="standardContextual"/>
              </w:rPr>
            </w:pPr>
            <w:r>
              <w:rPr>
                <w:rFonts w:hint="eastAsia" w:cs="Times New Roman"/>
                <w:b/>
                <w:bCs/>
                <w:color w:val="auto"/>
                <w:vertAlign w:val="baseline"/>
                <w:lang w:val="en-US" w:eastAsia="zh-CN"/>
                <w14:ligatures w14:val="standardContextual"/>
              </w:rPr>
              <w:t>时间</w:t>
            </w:r>
          </w:p>
        </w:tc>
        <w:tc>
          <w:tcPr>
            <w:tcW w:w="6571" w:type="dxa"/>
            <w:vAlign w:val="center"/>
          </w:tcPr>
          <w:p w14:paraId="56EA52EB">
            <w:pPr>
              <w:pageBreakBefore w:val="0"/>
              <w:kinsoku/>
              <w:wordWrap/>
              <w:overflowPunct/>
              <w:topLinePunct w:val="0"/>
              <w:autoSpaceDE w:val="0"/>
              <w:autoSpaceDN w:val="0"/>
              <w:bidi w:val="0"/>
              <w:adjustRightInd/>
              <w:spacing w:beforeAutospacing="0" w:afterAutospacing="0" w:line="560" w:lineRule="exact"/>
              <w:ind w:right="0" w:firstLine="0" w:firstLineChars="0"/>
              <w:jc w:val="center"/>
              <w:textAlignment w:val="auto"/>
              <w:rPr>
                <w:rFonts w:hint="default" w:cs="Times New Roman"/>
                <w:b/>
                <w:bCs/>
                <w:color w:val="auto"/>
                <w:vertAlign w:val="baseline"/>
                <w:lang w:val="en-US" w:eastAsia="zh-CN"/>
                <w14:ligatures w14:val="standardContextual"/>
              </w:rPr>
            </w:pPr>
            <w:r>
              <w:rPr>
                <w:rFonts w:hint="eastAsia" w:cs="Times New Roman"/>
                <w:b/>
                <w:bCs/>
                <w:color w:val="auto"/>
                <w:vertAlign w:val="baseline"/>
                <w:lang w:val="en-US" w:eastAsia="zh-CN"/>
                <w14:ligatures w14:val="standardContextual"/>
              </w:rPr>
              <w:t>研究任务</w:t>
            </w:r>
          </w:p>
        </w:tc>
      </w:tr>
      <w:tr w14:paraId="7FE5EC3F">
        <w:tc>
          <w:tcPr>
            <w:tcW w:w="2829" w:type="dxa"/>
            <w:vAlign w:val="center"/>
          </w:tcPr>
          <w:p w14:paraId="0C903997">
            <w:pPr>
              <w:pageBreakBefore w:val="0"/>
              <w:kinsoku/>
              <w:wordWrap/>
              <w:overflowPunct/>
              <w:topLinePunct w:val="0"/>
              <w:autoSpaceDE w:val="0"/>
              <w:autoSpaceDN w:val="0"/>
              <w:bidi w:val="0"/>
              <w:adjustRightInd/>
              <w:spacing w:beforeAutospacing="0" w:afterAutospacing="0" w:line="560" w:lineRule="exact"/>
              <w:ind w:right="0" w:firstLine="0" w:firstLineChars="0"/>
              <w:jc w:val="center"/>
              <w:textAlignment w:val="auto"/>
              <w:rPr>
                <w:rFonts w:hint="default" w:cs="Times New Roman"/>
                <w:color w:val="auto"/>
                <w:vertAlign w:val="baseline"/>
                <w:lang w:val="en-US" w:eastAsia="zh-CN"/>
                <w14:ligatures w14:val="standardContextual"/>
              </w:rPr>
            </w:pPr>
            <w:r>
              <w:rPr>
                <w:rFonts w:hint="eastAsia" w:cs="Times New Roman"/>
                <w:color w:val="auto"/>
                <w:vertAlign w:val="baseline"/>
                <w:lang w:val="en-US" w:eastAsia="zh-CN"/>
                <w14:ligatures w14:val="standardContextual"/>
              </w:rPr>
              <w:t>2024年X月至X月</w:t>
            </w:r>
          </w:p>
        </w:tc>
        <w:tc>
          <w:tcPr>
            <w:tcW w:w="6571" w:type="dxa"/>
            <w:vAlign w:val="center"/>
          </w:tcPr>
          <w:p w14:paraId="574DFEFD">
            <w:pPr>
              <w:pageBreakBefore w:val="0"/>
              <w:kinsoku/>
              <w:wordWrap/>
              <w:overflowPunct/>
              <w:topLinePunct w:val="0"/>
              <w:autoSpaceDE w:val="0"/>
              <w:autoSpaceDN w:val="0"/>
              <w:bidi w:val="0"/>
              <w:adjustRightInd/>
              <w:spacing w:beforeAutospacing="0" w:afterAutospacing="0" w:line="560" w:lineRule="exact"/>
              <w:ind w:right="0" w:firstLine="0" w:firstLineChars="0"/>
              <w:jc w:val="center"/>
              <w:textAlignment w:val="auto"/>
              <w:rPr>
                <w:rFonts w:hint="default" w:cs="Times New Roman"/>
                <w:color w:val="auto"/>
                <w:vertAlign w:val="baseline"/>
                <w:lang w:val="en-US" w:eastAsia="zh-CN"/>
                <w14:ligatures w14:val="standardContextual"/>
              </w:rPr>
            </w:pPr>
          </w:p>
          <w:p w14:paraId="65491DBA">
            <w:pPr>
              <w:pageBreakBefore w:val="0"/>
              <w:kinsoku/>
              <w:wordWrap/>
              <w:overflowPunct/>
              <w:topLinePunct w:val="0"/>
              <w:autoSpaceDE w:val="0"/>
              <w:autoSpaceDN w:val="0"/>
              <w:bidi w:val="0"/>
              <w:adjustRightInd/>
              <w:spacing w:beforeAutospacing="0" w:afterAutospacing="0" w:line="560" w:lineRule="exact"/>
              <w:ind w:right="0" w:firstLine="0" w:firstLineChars="0"/>
              <w:jc w:val="center"/>
              <w:textAlignment w:val="auto"/>
              <w:rPr>
                <w:rFonts w:hint="default" w:cs="Times New Roman"/>
                <w:color w:val="auto"/>
                <w:vertAlign w:val="baseline"/>
                <w:lang w:val="en-US" w:eastAsia="zh-CN"/>
                <w14:ligatures w14:val="standardContextual"/>
              </w:rPr>
            </w:pPr>
          </w:p>
        </w:tc>
      </w:tr>
      <w:tr w14:paraId="09452990">
        <w:tc>
          <w:tcPr>
            <w:tcW w:w="2829" w:type="dxa"/>
            <w:vAlign w:val="center"/>
          </w:tcPr>
          <w:p w14:paraId="4D22B9DC">
            <w:pPr>
              <w:pageBreakBefore w:val="0"/>
              <w:kinsoku/>
              <w:wordWrap/>
              <w:overflowPunct/>
              <w:topLinePunct w:val="0"/>
              <w:autoSpaceDE w:val="0"/>
              <w:autoSpaceDN w:val="0"/>
              <w:bidi w:val="0"/>
              <w:adjustRightInd/>
              <w:spacing w:beforeAutospacing="0" w:afterAutospacing="0" w:line="560" w:lineRule="exact"/>
              <w:ind w:right="0" w:firstLine="0" w:firstLineChars="0"/>
              <w:jc w:val="center"/>
              <w:textAlignment w:val="auto"/>
              <w:rPr>
                <w:rFonts w:hint="default" w:cs="Times New Roman"/>
                <w:color w:val="auto"/>
                <w:vertAlign w:val="baseline"/>
                <w:lang w:val="en-US" w:eastAsia="zh-CN"/>
                <w14:ligatures w14:val="standardContextual"/>
              </w:rPr>
            </w:pPr>
            <w:r>
              <w:rPr>
                <w:rFonts w:hint="default" w:cs="Times New Roman"/>
                <w:color w:val="auto"/>
                <w:vertAlign w:val="baseline"/>
                <w:lang w:val="en-US" w:eastAsia="zh-CN"/>
                <w14:ligatures w14:val="standardContextual"/>
              </w:rPr>
              <w:t>2024年X月至X月</w:t>
            </w:r>
          </w:p>
        </w:tc>
        <w:tc>
          <w:tcPr>
            <w:tcW w:w="6571" w:type="dxa"/>
            <w:vAlign w:val="center"/>
          </w:tcPr>
          <w:p w14:paraId="68602502">
            <w:pPr>
              <w:pageBreakBefore w:val="0"/>
              <w:kinsoku/>
              <w:wordWrap/>
              <w:overflowPunct/>
              <w:topLinePunct w:val="0"/>
              <w:autoSpaceDE w:val="0"/>
              <w:autoSpaceDN w:val="0"/>
              <w:bidi w:val="0"/>
              <w:adjustRightInd/>
              <w:spacing w:beforeAutospacing="0" w:afterAutospacing="0" w:line="560" w:lineRule="exact"/>
              <w:ind w:right="0" w:firstLine="0" w:firstLineChars="0"/>
              <w:jc w:val="center"/>
              <w:textAlignment w:val="auto"/>
              <w:rPr>
                <w:rFonts w:hint="default" w:cs="Times New Roman"/>
                <w:color w:val="auto"/>
                <w:vertAlign w:val="baseline"/>
                <w:lang w:val="en-US" w:eastAsia="zh-CN"/>
                <w14:ligatures w14:val="standardContextual"/>
              </w:rPr>
            </w:pPr>
          </w:p>
          <w:p w14:paraId="6EAF702C">
            <w:pPr>
              <w:pageBreakBefore w:val="0"/>
              <w:kinsoku/>
              <w:wordWrap/>
              <w:overflowPunct/>
              <w:topLinePunct w:val="0"/>
              <w:autoSpaceDE w:val="0"/>
              <w:autoSpaceDN w:val="0"/>
              <w:bidi w:val="0"/>
              <w:adjustRightInd/>
              <w:spacing w:beforeAutospacing="0" w:afterAutospacing="0" w:line="560" w:lineRule="exact"/>
              <w:ind w:right="0" w:firstLine="0" w:firstLineChars="0"/>
              <w:jc w:val="center"/>
              <w:textAlignment w:val="auto"/>
              <w:rPr>
                <w:rFonts w:hint="default" w:cs="Times New Roman"/>
                <w:color w:val="auto"/>
                <w:vertAlign w:val="baseline"/>
                <w:lang w:val="en-US" w:eastAsia="zh-CN"/>
                <w14:ligatures w14:val="standardContextual"/>
              </w:rPr>
            </w:pPr>
          </w:p>
        </w:tc>
      </w:tr>
      <w:tr w14:paraId="2F7412C4">
        <w:tc>
          <w:tcPr>
            <w:tcW w:w="2829" w:type="dxa"/>
            <w:vAlign w:val="center"/>
          </w:tcPr>
          <w:p w14:paraId="6E99B83C">
            <w:pPr>
              <w:pageBreakBefore w:val="0"/>
              <w:kinsoku/>
              <w:wordWrap/>
              <w:overflowPunct/>
              <w:topLinePunct w:val="0"/>
              <w:autoSpaceDE w:val="0"/>
              <w:autoSpaceDN w:val="0"/>
              <w:bidi w:val="0"/>
              <w:adjustRightInd/>
              <w:spacing w:beforeAutospacing="0" w:afterAutospacing="0" w:line="560" w:lineRule="exact"/>
              <w:ind w:right="0" w:firstLine="0" w:firstLineChars="0"/>
              <w:jc w:val="center"/>
              <w:textAlignment w:val="auto"/>
              <w:rPr>
                <w:rFonts w:hint="default" w:cs="Times New Roman"/>
                <w:color w:val="auto"/>
                <w:vertAlign w:val="baseline"/>
                <w:lang w:val="en-US" w:eastAsia="zh-CN"/>
                <w14:ligatures w14:val="standardContextual"/>
              </w:rPr>
            </w:pPr>
            <w:r>
              <w:rPr>
                <w:rFonts w:hint="default" w:cs="Times New Roman"/>
                <w:color w:val="auto"/>
                <w:vertAlign w:val="baseline"/>
                <w:lang w:val="en-US" w:eastAsia="zh-CN"/>
                <w14:ligatures w14:val="standardContextual"/>
              </w:rPr>
              <w:t>202</w:t>
            </w:r>
            <w:r>
              <w:rPr>
                <w:rFonts w:hint="eastAsia" w:cs="Times New Roman"/>
                <w:color w:val="auto"/>
                <w:vertAlign w:val="baseline"/>
                <w:lang w:val="en-US" w:eastAsia="zh-CN"/>
                <w14:ligatures w14:val="standardContextual"/>
              </w:rPr>
              <w:t>5</w:t>
            </w:r>
            <w:r>
              <w:rPr>
                <w:rFonts w:hint="default" w:cs="Times New Roman"/>
                <w:color w:val="auto"/>
                <w:vertAlign w:val="baseline"/>
                <w:lang w:val="en-US" w:eastAsia="zh-CN"/>
                <w14:ligatures w14:val="standardContextual"/>
              </w:rPr>
              <w:t>年X月至X月</w:t>
            </w:r>
          </w:p>
        </w:tc>
        <w:tc>
          <w:tcPr>
            <w:tcW w:w="6571" w:type="dxa"/>
            <w:vAlign w:val="center"/>
          </w:tcPr>
          <w:p w14:paraId="53CC36B1">
            <w:pPr>
              <w:pageBreakBefore w:val="0"/>
              <w:kinsoku/>
              <w:wordWrap/>
              <w:overflowPunct/>
              <w:topLinePunct w:val="0"/>
              <w:autoSpaceDE w:val="0"/>
              <w:autoSpaceDN w:val="0"/>
              <w:bidi w:val="0"/>
              <w:adjustRightInd/>
              <w:spacing w:beforeAutospacing="0" w:afterAutospacing="0" w:line="560" w:lineRule="exact"/>
              <w:ind w:right="0" w:firstLine="0" w:firstLineChars="0"/>
              <w:jc w:val="center"/>
              <w:textAlignment w:val="auto"/>
              <w:rPr>
                <w:rFonts w:hint="default" w:cs="Times New Roman"/>
                <w:color w:val="auto"/>
                <w:vertAlign w:val="baseline"/>
                <w:lang w:val="en-US" w:eastAsia="zh-CN"/>
                <w14:ligatures w14:val="standardContextual"/>
              </w:rPr>
            </w:pPr>
          </w:p>
          <w:p w14:paraId="02B9C30B">
            <w:pPr>
              <w:pageBreakBefore w:val="0"/>
              <w:kinsoku/>
              <w:wordWrap/>
              <w:overflowPunct/>
              <w:topLinePunct w:val="0"/>
              <w:autoSpaceDE w:val="0"/>
              <w:autoSpaceDN w:val="0"/>
              <w:bidi w:val="0"/>
              <w:adjustRightInd/>
              <w:spacing w:beforeAutospacing="0" w:afterAutospacing="0" w:line="560" w:lineRule="exact"/>
              <w:ind w:right="0" w:firstLine="0" w:firstLineChars="0"/>
              <w:jc w:val="center"/>
              <w:textAlignment w:val="auto"/>
              <w:rPr>
                <w:rFonts w:hint="default" w:cs="Times New Roman"/>
                <w:color w:val="auto"/>
                <w:vertAlign w:val="baseline"/>
                <w:lang w:val="en-US" w:eastAsia="zh-CN"/>
                <w14:ligatures w14:val="standardContextual"/>
              </w:rPr>
            </w:pPr>
          </w:p>
        </w:tc>
      </w:tr>
      <w:tr w14:paraId="1B9E0C5A">
        <w:tc>
          <w:tcPr>
            <w:tcW w:w="2829" w:type="dxa"/>
            <w:vAlign w:val="center"/>
          </w:tcPr>
          <w:p w14:paraId="306C89A5">
            <w:pPr>
              <w:pageBreakBefore w:val="0"/>
              <w:kinsoku/>
              <w:wordWrap/>
              <w:overflowPunct/>
              <w:topLinePunct w:val="0"/>
              <w:autoSpaceDE w:val="0"/>
              <w:autoSpaceDN w:val="0"/>
              <w:bidi w:val="0"/>
              <w:adjustRightInd/>
              <w:spacing w:beforeAutospacing="0" w:afterAutospacing="0" w:line="560" w:lineRule="exact"/>
              <w:ind w:right="0" w:firstLine="0" w:firstLineChars="0"/>
              <w:jc w:val="center"/>
              <w:textAlignment w:val="auto"/>
              <w:rPr>
                <w:rFonts w:hint="default" w:cs="Times New Roman"/>
                <w:color w:val="auto"/>
                <w:vertAlign w:val="baseline"/>
                <w:lang w:val="en-US" w:eastAsia="zh-CN"/>
                <w14:ligatures w14:val="standardContextual"/>
              </w:rPr>
            </w:pPr>
            <w:r>
              <w:rPr>
                <w:rFonts w:hint="eastAsia" w:cs="Times New Roman"/>
                <w:color w:val="auto"/>
                <w:vertAlign w:val="baseline"/>
                <w:lang w:val="en-US" w:eastAsia="zh-CN"/>
                <w14:ligatures w14:val="standardContextual"/>
              </w:rPr>
              <w:t>……</w:t>
            </w:r>
          </w:p>
        </w:tc>
        <w:tc>
          <w:tcPr>
            <w:tcW w:w="6571" w:type="dxa"/>
            <w:vAlign w:val="center"/>
          </w:tcPr>
          <w:p w14:paraId="5D313714">
            <w:pPr>
              <w:pageBreakBefore w:val="0"/>
              <w:kinsoku/>
              <w:wordWrap/>
              <w:overflowPunct/>
              <w:topLinePunct w:val="0"/>
              <w:autoSpaceDE w:val="0"/>
              <w:autoSpaceDN w:val="0"/>
              <w:bidi w:val="0"/>
              <w:adjustRightInd/>
              <w:spacing w:beforeAutospacing="0" w:afterAutospacing="0" w:line="560" w:lineRule="exact"/>
              <w:ind w:right="0" w:firstLine="0" w:firstLineChars="0"/>
              <w:jc w:val="center"/>
              <w:textAlignment w:val="auto"/>
              <w:rPr>
                <w:rFonts w:hint="default" w:cs="Times New Roman"/>
                <w:color w:val="auto"/>
                <w:vertAlign w:val="baseline"/>
                <w:lang w:val="en-US" w:eastAsia="zh-CN"/>
                <w14:ligatures w14:val="standardContextual"/>
              </w:rPr>
            </w:pPr>
          </w:p>
          <w:p w14:paraId="37FCC171">
            <w:pPr>
              <w:pageBreakBefore w:val="0"/>
              <w:kinsoku/>
              <w:wordWrap/>
              <w:overflowPunct/>
              <w:topLinePunct w:val="0"/>
              <w:autoSpaceDE w:val="0"/>
              <w:autoSpaceDN w:val="0"/>
              <w:bidi w:val="0"/>
              <w:adjustRightInd/>
              <w:spacing w:beforeAutospacing="0" w:afterAutospacing="0" w:line="560" w:lineRule="exact"/>
              <w:ind w:right="0" w:firstLine="0" w:firstLineChars="0"/>
              <w:jc w:val="center"/>
              <w:textAlignment w:val="auto"/>
              <w:rPr>
                <w:rFonts w:hint="default" w:cs="Times New Roman"/>
                <w:color w:val="auto"/>
                <w:vertAlign w:val="baseline"/>
                <w:lang w:val="en-US" w:eastAsia="zh-CN"/>
                <w14:ligatures w14:val="standardContextual"/>
              </w:rPr>
            </w:pPr>
          </w:p>
        </w:tc>
      </w:tr>
    </w:tbl>
    <w:p w14:paraId="072512BD">
      <w:pPr>
        <w:bidi w:val="0"/>
        <w:rPr>
          <w:rFonts w:hint="eastAsia"/>
          <w:lang w:val="zh-CN"/>
        </w:rPr>
      </w:pPr>
    </w:p>
    <w:p w14:paraId="1F8ADE6A">
      <w:pPr>
        <w:adjustRightInd w:val="0"/>
        <w:snapToGrid w:val="0"/>
        <w:spacing w:line="360" w:lineRule="auto"/>
        <w:ind w:firstLine="572" w:firstLineChars="200"/>
        <w:outlineLvl w:val="1"/>
        <w:rPr>
          <w:rFonts w:hint="eastAsia" w:eastAsia="楷体_GB2312"/>
          <w:szCs w:val="28"/>
          <w:lang w:val="en-US" w:eastAsia="zh-CN"/>
        </w:rPr>
      </w:pPr>
      <w:r>
        <w:rPr>
          <w:rFonts w:hint="eastAsia" w:eastAsia="楷体_GB2312"/>
          <w:szCs w:val="28"/>
          <w:lang w:val="zh-CN"/>
        </w:rPr>
        <w:t>（</w:t>
      </w:r>
      <w:r>
        <w:rPr>
          <w:rFonts w:hint="eastAsia" w:eastAsia="楷体_GB2312"/>
          <w:szCs w:val="28"/>
          <w:lang w:val="en-US" w:eastAsia="zh-CN"/>
        </w:rPr>
        <w:t>三</w:t>
      </w:r>
      <w:r>
        <w:rPr>
          <w:rFonts w:hint="eastAsia" w:eastAsia="楷体_GB2312"/>
          <w:szCs w:val="28"/>
          <w:lang w:val="zh-CN"/>
        </w:rPr>
        <w:t>）</w:t>
      </w:r>
      <w:bookmarkStart w:id="13" w:name="_Toc172321786"/>
      <w:r>
        <w:rPr>
          <w:rFonts w:eastAsia="楷体_GB2312"/>
          <w:szCs w:val="28"/>
          <w:lang w:val="zh-CN"/>
        </w:rPr>
        <w:t>风险分析与控制</w:t>
      </w:r>
      <w:bookmarkEnd w:id="13"/>
    </w:p>
    <w:p w14:paraId="4DA38BBC">
      <w:pPr>
        <w:adjustRightInd w:val="0"/>
        <w:snapToGrid w:val="0"/>
        <w:spacing w:line="360" w:lineRule="auto"/>
        <w:outlineLvl w:val="0"/>
        <w:rPr>
          <w:rFonts w:hint="eastAsia" w:eastAsia="黑体"/>
          <w:sz w:val="32"/>
          <w:szCs w:val="32"/>
          <w:lang w:val="en-US" w:eastAsia="zh-CN"/>
        </w:rPr>
      </w:pPr>
      <w:r>
        <w:rPr>
          <w:rFonts w:hint="eastAsia" w:eastAsia="黑体"/>
          <w:sz w:val="32"/>
          <w:szCs w:val="32"/>
          <w:lang w:val="en-US" w:eastAsia="zh-CN"/>
        </w:rPr>
        <w:t>五、预期成果与考核指标</w:t>
      </w:r>
    </w:p>
    <w:p w14:paraId="08D49CFC">
      <w:pPr>
        <w:adjustRightInd w:val="0"/>
        <w:snapToGrid w:val="0"/>
        <w:spacing w:line="360" w:lineRule="auto"/>
        <w:ind w:firstLine="572" w:firstLineChars="200"/>
        <w:outlineLvl w:val="1"/>
        <w:rPr>
          <w:rFonts w:hint="default" w:eastAsia="黑体"/>
          <w:sz w:val="32"/>
          <w:szCs w:val="32"/>
          <w:lang w:val="en-US" w:eastAsia="zh-CN"/>
        </w:rPr>
      </w:pPr>
      <w:r>
        <w:rPr>
          <w:rFonts w:hint="eastAsia" w:eastAsia="楷体_GB2312"/>
          <w:szCs w:val="28"/>
          <w:lang w:val="en-US" w:eastAsia="zh-CN"/>
        </w:rPr>
        <w:t>主要阐述：项目总体预期成果与考核指标，每项里程碑节点预期成果与考核指标。</w:t>
      </w:r>
    </w:p>
    <w:p w14:paraId="670C0AD1">
      <w:pPr>
        <w:numPr>
          <w:ilvl w:val="0"/>
          <w:numId w:val="0"/>
        </w:numPr>
        <w:adjustRightInd w:val="0"/>
        <w:snapToGrid w:val="0"/>
        <w:spacing w:line="360" w:lineRule="auto"/>
        <w:outlineLvl w:val="0"/>
        <w:rPr>
          <w:rFonts w:eastAsia="黑体"/>
          <w:sz w:val="32"/>
          <w:szCs w:val="32"/>
        </w:rPr>
      </w:pPr>
      <w:bookmarkStart w:id="14" w:name="_Toc172321787"/>
      <w:bookmarkStart w:id="15" w:name="_Hlk65778985"/>
      <w:r>
        <w:rPr>
          <w:rFonts w:hint="eastAsia" w:eastAsia="黑体"/>
          <w:sz w:val="32"/>
          <w:szCs w:val="32"/>
          <w:lang w:val="en-US" w:eastAsia="zh-CN"/>
        </w:rPr>
        <w:t>六、</w:t>
      </w:r>
      <w:r>
        <w:rPr>
          <w:rFonts w:eastAsia="黑体"/>
          <w:sz w:val="32"/>
          <w:szCs w:val="32"/>
        </w:rPr>
        <w:t>现有工作基础</w:t>
      </w:r>
      <w:bookmarkEnd w:id="14"/>
    </w:p>
    <w:p w14:paraId="67CDAB03">
      <w:pPr>
        <w:snapToGrid w:val="0"/>
        <w:spacing w:line="360" w:lineRule="auto"/>
        <w:ind w:firstLine="572" w:firstLineChars="200"/>
        <w:outlineLvl w:val="1"/>
        <w:rPr>
          <w:rFonts w:hint="default" w:eastAsia="黑体"/>
          <w:sz w:val="32"/>
          <w:szCs w:val="32"/>
          <w:lang w:val="en-US"/>
        </w:rPr>
      </w:pPr>
      <w:r>
        <w:rPr>
          <w:rFonts w:hint="eastAsia" w:eastAsia="楷体_GB2312"/>
          <w:lang w:val="en-US" w:eastAsia="zh-CN"/>
        </w:rPr>
        <w:t>主要阐述：项目组现有工作基础，研究团队的人员结构、技术优势、资金等</w:t>
      </w:r>
      <w:r>
        <w:rPr>
          <w:rFonts w:hint="eastAsia" w:eastAsia="楷体_GB2312"/>
          <w:szCs w:val="28"/>
          <w:lang w:val="en-US" w:eastAsia="zh-CN"/>
        </w:rPr>
        <w:t>保障条件。</w:t>
      </w:r>
    </w:p>
    <w:bookmarkEnd w:id="15"/>
    <w:p w14:paraId="279FA3B0">
      <w:pPr>
        <w:snapToGrid w:val="0"/>
        <w:spacing w:line="360" w:lineRule="auto"/>
        <w:outlineLvl w:val="0"/>
        <w:rPr>
          <w:rFonts w:hint="eastAsia" w:eastAsia="黑体"/>
          <w:sz w:val="32"/>
          <w:szCs w:val="32"/>
          <w:lang w:val="en-US" w:eastAsia="zh-CN"/>
        </w:rPr>
      </w:pPr>
      <w:bookmarkStart w:id="16" w:name="_Toc172321791"/>
      <w:r>
        <w:rPr>
          <w:rFonts w:hint="eastAsia" w:eastAsia="黑体"/>
          <w:sz w:val="32"/>
          <w:szCs w:val="32"/>
          <w:lang w:val="en-US" w:eastAsia="zh-CN"/>
        </w:rPr>
        <w:t>七、</w:t>
      </w:r>
      <w:r>
        <w:rPr>
          <w:rFonts w:eastAsia="黑体"/>
          <w:sz w:val="32"/>
          <w:szCs w:val="32"/>
        </w:rPr>
        <w:t>项目组织与</w:t>
      </w:r>
      <w:bookmarkEnd w:id="16"/>
      <w:bookmarkStart w:id="17" w:name="_Toc172321792"/>
      <w:r>
        <w:rPr>
          <w:rFonts w:hint="eastAsia" w:eastAsia="黑体"/>
          <w:sz w:val="32"/>
          <w:szCs w:val="32"/>
          <w:lang w:val="en-US" w:eastAsia="zh-CN"/>
        </w:rPr>
        <w:t>管理</w:t>
      </w:r>
    </w:p>
    <w:p w14:paraId="104B5F74">
      <w:pPr>
        <w:adjustRightInd w:val="0"/>
        <w:snapToGrid w:val="0"/>
        <w:spacing w:line="360" w:lineRule="auto"/>
        <w:ind w:firstLine="572" w:firstLineChars="200"/>
        <w:outlineLvl w:val="1"/>
        <w:rPr>
          <w:rFonts w:hint="default" w:eastAsia="楷体_GB2312"/>
          <w:szCs w:val="28"/>
          <w:lang w:val="en-US" w:eastAsia="zh-CN"/>
        </w:rPr>
      </w:pPr>
      <w:r>
        <w:rPr>
          <w:rFonts w:eastAsia="楷体_GB2312"/>
          <w:szCs w:val="28"/>
          <w:lang w:val="zh-CN"/>
        </w:rPr>
        <w:t>（一）</w:t>
      </w:r>
      <w:r>
        <w:rPr>
          <w:rFonts w:hint="eastAsia" w:eastAsia="楷体_GB2312"/>
          <w:szCs w:val="28"/>
          <w:lang w:val="en-US" w:eastAsia="zh-CN"/>
        </w:rPr>
        <w:t>组织机制</w:t>
      </w:r>
    </w:p>
    <w:bookmarkEnd w:id="17"/>
    <w:p w14:paraId="02A24FD7">
      <w:pPr>
        <w:adjustRightInd w:val="0"/>
        <w:snapToGrid w:val="0"/>
        <w:spacing w:line="360" w:lineRule="auto"/>
        <w:ind w:firstLine="572" w:firstLineChars="200"/>
        <w:outlineLvl w:val="1"/>
      </w:pPr>
      <w:bookmarkStart w:id="18" w:name="_Toc172321794"/>
      <w:bookmarkStart w:id="19" w:name="_Hlk66372476"/>
      <w:r>
        <w:rPr>
          <w:rFonts w:eastAsia="楷体_GB2312"/>
          <w:szCs w:val="28"/>
        </w:rPr>
        <w:t>（</w:t>
      </w:r>
      <w:r>
        <w:rPr>
          <w:rFonts w:hint="eastAsia" w:eastAsia="楷体_GB2312"/>
          <w:szCs w:val="28"/>
          <w:lang w:val="en-US" w:eastAsia="zh-CN"/>
        </w:rPr>
        <w:t>二</w:t>
      </w:r>
      <w:r>
        <w:rPr>
          <w:rFonts w:eastAsia="楷体_GB2312"/>
          <w:szCs w:val="28"/>
        </w:rPr>
        <w:t>）</w:t>
      </w:r>
      <w:r>
        <w:rPr>
          <w:rFonts w:eastAsia="楷体_GB2312"/>
          <w:szCs w:val="28"/>
          <w:lang w:val="zh-CN"/>
        </w:rPr>
        <w:t>管理</w:t>
      </w:r>
      <w:bookmarkEnd w:id="18"/>
      <w:r>
        <w:rPr>
          <w:rFonts w:hint="eastAsia" w:eastAsia="楷体_GB2312"/>
          <w:szCs w:val="28"/>
          <w:lang w:val="en-US" w:eastAsia="zh-CN"/>
        </w:rPr>
        <w:t>机制</w:t>
      </w:r>
      <w:bookmarkEnd w:id="19"/>
    </w:p>
    <w:p w14:paraId="1718F0A5">
      <w:pPr>
        <w:snapToGrid w:val="0"/>
        <w:spacing w:line="360" w:lineRule="auto"/>
        <w:outlineLvl w:val="0"/>
        <w:rPr>
          <w:rFonts w:eastAsia="黑体"/>
          <w:sz w:val="32"/>
          <w:szCs w:val="32"/>
        </w:rPr>
      </w:pPr>
      <w:bookmarkStart w:id="20" w:name="_Toc149631526"/>
      <w:bookmarkStart w:id="21" w:name="_Toc172321796"/>
      <w:r>
        <w:rPr>
          <w:rFonts w:hint="eastAsia" w:eastAsia="黑体"/>
          <w:sz w:val="32"/>
          <w:szCs w:val="32"/>
          <w:lang w:val="en-US" w:eastAsia="zh-CN"/>
        </w:rPr>
        <w:t>八</w:t>
      </w:r>
      <w:r>
        <w:rPr>
          <w:rFonts w:eastAsia="黑体"/>
          <w:sz w:val="32"/>
          <w:szCs w:val="32"/>
        </w:rPr>
        <w:t>、经费预算</w:t>
      </w:r>
      <w:bookmarkEnd w:id="20"/>
      <w:bookmarkEnd w:id="21"/>
    </w:p>
    <w:p w14:paraId="7258FAC0">
      <w:pPr>
        <w:snapToGrid w:val="0"/>
        <w:spacing w:line="360" w:lineRule="auto"/>
        <w:ind w:firstLine="572" w:firstLineChars="200"/>
        <w:outlineLvl w:val="1"/>
        <w:rPr>
          <w:rFonts w:hint="default" w:eastAsia="黑体"/>
          <w:sz w:val="32"/>
          <w:szCs w:val="32"/>
          <w:lang w:val="en-US"/>
        </w:rPr>
      </w:pPr>
      <w:r>
        <w:rPr>
          <w:rFonts w:hint="eastAsia" w:eastAsia="楷体_GB2312"/>
          <w:lang w:val="en-US" w:eastAsia="zh-CN"/>
        </w:rPr>
        <w:t>主要阐述：项目预计总投入，申请专项资助金额，单位自筹资金金额，并提供相应作证资料。具体科目明细填报至附表2-1、附表2-2。</w:t>
      </w:r>
    </w:p>
    <w:p w14:paraId="78154AD6">
      <w:pPr>
        <w:snapToGrid w:val="0"/>
        <w:spacing w:line="360" w:lineRule="auto"/>
        <w:outlineLvl w:val="0"/>
        <w:rPr>
          <w:rFonts w:hint="eastAsia" w:eastAsia="黑体"/>
          <w:sz w:val="32"/>
          <w:szCs w:val="32"/>
          <w:lang w:val="en-US" w:eastAsia="zh-CN"/>
        </w:rPr>
      </w:pPr>
      <w:r>
        <w:rPr>
          <w:rFonts w:hint="eastAsia" w:eastAsia="黑体"/>
          <w:sz w:val="32"/>
          <w:szCs w:val="32"/>
          <w:lang w:val="en-US" w:eastAsia="zh-CN"/>
        </w:rPr>
        <w:t>九、附表</w:t>
      </w:r>
    </w:p>
    <w:p w14:paraId="50C90CCD">
      <w:pPr>
        <w:numPr>
          <w:ilvl w:val="0"/>
          <w:numId w:val="0"/>
        </w:numPr>
        <w:ind w:left="420" w:leftChars="0"/>
        <w:rPr>
          <w:rFonts w:hint="eastAsia" w:ascii="楷体" w:hAnsi="楷体" w:eastAsia="楷体" w:cs="楷体"/>
          <w:sz w:val="28"/>
          <w:szCs w:val="28"/>
          <w:lang w:val="en-US" w:eastAsia="zh-CN"/>
        </w:rPr>
      </w:pPr>
      <w:r>
        <w:rPr>
          <w:rFonts w:hint="eastAsia" w:ascii="楷体" w:hAnsi="楷体" w:eastAsia="楷体" w:cs="楷体"/>
          <w:sz w:val="28"/>
          <w:szCs w:val="28"/>
          <w:lang w:val="en-US" w:eastAsia="zh-CN"/>
        </w:rPr>
        <w:t>1.项目参与成员明细</w:t>
      </w:r>
    </w:p>
    <w:p w14:paraId="586606AE">
      <w:pPr>
        <w:numPr>
          <w:ilvl w:val="0"/>
          <w:numId w:val="0"/>
        </w:numPr>
        <w:ind w:left="420" w:leftChars="0"/>
        <w:rPr>
          <w:rFonts w:hint="eastAsia" w:ascii="楷体" w:hAnsi="楷体" w:eastAsia="楷体" w:cs="楷体"/>
          <w:sz w:val="28"/>
          <w:szCs w:val="28"/>
          <w:lang w:val="en-US" w:eastAsia="zh-CN"/>
        </w:rPr>
      </w:pPr>
      <w:r>
        <w:rPr>
          <w:rFonts w:hint="eastAsia" w:ascii="楷体" w:hAnsi="楷体" w:eastAsia="楷体" w:cs="楷体"/>
          <w:sz w:val="28"/>
          <w:szCs w:val="28"/>
          <w:lang w:val="en-US" w:eastAsia="zh-CN"/>
        </w:rPr>
        <w:t>2.项目经费预算表与预算说明</w:t>
      </w:r>
    </w:p>
    <w:p w14:paraId="3C9EF5FB">
      <w:pPr>
        <w:numPr>
          <w:ilvl w:val="0"/>
          <w:numId w:val="0"/>
        </w:numPr>
        <w:ind w:left="420" w:leftChars="0"/>
        <w:rPr>
          <w:rFonts w:hint="eastAsia" w:ascii="楷体" w:hAnsi="楷体" w:eastAsia="楷体" w:cs="楷体"/>
          <w:sz w:val="28"/>
          <w:szCs w:val="28"/>
          <w:lang w:val="en-US" w:eastAsia="zh-CN"/>
        </w:rPr>
      </w:pPr>
      <w:r>
        <w:rPr>
          <w:rFonts w:hint="eastAsia" w:ascii="楷体" w:hAnsi="楷体" w:eastAsia="楷体" w:cs="楷体"/>
          <w:sz w:val="28"/>
          <w:szCs w:val="28"/>
          <w:lang w:val="en-US" w:eastAsia="zh-CN"/>
        </w:rPr>
        <w:t>3.购置/试制设备预算明细表</w:t>
      </w:r>
    </w:p>
    <w:p w14:paraId="2EBF167B">
      <w:pPr>
        <w:numPr>
          <w:ilvl w:val="0"/>
          <w:numId w:val="0"/>
        </w:numPr>
        <w:ind w:left="420" w:leftChars="0"/>
        <w:rPr>
          <w:rFonts w:hint="eastAsia" w:ascii="楷体" w:hAnsi="楷体" w:eastAsia="楷体" w:cs="楷体"/>
          <w:sz w:val="28"/>
          <w:szCs w:val="28"/>
          <w:lang w:val="en-US" w:eastAsia="zh-CN"/>
        </w:rPr>
      </w:pPr>
      <w:r>
        <w:rPr>
          <w:rFonts w:hint="eastAsia" w:ascii="楷体" w:hAnsi="楷体" w:eastAsia="楷体" w:cs="楷体"/>
          <w:sz w:val="28"/>
          <w:szCs w:val="28"/>
          <w:lang w:val="en-US" w:eastAsia="zh-CN"/>
        </w:rPr>
        <w:t>4.设备改造与租赁费预算明细表（选填）</w:t>
      </w:r>
    </w:p>
    <w:p w14:paraId="5658911F">
      <w:pPr>
        <w:numPr>
          <w:ilvl w:val="0"/>
          <w:numId w:val="0"/>
        </w:numPr>
        <w:ind w:left="420" w:leftChars="0"/>
        <w:rPr>
          <w:rFonts w:hint="eastAsia" w:ascii="楷体" w:hAnsi="楷体" w:eastAsia="楷体" w:cs="楷体"/>
          <w:sz w:val="28"/>
          <w:szCs w:val="28"/>
          <w:lang w:val="en-US" w:eastAsia="zh-CN"/>
        </w:rPr>
      </w:pPr>
      <w:r>
        <w:rPr>
          <w:rFonts w:hint="eastAsia" w:ascii="楷体" w:hAnsi="楷体" w:eastAsia="楷体" w:cs="楷体"/>
          <w:sz w:val="28"/>
          <w:szCs w:val="28"/>
          <w:lang w:val="en-US" w:eastAsia="zh-CN"/>
        </w:rPr>
        <w:t>5.材料费预算明细表</w:t>
      </w:r>
    </w:p>
    <w:p w14:paraId="68C6156D">
      <w:pPr>
        <w:numPr>
          <w:ilvl w:val="0"/>
          <w:numId w:val="0"/>
        </w:numPr>
        <w:ind w:left="420" w:leftChars="0"/>
        <w:rPr>
          <w:rFonts w:hint="eastAsia" w:ascii="楷体" w:hAnsi="楷体" w:eastAsia="楷体" w:cs="楷体"/>
          <w:sz w:val="28"/>
          <w:szCs w:val="28"/>
          <w:lang w:val="en-US" w:eastAsia="zh-CN"/>
        </w:rPr>
      </w:pPr>
      <w:r>
        <w:rPr>
          <w:rFonts w:hint="eastAsia" w:ascii="楷体" w:hAnsi="楷体" w:eastAsia="楷体" w:cs="楷体"/>
          <w:sz w:val="28"/>
          <w:szCs w:val="28"/>
          <w:lang w:val="en-US" w:eastAsia="zh-CN"/>
        </w:rPr>
        <w:t>6.测试化验加工费预算明细表（选填）</w:t>
      </w:r>
    </w:p>
    <w:p w14:paraId="6152E78D">
      <w:pPr>
        <w:numPr>
          <w:ilvl w:val="0"/>
          <w:numId w:val="0"/>
        </w:numPr>
        <w:ind w:left="420" w:leftChars="0"/>
        <w:rPr>
          <w:rFonts w:hint="eastAsia" w:ascii="楷体" w:hAnsi="楷体" w:eastAsia="楷体" w:cs="楷体"/>
          <w:sz w:val="28"/>
          <w:szCs w:val="28"/>
          <w:lang w:val="en-US" w:eastAsia="zh-CN"/>
        </w:rPr>
      </w:pPr>
      <w:r>
        <w:rPr>
          <w:rFonts w:hint="eastAsia" w:ascii="楷体" w:hAnsi="楷体" w:eastAsia="楷体" w:cs="楷体"/>
          <w:sz w:val="28"/>
          <w:szCs w:val="28"/>
          <w:lang w:val="en-US" w:eastAsia="zh-CN"/>
        </w:rPr>
        <w:t>7.劳务费预算明细表</w:t>
      </w:r>
    </w:p>
    <w:p w14:paraId="73D9246E">
      <w:pPr>
        <w:numPr>
          <w:ilvl w:val="0"/>
          <w:numId w:val="0"/>
        </w:numPr>
        <w:ind w:left="420" w:leftChars="0"/>
        <w:rPr>
          <w:rFonts w:hint="eastAsia" w:ascii="楷体" w:hAnsi="楷体" w:eastAsia="楷体" w:cs="楷体"/>
          <w:sz w:val="28"/>
          <w:szCs w:val="28"/>
          <w:lang w:val="en-US" w:eastAsia="zh-CN"/>
        </w:rPr>
      </w:pPr>
      <w:r>
        <w:rPr>
          <w:rFonts w:hint="eastAsia" w:ascii="楷体" w:hAnsi="楷体" w:eastAsia="楷体" w:cs="楷体"/>
          <w:sz w:val="28"/>
          <w:szCs w:val="28"/>
          <w:lang w:val="en-US" w:eastAsia="zh-CN"/>
        </w:rPr>
        <w:t>8.大型科学仪器设施基本信息表（选填）</w:t>
      </w:r>
    </w:p>
    <w:p w14:paraId="6EF51EC9">
      <w:pPr>
        <w:numPr>
          <w:ilvl w:val="0"/>
          <w:numId w:val="0"/>
        </w:numPr>
        <w:ind w:left="420" w:leftChars="0"/>
        <w:rPr>
          <w:rFonts w:hint="eastAsia" w:ascii="楷体" w:hAnsi="楷体" w:eastAsia="楷体" w:cs="楷体"/>
          <w:sz w:val="28"/>
          <w:szCs w:val="28"/>
          <w:lang w:val="en-US" w:eastAsia="zh-CN"/>
        </w:rPr>
      </w:pPr>
      <w:r>
        <w:rPr>
          <w:rFonts w:hint="eastAsia" w:ascii="楷体" w:hAnsi="楷体" w:eastAsia="楷体" w:cs="楷体"/>
          <w:sz w:val="28"/>
          <w:szCs w:val="28"/>
          <w:lang w:val="en-US" w:eastAsia="zh-CN"/>
        </w:rPr>
        <w:t>9.实验动物使用情况表（选填）</w:t>
      </w:r>
    </w:p>
    <w:p w14:paraId="3F7EB08D">
      <w:pPr>
        <w:numPr>
          <w:ilvl w:val="0"/>
          <w:numId w:val="0"/>
        </w:numPr>
        <w:ind w:left="420" w:leftChars="0"/>
        <w:rPr>
          <w:rFonts w:hint="eastAsia" w:ascii="楷体" w:hAnsi="楷体" w:eastAsia="楷体" w:cs="楷体"/>
          <w:sz w:val="28"/>
          <w:szCs w:val="28"/>
          <w:lang w:val="en-US" w:eastAsia="zh-CN"/>
        </w:rPr>
      </w:pPr>
      <w:r>
        <w:rPr>
          <w:rFonts w:hint="eastAsia" w:ascii="楷体" w:hAnsi="楷体" w:eastAsia="楷体" w:cs="楷体"/>
          <w:sz w:val="28"/>
          <w:szCs w:val="28"/>
          <w:lang w:val="en-US" w:eastAsia="zh-CN"/>
        </w:rPr>
        <w:t>10.国际合作基本信息表（选填）</w:t>
      </w:r>
    </w:p>
    <w:p w14:paraId="22600712">
      <w:pPr>
        <w:numPr>
          <w:ilvl w:val="0"/>
          <w:numId w:val="0"/>
        </w:numPr>
        <w:ind w:left="420" w:leftChars="0"/>
        <w:rPr>
          <w:rFonts w:hint="eastAsia" w:ascii="楷体" w:hAnsi="楷体" w:eastAsia="楷体" w:cs="楷体"/>
          <w:sz w:val="28"/>
          <w:szCs w:val="28"/>
          <w:lang w:val="en-US" w:eastAsia="zh-CN"/>
        </w:rPr>
      </w:pPr>
      <w:r>
        <w:rPr>
          <w:rFonts w:hint="eastAsia" w:ascii="楷体" w:hAnsi="楷体" w:eastAsia="楷体" w:cs="楷体"/>
          <w:sz w:val="28"/>
          <w:szCs w:val="28"/>
          <w:lang w:val="en-US" w:eastAsia="zh-CN"/>
        </w:rPr>
        <w:t>11.涉及人类遗传资源情况表（选填）</w:t>
      </w:r>
    </w:p>
    <w:p w14:paraId="7A0A718F">
      <w:pPr>
        <w:numPr>
          <w:ilvl w:val="0"/>
          <w:numId w:val="0"/>
        </w:numPr>
        <w:ind w:left="420" w:leftChars="0"/>
        <w:rPr>
          <w:rFonts w:hint="eastAsia" w:ascii="楷体" w:hAnsi="楷体" w:eastAsia="楷体" w:cs="楷体"/>
          <w:sz w:val="28"/>
          <w:szCs w:val="28"/>
          <w:lang w:val="en-US" w:eastAsia="zh-CN"/>
        </w:rPr>
      </w:pPr>
      <w:r>
        <w:rPr>
          <w:rFonts w:hint="eastAsia" w:ascii="楷体" w:hAnsi="楷体" w:eastAsia="楷体" w:cs="楷体"/>
          <w:sz w:val="28"/>
          <w:szCs w:val="28"/>
          <w:lang w:val="en-US" w:eastAsia="zh-CN"/>
        </w:rPr>
        <w:t>12.伦理审查情况表（选填）</w:t>
      </w:r>
    </w:p>
    <w:p w14:paraId="758A9C93">
      <w:pPr>
        <w:rPr>
          <w:rFonts w:hint="eastAsia"/>
        </w:rPr>
      </w:pPr>
      <w:r>
        <w:rPr>
          <w:rFonts w:hint="eastAsia"/>
        </w:rPr>
        <w:br w:type="page"/>
      </w:r>
    </w:p>
    <w:p w14:paraId="2C10ADDD">
      <w:pPr>
        <w:pageBreakBefore w:val="0"/>
        <w:widowControl w:val="0"/>
        <w:kinsoku/>
        <w:overflowPunct/>
        <w:topLinePunct w:val="0"/>
        <w:autoSpaceDE w:val="0"/>
        <w:autoSpaceDN w:val="0"/>
        <w:bidi w:val="0"/>
        <w:adjustRightInd/>
        <w:spacing w:line="560" w:lineRule="exact"/>
        <w:ind w:left="0" w:leftChars="0" w:firstLine="0" w:firstLineChars="0"/>
        <w:jc w:val="both"/>
        <w:textAlignment w:val="auto"/>
        <w:outlineLvl w:val="0"/>
        <w:rPr>
          <w:rFonts w:hint="eastAsia" w:ascii="黑体" w:hAnsi="黑体" w:eastAsia="黑体" w:cs="Times New Roman"/>
          <w:kern w:val="2"/>
          <w:sz w:val="32"/>
          <w:szCs w:val="24"/>
          <w:lang w:val="en-US" w:eastAsia="zh-CN" w:bidi="ar-SA"/>
        </w:rPr>
        <w:sectPr>
          <w:headerReference r:id="rId4" w:type="first"/>
          <w:footerReference r:id="rId5" w:type="first"/>
          <w:headerReference r:id="rId3" w:type="even"/>
          <w:pgSz w:w="11906" w:h="16838"/>
          <w:pgMar w:top="1531" w:right="1361" w:bottom="1361" w:left="1361" w:header="851" w:footer="992" w:gutter="0"/>
          <w:pgNumType w:fmt="decimal"/>
          <w:cols w:space="0" w:num="1"/>
          <w:rtlGutter w:val="0"/>
          <w:docGrid w:type="linesAndChars" w:linePitch="312" w:charSpace="1433"/>
        </w:sectPr>
      </w:pPr>
      <w:bookmarkStart w:id="22" w:name="_Hlk69147686"/>
    </w:p>
    <w:p w14:paraId="4FDBD07B">
      <w:pPr>
        <w:pageBreakBefore w:val="0"/>
        <w:widowControl w:val="0"/>
        <w:kinsoku/>
        <w:overflowPunct/>
        <w:topLinePunct w:val="0"/>
        <w:autoSpaceDE w:val="0"/>
        <w:autoSpaceDN w:val="0"/>
        <w:bidi w:val="0"/>
        <w:adjustRightInd/>
        <w:spacing w:line="560" w:lineRule="exact"/>
        <w:ind w:left="0" w:leftChars="0" w:firstLine="0" w:firstLineChars="0"/>
        <w:jc w:val="both"/>
        <w:textAlignment w:val="auto"/>
        <w:outlineLvl w:val="0"/>
        <w:rPr>
          <w:rFonts w:ascii="黑体" w:hAnsi="黑体" w:eastAsia="黑体" w:cs="Times New Roman"/>
          <w:kern w:val="2"/>
          <w:sz w:val="32"/>
          <w:szCs w:val="24"/>
          <w:lang w:val="en-US" w:eastAsia="zh-CN" w:bidi="ar-SA"/>
        </w:rPr>
      </w:pPr>
      <w:r>
        <w:rPr>
          <w:rFonts w:hint="eastAsia" w:ascii="黑体" w:hAnsi="黑体" w:eastAsia="黑体" w:cs="Times New Roman"/>
          <w:kern w:val="2"/>
          <w:sz w:val="32"/>
          <w:szCs w:val="24"/>
          <w:lang w:val="en-US" w:eastAsia="zh-CN" w:bidi="ar-SA"/>
        </w:rPr>
        <w:t>附表1 项目参与成员明细</w:t>
      </w:r>
    </w:p>
    <w:tbl>
      <w:tblPr>
        <w:tblStyle w:val="19"/>
        <w:tblW w:w="5201"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2"/>
        <w:gridCol w:w="1012"/>
        <w:gridCol w:w="1498"/>
        <w:gridCol w:w="994"/>
        <w:gridCol w:w="1224"/>
        <w:gridCol w:w="1545"/>
        <w:gridCol w:w="1572"/>
        <w:gridCol w:w="1660"/>
        <w:gridCol w:w="1811"/>
        <w:gridCol w:w="1336"/>
        <w:gridCol w:w="1147"/>
      </w:tblGrid>
      <w:tr w14:paraId="2D9E9606">
        <w:trPr>
          <w:trHeight w:val="1043" w:hRule="atLeast"/>
        </w:trPr>
        <w:tc>
          <w:tcPr>
            <w:tcW w:w="316" w:type="pct"/>
            <w:vAlign w:val="center"/>
          </w:tcPr>
          <w:p w14:paraId="4D9F09B9">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r>
              <w:rPr>
                <w:rFonts w:hint="eastAsia" w:ascii="仿宋_GB2312" w:hAnsi="仿宋_GB2312" w:eastAsia="仿宋_GB2312" w:cs="仿宋_GB2312"/>
                <w:color w:val="000000"/>
                <w:sz w:val="28"/>
                <w:szCs w:val="28"/>
                <w14:ligatures w14:val="standardContextual"/>
              </w:rPr>
              <w:t>序号</w:t>
            </w:r>
          </w:p>
        </w:tc>
        <w:tc>
          <w:tcPr>
            <w:tcW w:w="343" w:type="pct"/>
            <w:vAlign w:val="center"/>
          </w:tcPr>
          <w:p w14:paraId="77AF80C0">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r>
              <w:rPr>
                <w:rFonts w:hint="eastAsia" w:ascii="仿宋_GB2312" w:hAnsi="仿宋_GB2312" w:eastAsia="仿宋_GB2312" w:cs="仿宋_GB2312"/>
                <w:color w:val="000000"/>
                <w:sz w:val="28"/>
                <w:szCs w:val="28"/>
                <w14:ligatures w14:val="standardContextual"/>
              </w:rPr>
              <w:t>姓名</w:t>
            </w:r>
          </w:p>
        </w:tc>
        <w:tc>
          <w:tcPr>
            <w:tcW w:w="508" w:type="pct"/>
            <w:vAlign w:val="center"/>
          </w:tcPr>
          <w:p w14:paraId="5497B8A1">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r>
              <w:rPr>
                <w:rFonts w:hint="eastAsia" w:ascii="仿宋_GB2312" w:hAnsi="仿宋_GB2312" w:eastAsia="仿宋_GB2312" w:cs="仿宋_GB2312"/>
                <w:color w:val="000000"/>
                <w:sz w:val="28"/>
                <w:szCs w:val="28"/>
                <w14:ligatures w14:val="standardContextual"/>
              </w:rPr>
              <w:t>身份证号</w:t>
            </w:r>
          </w:p>
        </w:tc>
        <w:tc>
          <w:tcPr>
            <w:tcW w:w="337" w:type="pct"/>
            <w:vAlign w:val="center"/>
          </w:tcPr>
          <w:p w14:paraId="0D65AD26">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r>
              <w:rPr>
                <w:rFonts w:hint="eastAsia" w:ascii="仿宋_GB2312" w:hAnsi="仿宋_GB2312" w:eastAsia="仿宋_GB2312" w:cs="仿宋_GB2312"/>
                <w:color w:val="000000"/>
                <w:sz w:val="28"/>
                <w:szCs w:val="28"/>
                <w14:ligatures w14:val="standardContextual"/>
              </w:rPr>
              <w:t>民族</w:t>
            </w:r>
          </w:p>
        </w:tc>
        <w:tc>
          <w:tcPr>
            <w:tcW w:w="415" w:type="pct"/>
            <w:vAlign w:val="center"/>
          </w:tcPr>
          <w:p w14:paraId="194F392B">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r>
              <w:rPr>
                <w:rFonts w:hint="eastAsia" w:ascii="仿宋_GB2312" w:hAnsi="仿宋_GB2312" w:eastAsia="仿宋_GB2312" w:cs="仿宋_GB2312"/>
                <w:color w:val="000000"/>
                <w:sz w:val="28"/>
                <w:szCs w:val="28"/>
                <w14:ligatures w14:val="standardContextual"/>
              </w:rPr>
              <w:t>学历</w:t>
            </w:r>
            <w:r>
              <w:rPr>
                <w:rFonts w:hint="eastAsia" w:ascii="仿宋_GB2312" w:hAnsi="仿宋_GB2312" w:eastAsia="仿宋_GB2312" w:cs="仿宋_GB2312"/>
                <w:color w:val="000000"/>
                <w:sz w:val="28"/>
                <w:szCs w:val="28"/>
                <w14:ligatures w14:val="standardContextual"/>
              </w:rPr>
              <w:br w:type="textWrapping"/>
            </w:r>
            <w:r>
              <w:rPr>
                <w:rFonts w:hint="eastAsia" w:ascii="仿宋_GB2312" w:hAnsi="仿宋_GB2312" w:eastAsia="仿宋_GB2312" w:cs="仿宋_GB2312"/>
                <w:color w:val="000000"/>
                <w:sz w:val="28"/>
                <w:szCs w:val="28"/>
                <w14:ligatures w14:val="standardContextual"/>
              </w:rPr>
              <w:t>学位</w:t>
            </w:r>
          </w:p>
        </w:tc>
        <w:tc>
          <w:tcPr>
            <w:tcW w:w="524" w:type="pct"/>
            <w:vAlign w:val="center"/>
          </w:tcPr>
          <w:p w14:paraId="550A087F">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r>
              <w:rPr>
                <w:rFonts w:hint="eastAsia" w:ascii="仿宋_GB2312" w:hAnsi="仿宋_GB2312" w:eastAsia="仿宋_GB2312" w:cs="仿宋_GB2312"/>
                <w:color w:val="000000"/>
                <w:sz w:val="28"/>
                <w:szCs w:val="28"/>
                <w14:ligatures w14:val="standardContextual"/>
              </w:rPr>
              <w:t>院校</w:t>
            </w:r>
            <w:r>
              <w:rPr>
                <w:rFonts w:hint="eastAsia" w:ascii="仿宋_GB2312" w:hAnsi="仿宋_GB2312" w:eastAsia="仿宋_GB2312" w:cs="仿宋_GB2312"/>
                <w:color w:val="000000"/>
                <w:sz w:val="28"/>
                <w:szCs w:val="28"/>
                <w14:ligatures w14:val="standardContextual"/>
              </w:rPr>
              <w:br w:type="textWrapping"/>
            </w:r>
            <w:r>
              <w:rPr>
                <w:rFonts w:hint="eastAsia" w:ascii="仿宋_GB2312" w:hAnsi="仿宋_GB2312" w:eastAsia="仿宋_GB2312" w:cs="仿宋_GB2312"/>
                <w:color w:val="000000"/>
                <w:sz w:val="28"/>
                <w:szCs w:val="28"/>
                <w14:ligatures w14:val="standardContextual"/>
              </w:rPr>
              <w:t>专业</w:t>
            </w:r>
          </w:p>
        </w:tc>
        <w:tc>
          <w:tcPr>
            <w:tcW w:w="533" w:type="pct"/>
            <w:vAlign w:val="center"/>
          </w:tcPr>
          <w:p w14:paraId="37FD9545">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r>
              <w:rPr>
                <w:rFonts w:hint="eastAsia" w:ascii="仿宋_GB2312" w:hAnsi="仿宋_GB2312" w:eastAsia="仿宋_GB2312" w:cs="仿宋_GB2312"/>
                <w:color w:val="000000"/>
                <w:sz w:val="28"/>
                <w:szCs w:val="28"/>
                <w14:ligatures w14:val="standardContextual"/>
              </w:rPr>
              <w:t>职称或</w:t>
            </w:r>
            <w:r>
              <w:rPr>
                <w:rFonts w:hint="eastAsia" w:ascii="仿宋_GB2312" w:hAnsi="仿宋_GB2312" w:eastAsia="仿宋_GB2312" w:cs="仿宋_GB2312"/>
                <w:color w:val="000000"/>
                <w:sz w:val="28"/>
                <w:szCs w:val="28"/>
                <w14:ligatures w14:val="standardContextual"/>
              </w:rPr>
              <w:br w:type="textWrapping"/>
            </w:r>
            <w:r>
              <w:rPr>
                <w:rFonts w:hint="eastAsia" w:ascii="仿宋_GB2312" w:hAnsi="仿宋_GB2312" w:eastAsia="仿宋_GB2312" w:cs="仿宋_GB2312"/>
                <w:color w:val="000000"/>
                <w:sz w:val="28"/>
                <w:szCs w:val="28"/>
                <w14:ligatures w14:val="standardContextual"/>
              </w:rPr>
              <w:t>职务</w:t>
            </w:r>
          </w:p>
        </w:tc>
        <w:tc>
          <w:tcPr>
            <w:tcW w:w="563" w:type="pct"/>
            <w:vAlign w:val="center"/>
          </w:tcPr>
          <w:p w14:paraId="35786230">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r>
              <w:rPr>
                <w:rFonts w:hint="eastAsia" w:ascii="仿宋_GB2312" w:hAnsi="仿宋_GB2312" w:eastAsia="仿宋_GB2312" w:cs="仿宋_GB2312"/>
                <w:color w:val="000000"/>
                <w:sz w:val="28"/>
                <w:szCs w:val="28"/>
                <w14:ligatures w14:val="standardContextual"/>
              </w:rPr>
              <w:t>所属单位</w:t>
            </w:r>
          </w:p>
        </w:tc>
        <w:tc>
          <w:tcPr>
            <w:tcW w:w="614" w:type="pct"/>
            <w:vAlign w:val="center"/>
          </w:tcPr>
          <w:p w14:paraId="7EA8674A">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r>
              <w:rPr>
                <w:rFonts w:hint="eastAsia" w:ascii="仿宋_GB2312" w:hAnsi="仿宋_GB2312" w:eastAsia="仿宋_GB2312" w:cs="仿宋_GB2312"/>
                <w:color w:val="000000"/>
                <w:sz w:val="28"/>
                <w:szCs w:val="28"/>
                <w14:ligatures w14:val="standardContextual"/>
              </w:rPr>
              <w:t>参加工</w:t>
            </w:r>
            <w:r>
              <w:rPr>
                <w:rFonts w:hint="eastAsia" w:ascii="仿宋_GB2312" w:hAnsi="仿宋_GB2312" w:eastAsia="仿宋_GB2312" w:cs="仿宋_GB2312"/>
                <w:color w:val="000000"/>
                <w:sz w:val="28"/>
                <w:szCs w:val="28"/>
                <w14:ligatures w14:val="standardContextual"/>
              </w:rPr>
              <w:br w:type="textWrapping"/>
            </w:r>
            <w:r>
              <w:rPr>
                <w:rFonts w:hint="eastAsia" w:ascii="仿宋_GB2312" w:hAnsi="仿宋_GB2312" w:eastAsia="仿宋_GB2312" w:cs="仿宋_GB2312"/>
                <w:color w:val="000000"/>
                <w:sz w:val="28"/>
                <w:szCs w:val="28"/>
                <w14:ligatures w14:val="standardContextual"/>
              </w:rPr>
              <w:t>作时间</w:t>
            </w:r>
          </w:p>
        </w:tc>
        <w:tc>
          <w:tcPr>
            <w:tcW w:w="453" w:type="pct"/>
            <w:vAlign w:val="center"/>
          </w:tcPr>
          <w:p w14:paraId="684D9C71">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r>
              <w:rPr>
                <w:rFonts w:hint="eastAsia" w:ascii="仿宋_GB2312" w:hAnsi="仿宋_GB2312" w:eastAsia="仿宋_GB2312" w:cs="仿宋_GB2312"/>
                <w:color w:val="000000"/>
                <w:sz w:val="28"/>
                <w:szCs w:val="28"/>
                <w14:ligatures w14:val="standardContextual"/>
              </w:rPr>
              <w:t>项目</w:t>
            </w:r>
            <w:r>
              <w:rPr>
                <w:rFonts w:hint="eastAsia" w:ascii="仿宋_GB2312" w:hAnsi="仿宋_GB2312" w:eastAsia="仿宋_GB2312" w:cs="仿宋_GB2312"/>
                <w:color w:val="000000"/>
                <w:sz w:val="28"/>
                <w:szCs w:val="28"/>
                <w14:ligatures w14:val="standardContextual"/>
              </w:rPr>
              <w:br w:type="textWrapping"/>
            </w:r>
            <w:r>
              <w:rPr>
                <w:rFonts w:hint="eastAsia" w:ascii="仿宋_GB2312" w:hAnsi="仿宋_GB2312" w:eastAsia="仿宋_GB2312" w:cs="仿宋_GB2312"/>
                <w:color w:val="000000"/>
                <w:sz w:val="28"/>
                <w:szCs w:val="28"/>
                <w14:ligatures w14:val="standardContextual"/>
              </w:rPr>
              <w:t>职责</w:t>
            </w:r>
          </w:p>
        </w:tc>
        <w:tc>
          <w:tcPr>
            <w:tcW w:w="389" w:type="pct"/>
            <w:vAlign w:val="center"/>
          </w:tcPr>
          <w:p w14:paraId="160E4146">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r>
              <w:rPr>
                <w:rFonts w:hint="eastAsia" w:ascii="仿宋_GB2312" w:hAnsi="仿宋_GB2312" w:eastAsia="仿宋_GB2312" w:cs="仿宋_GB2312"/>
                <w:color w:val="000000"/>
                <w:sz w:val="28"/>
                <w:szCs w:val="28"/>
                <w14:ligatures w14:val="standardContextual"/>
              </w:rPr>
              <w:t>投入</w:t>
            </w:r>
            <w:r>
              <w:rPr>
                <w:rFonts w:hint="eastAsia" w:ascii="仿宋_GB2312" w:hAnsi="仿宋_GB2312" w:eastAsia="仿宋_GB2312" w:cs="仿宋_GB2312"/>
                <w:color w:val="000000"/>
                <w:sz w:val="28"/>
                <w:szCs w:val="28"/>
                <w14:ligatures w14:val="standardContextual"/>
              </w:rPr>
              <w:br w:type="textWrapping"/>
            </w:r>
            <w:r>
              <w:rPr>
                <w:rFonts w:hint="eastAsia" w:ascii="仿宋_GB2312" w:hAnsi="仿宋_GB2312" w:eastAsia="仿宋_GB2312" w:cs="仿宋_GB2312"/>
                <w:color w:val="000000"/>
                <w:sz w:val="28"/>
                <w:szCs w:val="28"/>
                <w14:ligatures w14:val="standardContextual"/>
              </w:rPr>
              <w:t>时间</w:t>
            </w:r>
          </w:p>
        </w:tc>
      </w:tr>
      <w:tr w14:paraId="7F2A8F41">
        <w:trPr>
          <w:trHeight w:val="927" w:hRule="atLeast"/>
        </w:trPr>
        <w:tc>
          <w:tcPr>
            <w:tcW w:w="316" w:type="pct"/>
          </w:tcPr>
          <w:p w14:paraId="313AD24C">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2D00C7"/>
                <w:sz w:val="28"/>
                <w:szCs w:val="28"/>
                <w14:ligatures w14:val="standardContextual"/>
              </w:rPr>
            </w:pPr>
            <w:r>
              <w:rPr>
                <w:rFonts w:hint="eastAsia" w:ascii="仿宋_GB2312" w:hAnsi="仿宋_GB2312" w:eastAsia="仿宋_GB2312" w:cs="仿宋_GB2312"/>
                <w:color w:val="2D00C7"/>
                <w:sz w:val="28"/>
                <w:szCs w:val="28"/>
                <w14:ligatures w14:val="standardContextual"/>
              </w:rPr>
              <w:t>1</w:t>
            </w:r>
          </w:p>
        </w:tc>
        <w:tc>
          <w:tcPr>
            <w:tcW w:w="343" w:type="pct"/>
          </w:tcPr>
          <w:p w14:paraId="5000ACBC">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2D00C7"/>
                <w:sz w:val="28"/>
                <w:szCs w:val="28"/>
                <w14:ligatures w14:val="standardContextual"/>
              </w:rPr>
            </w:pPr>
            <w:r>
              <w:rPr>
                <w:rFonts w:hint="eastAsia" w:ascii="仿宋_GB2312" w:hAnsi="仿宋_GB2312" w:eastAsia="仿宋_GB2312" w:cs="仿宋_GB2312"/>
                <w:color w:val="2D00C7"/>
                <w:sz w:val="28"/>
                <w:szCs w:val="28"/>
                <w14:ligatures w14:val="standardContextual"/>
              </w:rPr>
              <w:t>例</w:t>
            </w:r>
          </w:p>
        </w:tc>
        <w:tc>
          <w:tcPr>
            <w:tcW w:w="508" w:type="pct"/>
          </w:tcPr>
          <w:p w14:paraId="2536B17A">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2D00C7"/>
                <w:sz w:val="28"/>
                <w:szCs w:val="28"/>
                <w14:ligatures w14:val="standardContextual"/>
              </w:rPr>
            </w:pPr>
            <w:r>
              <w:rPr>
                <w:rFonts w:hint="eastAsia" w:ascii="仿宋_GB2312" w:hAnsi="仿宋_GB2312" w:eastAsia="仿宋_GB2312" w:cs="仿宋_GB2312"/>
                <w:color w:val="2D00C7"/>
                <w:sz w:val="28"/>
                <w:szCs w:val="28"/>
                <w14:ligatures w14:val="standardContextual"/>
              </w:rPr>
              <w:t>12345678</w:t>
            </w:r>
          </w:p>
        </w:tc>
        <w:tc>
          <w:tcPr>
            <w:tcW w:w="337" w:type="pct"/>
          </w:tcPr>
          <w:p w14:paraId="60BD7787">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2D00C7"/>
                <w:sz w:val="28"/>
                <w:szCs w:val="28"/>
                <w14:ligatures w14:val="standardContextual"/>
              </w:rPr>
            </w:pPr>
            <w:r>
              <w:rPr>
                <w:rFonts w:hint="eastAsia" w:ascii="仿宋_GB2312" w:hAnsi="仿宋_GB2312" w:eastAsia="仿宋_GB2312" w:cs="仿宋_GB2312"/>
                <w:color w:val="2D00C7"/>
                <w:sz w:val="28"/>
                <w:szCs w:val="28"/>
                <w14:ligatures w14:val="standardContextual"/>
              </w:rPr>
              <w:t>汉</w:t>
            </w:r>
          </w:p>
        </w:tc>
        <w:tc>
          <w:tcPr>
            <w:tcW w:w="415" w:type="pct"/>
          </w:tcPr>
          <w:p w14:paraId="0D633E3B">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2D00C7"/>
                <w:sz w:val="28"/>
                <w:szCs w:val="28"/>
                <w14:ligatures w14:val="standardContextual"/>
              </w:rPr>
            </w:pPr>
            <w:r>
              <w:rPr>
                <w:rFonts w:hint="eastAsia" w:ascii="仿宋_GB2312" w:hAnsi="仿宋_GB2312" w:eastAsia="仿宋_GB2312" w:cs="仿宋_GB2312"/>
                <w:color w:val="2D00C7"/>
                <w:sz w:val="28"/>
                <w:szCs w:val="28"/>
                <w14:ligatures w14:val="standardContextual"/>
              </w:rPr>
              <w:t>博士研究生</w:t>
            </w:r>
          </w:p>
        </w:tc>
        <w:tc>
          <w:tcPr>
            <w:tcW w:w="524" w:type="pct"/>
          </w:tcPr>
          <w:p w14:paraId="07E830D5">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2D00C7"/>
                <w:sz w:val="28"/>
                <w:szCs w:val="28"/>
                <w14:ligatures w14:val="standardContextual"/>
              </w:rPr>
            </w:pPr>
            <w:r>
              <w:rPr>
                <w:rFonts w:hint="eastAsia" w:ascii="仿宋_GB2312" w:hAnsi="仿宋_GB2312" w:eastAsia="仿宋_GB2312" w:cs="仿宋_GB2312"/>
                <w:color w:val="2D00C7"/>
                <w:sz w:val="28"/>
                <w:szCs w:val="28"/>
                <w14:ligatures w14:val="standardContextual"/>
              </w:rPr>
              <w:t>北京大学</w:t>
            </w:r>
          </w:p>
          <w:p w14:paraId="09DBB400">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2D00C7"/>
                <w:sz w:val="28"/>
                <w:szCs w:val="28"/>
                <w14:ligatures w14:val="standardContextual"/>
              </w:rPr>
            </w:pPr>
            <w:r>
              <w:rPr>
                <w:rFonts w:hint="eastAsia" w:ascii="仿宋_GB2312" w:hAnsi="仿宋_GB2312" w:eastAsia="仿宋_GB2312" w:cs="仿宋_GB2312"/>
                <w:color w:val="2D00C7"/>
                <w:sz w:val="28"/>
                <w:szCs w:val="28"/>
                <w14:ligatures w14:val="standardContextual"/>
              </w:rPr>
              <w:t>微电子</w:t>
            </w:r>
          </w:p>
        </w:tc>
        <w:tc>
          <w:tcPr>
            <w:tcW w:w="533" w:type="pct"/>
          </w:tcPr>
          <w:p w14:paraId="4A74DF15">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2D00C7"/>
                <w:sz w:val="28"/>
                <w:szCs w:val="28"/>
                <w14:ligatures w14:val="standardContextual"/>
              </w:rPr>
            </w:pPr>
            <w:r>
              <w:rPr>
                <w:rFonts w:hint="eastAsia" w:ascii="仿宋_GB2312" w:hAnsi="仿宋_GB2312" w:eastAsia="仿宋_GB2312" w:cs="仿宋_GB2312"/>
                <w:color w:val="2D00C7"/>
                <w:sz w:val="28"/>
                <w:szCs w:val="28"/>
                <w14:ligatures w14:val="standardContextual"/>
              </w:rPr>
              <w:t>研究员三级</w:t>
            </w:r>
          </w:p>
        </w:tc>
        <w:tc>
          <w:tcPr>
            <w:tcW w:w="563" w:type="pct"/>
          </w:tcPr>
          <w:p w14:paraId="557CAF3E">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2D00C7"/>
                <w:sz w:val="28"/>
                <w:szCs w:val="28"/>
                <w14:ligatures w14:val="standardContextual"/>
              </w:rPr>
            </w:pPr>
            <w:r>
              <w:rPr>
                <w:rFonts w:hint="eastAsia" w:ascii="仿宋_GB2312" w:hAnsi="仿宋_GB2312" w:eastAsia="仿宋_GB2312" w:cs="仿宋_GB2312"/>
                <w:color w:val="2D00C7"/>
                <w:sz w:val="28"/>
                <w:szCs w:val="28"/>
                <w14:ligatures w14:val="standardContextual"/>
              </w:rPr>
              <w:t>中科院XX所</w:t>
            </w:r>
          </w:p>
        </w:tc>
        <w:tc>
          <w:tcPr>
            <w:tcW w:w="614" w:type="pct"/>
          </w:tcPr>
          <w:p w14:paraId="29817BAD">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2D00C7"/>
                <w:sz w:val="28"/>
                <w:szCs w:val="28"/>
                <w14:ligatures w14:val="standardContextual"/>
              </w:rPr>
            </w:pPr>
            <w:r>
              <w:rPr>
                <w:rFonts w:hint="eastAsia" w:ascii="仿宋_GB2312" w:hAnsi="仿宋_GB2312" w:eastAsia="仿宋_GB2312" w:cs="仿宋_GB2312"/>
                <w:color w:val="2D00C7"/>
                <w:sz w:val="28"/>
                <w:szCs w:val="28"/>
                <w14:ligatures w14:val="standardContextual"/>
              </w:rPr>
              <w:t>2000-1-1</w:t>
            </w:r>
          </w:p>
        </w:tc>
        <w:tc>
          <w:tcPr>
            <w:tcW w:w="453" w:type="pct"/>
          </w:tcPr>
          <w:p w14:paraId="31E608EC">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2D00C7"/>
                <w:sz w:val="28"/>
                <w:szCs w:val="28"/>
                <w14:ligatures w14:val="standardContextual"/>
              </w:rPr>
            </w:pPr>
            <w:r>
              <w:rPr>
                <w:rFonts w:hint="eastAsia" w:ascii="仿宋_GB2312" w:hAnsi="仿宋_GB2312" w:eastAsia="仿宋_GB2312" w:cs="仿宋_GB2312"/>
                <w:color w:val="2D00C7"/>
                <w:sz w:val="28"/>
                <w:szCs w:val="28"/>
                <w14:ligatures w14:val="standardContextual"/>
              </w:rPr>
              <w:t>负责人</w:t>
            </w:r>
          </w:p>
        </w:tc>
        <w:tc>
          <w:tcPr>
            <w:tcW w:w="389" w:type="pct"/>
          </w:tcPr>
          <w:p w14:paraId="3C750B22">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2D00C7"/>
                <w:sz w:val="28"/>
                <w:szCs w:val="28"/>
                <w14:ligatures w14:val="standardContextual"/>
              </w:rPr>
            </w:pPr>
            <w:r>
              <w:rPr>
                <w:rFonts w:hint="eastAsia" w:ascii="仿宋_GB2312" w:hAnsi="仿宋_GB2312" w:eastAsia="仿宋_GB2312" w:cs="仿宋_GB2312"/>
                <w:color w:val="2D00C7"/>
                <w:sz w:val="28"/>
                <w:szCs w:val="28"/>
                <w14:ligatures w14:val="standardContextual"/>
              </w:rPr>
              <w:t>21个月</w:t>
            </w:r>
          </w:p>
        </w:tc>
      </w:tr>
      <w:tr w14:paraId="2C69D6ED">
        <w:tc>
          <w:tcPr>
            <w:tcW w:w="316" w:type="pct"/>
          </w:tcPr>
          <w:p w14:paraId="7D0FDF5C">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343" w:type="pct"/>
          </w:tcPr>
          <w:p w14:paraId="3336648D">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508" w:type="pct"/>
          </w:tcPr>
          <w:p w14:paraId="534C30E0">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337" w:type="pct"/>
          </w:tcPr>
          <w:p w14:paraId="7AEB4A4F">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415" w:type="pct"/>
          </w:tcPr>
          <w:p w14:paraId="524A785F">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524" w:type="pct"/>
          </w:tcPr>
          <w:p w14:paraId="46C85D17">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533" w:type="pct"/>
          </w:tcPr>
          <w:p w14:paraId="635612FE">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563" w:type="pct"/>
          </w:tcPr>
          <w:p w14:paraId="646710CE">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614" w:type="pct"/>
          </w:tcPr>
          <w:p w14:paraId="15849447">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453" w:type="pct"/>
          </w:tcPr>
          <w:p w14:paraId="5867F762">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389" w:type="pct"/>
          </w:tcPr>
          <w:p w14:paraId="2DEA9B81">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r>
      <w:tr w14:paraId="683EE5E2">
        <w:tc>
          <w:tcPr>
            <w:tcW w:w="316" w:type="pct"/>
          </w:tcPr>
          <w:p w14:paraId="63D76D61">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343" w:type="pct"/>
          </w:tcPr>
          <w:p w14:paraId="49545F99">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508" w:type="pct"/>
          </w:tcPr>
          <w:p w14:paraId="7FCF77B8">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337" w:type="pct"/>
          </w:tcPr>
          <w:p w14:paraId="34ACF02D">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415" w:type="pct"/>
          </w:tcPr>
          <w:p w14:paraId="609060B7">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524" w:type="pct"/>
          </w:tcPr>
          <w:p w14:paraId="354DC23D">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533" w:type="pct"/>
          </w:tcPr>
          <w:p w14:paraId="03577E21">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563" w:type="pct"/>
          </w:tcPr>
          <w:p w14:paraId="0BB9D7EB">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614" w:type="pct"/>
          </w:tcPr>
          <w:p w14:paraId="0A4F5A42">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453" w:type="pct"/>
          </w:tcPr>
          <w:p w14:paraId="677ECC9F">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389" w:type="pct"/>
          </w:tcPr>
          <w:p w14:paraId="55E901E6">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r>
      <w:tr w14:paraId="1886A6BD">
        <w:tc>
          <w:tcPr>
            <w:tcW w:w="316" w:type="pct"/>
          </w:tcPr>
          <w:p w14:paraId="5F749DF3">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343" w:type="pct"/>
          </w:tcPr>
          <w:p w14:paraId="16D07A1F">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508" w:type="pct"/>
          </w:tcPr>
          <w:p w14:paraId="557EF233">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337" w:type="pct"/>
          </w:tcPr>
          <w:p w14:paraId="5D2C6A3D">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415" w:type="pct"/>
          </w:tcPr>
          <w:p w14:paraId="1FAEC9BF">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524" w:type="pct"/>
          </w:tcPr>
          <w:p w14:paraId="069CDE0E">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533" w:type="pct"/>
          </w:tcPr>
          <w:p w14:paraId="5B2C3797">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563" w:type="pct"/>
          </w:tcPr>
          <w:p w14:paraId="64FCF699">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614" w:type="pct"/>
          </w:tcPr>
          <w:p w14:paraId="06A1902F">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453" w:type="pct"/>
          </w:tcPr>
          <w:p w14:paraId="4B0002A1">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389" w:type="pct"/>
          </w:tcPr>
          <w:p w14:paraId="3F7126F9">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r>
      <w:tr w14:paraId="2C9FE6C5">
        <w:tc>
          <w:tcPr>
            <w:tcW w:w="316" w:type="pct"/>
          </w:tcPr>
          <w:p w14:paraId="561884C1">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343" w:type="pct"/>
          </w:tcPr>
          <w:p w14:paraId="22D23B27">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508" w:type="pct"/>
          </w:tcPr>
          <w:p w14:paraId="70B12457">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337" w:type="pct"/>
          </w:tcPr>
          <w:p w14:paraId="02A9AA55">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415" w:type="pct"/>
          </w:tcPr>
          <w:p w14:paraId="1A728B7A">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524" w:type="pct"/>
          </w:tcPr>
          <w:p w14:paraId="44629823">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533" w:type="pct"/>
          </w:tcPr>
          <w:p w14:paraId="45998178">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563" w:type="pct"/>
          </w:tcPr>
          <w:p w14:paraId="7A47DC49">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614" w:type="pct"/>
          </w:tcPr>
          <w:p w14:paraId="726090D0">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453" w:type="pct"/>
          </w:tcPr>
          <w:p w14:paraId="681F28C3">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389" w:type="pct"/>
          </w:tcPr>
          <w:p w14:paraId="6F60F9C4">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r>
      <w:tr w14:paraId="37F7FA30">
        <w:tc>
          <w:tcPr>
            <w:tcW w:w="316" w:type="pct"/>
          </w:tcPr>
          <w:p w14:paraId="2A81EC14">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343" w:type="pct"/>
          </w:tcPr>
          <w:p w14:paraId="0AE36D48">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508" w:type="pct"/>
          </w:tcPr>
          <w:p w14:paraId="49557146">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337" w:type="pct"/>
          </w:tcPr>
          <w:p w14:paraId="2B8305FB">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415" w:type="pct"/>
          </w:tcPr>
          <w:p w14:paraId="40C8DE13">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524" w:type="pct"/>
          </w:tcPr>
          <w:p w14:paraId="1CFCE62E">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533" w:type="pct"/>
          </w:tcPr>
          <w:p w14:paraId="719CCA27">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563" w:type="pct"/>
          </w:tcPr>
          <w:p w14:paraId="66C97EEE">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614" w:type="pct"/>
          </w:tcPr>
          <w:p w14:paraId="29538D7E">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453" w:type="pct"/>
          </w:tcPr>
          <w:p w14:paraId="1C70CD70">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389" w:type="pct"/>
          </w:tcPr>
          <w:p w14:paraId="3B7064F6">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r>
      <w:bookmarkEnd w:id="22"/>
    </w:tbl>
    <w:p w14:paraId="67B31F20">
      <w:pPr>
        <w:pageBreakBefore w:val="0"/>
        <w:kinsoku/>
        <w:overflowPunct/>
        <w:topLinePunct w:val="0"/>
        <w:bidi w:val="0"/>
        <w:adjustRightInd/>
        <w:spacing w:line="560" w:lineRule="exact"/>
        <w:ind w:left="0" w:leftChars="0" w:firstLine="0" w:firstLineChars="0"/>
        <w:jc w:val="both"/>
        <w:textAlignment w:val="auto"/>
        <w:rPr>
          <w:rFonts w:hint="eastAsia"/>
          <w:lang w:val="en-US" w:eastAsia="zh-CN"/>
        </w:rPr>
        <w:sectPr>
          <w:pgSz w:w="16838" w:h="11906" w:orient="landscape"/>
          <w:pgMar w:top="1361" w:right="1531" w:bottom="1361" w:left="1361" w:header="851" w:footer="992" w:gutter="0"/>
          <w:pgNumType w:fmt="decimal"/>
          <w:cols w:space="0" w:num="1"/>
          <w:rtlGutter w:val="0"/>
          <w:docGrid w:type="linesAndChars" w:linePitch="382" w:charSpace="1433"/>
        </w:sectPr>
      </w:pPr>
    </w:p>
    <w:p w14:paraId="6CAE5E7F">
      <w:pPr>
        <w:pageBreakBefore w:val="0"/>
        <w:widowControl w:val="0"/>
        <w:kinsoku/>
        <w:overflowPunct/>
        <w:topLinePunct w:val="0"/>
        <w:autoSpaceDE w:val="0"/>
        <w:autoSpaceDN w:val="0"/>
        <w:bidi w:val="0"/>
        <w:adjustRightInd/>
        <w:spacing w:line="560" w:lineRule="exact"/>
        <w:ind w:left="0" w:leftChars="0" w:firstLine="0" w:firstLineChars="0"/>
        <w:jc w:val="both"/>
        <w:textAlignment w:val="auto"/>
        <w:outlineLvl w:val="0"/>
        <w:rPr>
          <w:rFonts w:ascii="黑体" w:hAnsi="黑体" w:eastAsia="黑体" w:cs="Times New Roman"/>
          <w:kern w:val="2"/>
          <w:sz w:val="32"/>
          <w:szCs w:val="24"/>
          <w:lang w:val="en-US" w:eastAsia="zh-CN" w:bidi="ar-SA"/>
        </w:rPr>
      </w:pPr>
      <w:r>
        <w:rPr>
          <w:rFonts w:hint="eastAsia" w:ascii="黑体" w:hAnsi="黑体" w:eastAsia="黑体" w:cs="Times New Roman"/>
          <w:kern w:val="2"/>
          <w:sz w:val="32"/>
          <w:szCs w:val="24"/>
          <w:lang w:val="en-US" w:eastAsia="zh-CN" w:bidi="ar-SA"/>
        </w:rPr>
        <w:t>附表2-1</w:t>
      </w:r>
      <w:r>
        <w:rPr>
          <w:rFonts w:hint="eastAsia" w:ascii="黑体" w:hAnsi="黑体" w:eastAsia="黑体" w:cs="Times New Roman"/>
          <w:kern w:val="2"/>
          <w:sz w:val="32"/>
          <w:szCs w:val="24"/>
          <w:lang w:val="en-US" w:eastAsia="zh-CN" w:bidi="ar-SA"/>
        </w:rPr>
        <w:tab/>
      </w:r>
      <w:r>
        <w:rPr>
          <w:rFonts w:hint="eastAsia" w:ascii="黑体" w:hAnsi="黑体" w:eastAsia="黑体" w:cs="Times New Roman"/>
          <w:kern w:val="2"/>
          <w:sz w:val="32"/>
          <w:szCs w:val="24"/>
          <w:lang w:val="en-US" w:eastAsia="zh-CN" w:bidi="ar-SA"/>
        </w:rPr>
        <w:t>项目经费预算表</w:t>
      </w:r>
    </w:p>
    <w:p w14:paraId="77A6DA47">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360" w:firstLineChars="150"/>
        <w:jc w:val="righ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金额单位：</w:t>
      </w:r>
      <w:r>
        <w:rPr>
          <w:rFonts w:hint="eastAsia" w:ascii="仿宋_GB2312" w:hAnsi="仿宋_GB2312" w:cs="仿宋_GB2312"/>
          <w:sz w:val="24"/>
          <w:szCs w:val="24"/>
          <w:lang w:val="en-US" w:eastAsia="zh-CN"/>
        </w:rPr>
        <w:t>万</w:t>
      </w:r>
      <w:r>
        <w:rPr>
          <w:rFonts w:hint="eastAsia" w:ascii="仿宋_GB2312" w:hAnsi="仿宋_GB2312" w:eastAsia="仿宋_GB2312" w:cs="仿宋_GB2312"/>
          <w:sz w:val="24"/>
          <w:szCs w:val="24"/>
        </w:rPr>
        <w:t>元</w:t>
      </w:r>
    </w:p>
    <w:tbl>
      <w:tblPr>
        <w:tblStyle w:val="18"/>
        <w:tblW w:w="5141" w:type="pct"/>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0" w:type="dxa"/>
          <w:bottom w:w="0" w:type="dxa"/>
          <w:right w:w="0" w:type="dxa"/>
        </w:tblCellMar>
      </w:tblPr>
      <w:tblGrid>
        <w:gridCol w:w="4761"/>
        <w:gridCol w:w="1130"/>
        <w:gridCol w:w="1091"/>
        <w:gridCol w:w="1168"/>
        <w:gridCol w:w="1299"/>
      </w:tblGrid>
      <w:tr w14:paraId="582EEE3C">
        <w:trPr>
          <w:trHeight w:val="576" w:hRule="atLeast"/>
          <w:jc w:val="center"/>
        </w:trPr>
        <w:tc>
          <w:tcPr>
            <w:tcW w:w="2519" w:type="pct"/>
            <w:shd w:val="clear" w:color="auto" w:fill="auto"/>
            <w:vAlign w:val="center"/>
          </w:tcPr>
          <w:p w14:paraId="20039E64">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r>
              <w:rPr>
                <w:rFonts w:hint="eastAsia" w:ascii="仿宋_GB2312" w:hAnsi="仿宋_GB2312" w:cs="仿宋_GB2312"/>
                <w:b/>
                <w:bCs/>
                <w:spacing w:val="-6"/>
                <w:sz w:val="24"/>
                <w:szCs w:val="24"/>
                <w:lang w:eastAsia="zh-CN"/>
              </w:rPr>
              <w:t>科目</w:t>
            </w:r>
            <w:r>
              <w:rPr>
                <w:rFonts w:hint="eastAsia" w:ascii="仿宋_GB2312" w:hAnsi="仿宋_GB2312" w:eastAsia="仿宋_GB2312" w:cs="仿宋_GB2312"/>
                <w:b/>
                <w:bCs/>
                <w:spacing w:val="-6"/>
                <w:sz w:val="24"/>
                <w:szCs w:val="24"/>
              </w:rPr>
              <w:t>名称</w:t>
            </w:r>
          </w:p>
        </w:tc>
        <w:tc>
          <w:tcPr>
            <w:tcW w:w="598" w:type="pct"/>
            <w:shd w:val="clear" w:color="auto" w:fill="auto"/>
            <w:vAlign w:val="center"/>
          </w:tcPr>
          <w:p w14:paraId="77ED492F">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4" w:leftChars="0" w:right="0" w:hanging="4" w:hangingChars="2"/>
              <w:contextualSpacing/>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b/>
                <w:bCs/>
                <w:spacing w:val="4"/>
                <w:position w:val="4"/>
                <w:sz w:val="24"/>
                <w:szCs w:val="24"/>
              </w:rPr>
              <w:t>合计</w:t>
            </w:r>
          </w:p>
        </w:tc>
        <w:tc>
          <w:tcPr>
            <w:tcW w:w="577" w:type="pct"/>
            <w:shd w:val="clear" w:color="auto" w:fill="auto"/>
            <w:vAlign w:val="center"/>
          </w:tcPr>
          <w:p w14:paraId="45536E61">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4" w:leftChars="0" w:right="0" w:hanging="4" w:hangingChars="2"/>
              <w:contextualSpacing/>
              <w:jc w:val="center"/>
              <w:textAlignment w:val="auto"/>
              <w:rPr>
                <w:rFonts w:hint="eastAsia" w:ascii="仿宋_GB2312" w:hAnsi="仿宋_GB2312" w:eastAsia="仿宋_GB2312" w:cs="仿宋_GB2312"/>
                <w:b/>
                <w:bCs/>
                <w:spacing w:val="4"/>
                <w:position w:val="4"/>
                <w:sz w:val="24"/>
                <w:szCs w:val="24"/>
              </w:rPr>
            </w:pPr>
            <w:r>
              <w:rPr>
                <w:rFonts w:hint="eastAsia" w:ascii="仿宋_GB2312" w:hAnsi="仿宋_GB2312" w:eastAsia="仿宋_GB2312" w:cs="仿宋_GB2312"/>
                <w:b/>
                <w:bCs/>
                <w:spacing w:val="4"/>
                <w:position w:val="4"/>
                <w:sz w:val="24"/>
                <w:szCs w:val="24"/>
              </w:rPr>
              <w:t>专项资助</w:t>
            </w:r>
          </w:p>
        </w:tc>
        <w:tc>
          <w:tcPr>
            <w:tcW w:w="618" w:type="pct"/>
            <w:tcBorders>
              <w:right w:val="single" w:color="auto" w:sz="4" w:space="0"/>
            </w:tcBorders>
            <w:shd w:val="clear" w:color="auto" w:fill="auto"/>
            <w:vAlign w:val="center"/>
          </w:tcPr>
          <w:p w14:paraId="33659F02">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4" w:leftChars="0" w:right="0" w:hanging="4" w:hangingChars="2"/>
              <w:contextualSpacing/>
              <w:jc w:val="center"/>
              <w:textAlignment w:val="auto"/>
              <w:rPr>
                <w:rFonts w:hint="eastAsia" w:ascii="仿宋_GB2312" w:hAnsi="仿宋_GB2312" w:eastAsia="仿宋_GB2312" w:cs="仿宋_GB2312"/>
                <w:b/>
                <w:bCs/>
                <w:spacing w:val="4"/>
                <w:position w:val="4"/>
                <w:sz w:val="24"/>
                <w:szCs w:val="24"/>
              </w:rPr>
            </w:pPr>
            <w:r>
              <w:rPr>
                <w:rFonts w:hint="eastAsia" w:ascii="仿宋_GB2312" w:hAnsi="仿宋_GB2312" w:eastAsia="仿宋_GB2312" w:cs="仿宋_GB2312"/>
                <w:b/>
                <w:bCs/>
                <w:spacing w:val="4"/>
                <w:position w:val="4"/>
                <w:sz w:val="24"/>
                <w:szCs w:val="24"/>
              </w:rPr>
              <w:t xml:space="preserve">自筹费用 </w:t>
            </w:r>
          </w:p>
        </w:tc>
        <w:tc>
          <w:tcPr>
            <w:tcW w:w="687" w:type="pct"/>
            <w:tcBorders>
              <w:left w:val="single" w:color="auto" w:sz="4" w:space="0"/>
            </w:tcBorders>
            <w:shd w:val="clear" w:color="auto" w:fill="auto"/>
            <w:vAlign w:val="center"/>
          </w:tcPr>
          <w:p w14:paraId="07AA3E02">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4" w:leftChars="0" w:right="0" w:hanging="4" w:hangingChars="2"/>
              <w:contextualSpacing/>
              <w:jc w:val="center"/>
              <w:textAlignment w:val="auto"/>
              <w:rPr>
                <w:rFonts w:hint="eastAsia" w:ascii="仿宋_GB2312" w:hAnsi="仿宋_GB2312" w:eastAsia="仿宋_GB2312" w:cs="仿宋_GB2312"/>
                <w:b/>
                <w:bCs/>
                <w:spacing w:val="4"/>
                <w:position w:val="4"/>
                <w:sz w:val="24"/>
                <w:szCs w:val="24"/>
              </w:rPr>
            </w:pPr>
            <w:r>
              <w:rPr>
                <w:rFonts w:hint="eastAsia" w:ascii="仿宋_GB2312" w:hAnsi="仿宋_GB2312" w:eastAsia="仿宋_GB2312" w:cs="仿宋_GB2312"/>
                <w:b/>
                <w:bCs/>
                <w:spacing w:val="4"/>
                <w:position w:val="4"/>
                <w:sz w:val="24"/>
                <w:szCs w:val="24"/>
              </w:rPr>
              <w:t>计算依据</w:t>
            </w:r>
          </w:p>
        </w:tc>
      </w:tr>
      <w:tr w14:paraId="55AD6C73">
        <w:trPr>
          <w:trHeight w:val="572" w:hRule="atLeast"/>
          <w:jc w:val="center"/>
        </w:trPr>
        <w:tc>
          <w:tcPr>
            <w:tcW w:w="2519" w:type="pct"/>
            <w:shd w:val="clear" w:color="auto" w:fill="auto"/>
            <w:vAlign w:val="center"/>
          </w:tcPr>
          <w:p w14:paraId="0F429134">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r>
              <w:rPr>
                <w:rFonts w:hint="eastAsia" w:ascii="仿宋_GB2312" w:hAnsi="仿宋_GB2312" w:eastAsia="仿宋_GB2312" w:cs="仿宋_GB2312"/>
                <w:b/>
                <w:bCs/>
                <w:spacing w:val="4"/>
                <w:sz w:val="24"/>
                <w:szCs w:val="24"/>
              </w:rPr>
              <w:t>收入预算</w:t>
            </w:r>
          </w:p>
        </w:tc>
        <w:tc>
          <w:tcPr>
            <w:tcW w:w="598" w:type="pct"/>
            <w:shd w:val="clear" w:color="auto" w:fill="auto"/>
            <w:vAlign w:val="center"/>
          </w:tcPr>
          <w:p w14:paraId="3CAEC98C">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577" w:type="pct"/>
            <w:shd w:val="clear" w:color="auto" w:fill="auto"/>
            <w:vAlign w:val="center"/>
          </w:tcPr>
          <w:p w14:paraId="16A0D8C0">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18" w:type="pct"/>
            <w:tcBorders>
              <w:right w:val="single" w:color="auto" w:sz="4" w:space="0"/>
            </w:tcBorders>
            <w:shd w:val="clear" w:color="auto" w:fill="auto"/>
            <w:vAlign w:val="center"/>
          </w:tcPr>
          <w:p w14:paraId="4BEF0468">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87" w:type="pct"/>
            <w:tcBorders>
              <w:left w:val="single" w:color="auto" w:sz="4" w:space="0"/>
            </w:tcBorders>
            <w:shd w:val="clear" w:color="auto" w:fill="auto"/>
            <w:vAlign w:val="center"/>
          </w:tcPr>
          <w:p w14:paraId="76D3C27F">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r>
      <w:tr w14:paraId="5E200B9B">
        <w:trPr>
          <w:trHeight w:val="571" w:hRule="atLeast"/>
          <w:jc w:val="center"/>
        </w:trPr>
        <w:tc>
          <w:tcPr>
            <w:tcW w:w="2519" w:type="pct"/>
            <w:shd w:val="clear" w:color="auto" w:fill="auto"/>
            <w:vAlign w:val="center"/>
          </w:tcPr>
          <w:p w14:paraId="44D10DD8">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r>
              <w:rPr>
                <w:rFonts w:hint="eastAsia" w:ascii="仿宋_GB2312" w:hAnsi="仿宋_GB2312" w:eastAsia="仿宋_GB2312" w:cs="仿宋_GB2312"/>
                <w:b/>
                <w:bCs/>
                <w:spacing w:val="6"/>
                <w:sz w:val="24"/>
                <w:szCs w:val="24"/>
              </w:rPr>
              <w:t>支出预算</w:t>
            </w:r>
          </w:p>
        </w:tc>
        <w:tc>
          <w:tcPr>
            <w:tcW w:w="598" w:type="pct"/>
            <w:shd w:val="clear" w:color="auto" w:fill="auto"/>
            <w:vAlign w:val="center"/>
          </w:tcPr>
          <w:p w14:paraId="73BD4758">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577" w:type="pct"/>
            <w:shd w:val="clear" w:color="auto" w:fill="auto"/>
            <w:vAlign w:val="center"/>
          </w:tcPr>
          <w:p w14:paraId="30884ED6">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18" w:type="pct"/>
            <w:tcBorders>
              <w:right w:val="single" w:color="auto" w:sz="4" w:space="0"/>
            </w:tcBorders>
            <w:shd w:val="clear" w:color="auto" w:fill="auto"/>
            <w:vAlign w:val="center"/>
          </w:tcPr>
          <w:p w14:paraId="6117EB43">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87" w:type="pct"/>
            <w:tcBorders>
              <w:left w:val="single" w:color="auto" w:sz="4" w:space="0"/>
            </w:tcBorders>
            <w:shd w:val="clear" w:color="auto" w:fill="auto"/>
            <w:vAlign w:val="center"/>
          </w:tcPr>
          <w:p w14:paraId="1B7EDA5B">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r>
      <w:tr w14:paraId="2DDA8832">
        <w:trPr>
          <w:trHeight w:val="571" w:hRule="atLeast"/>
          <w:jc w:val="center"/>
        </w:trPr>
        <w:tc>
          <w:tcPr>
            <w:tcW w:w="2519" w:type="pct"/>
            <w:shd w:val="clear" w:color="auto" w:fill="auto"/>
            <w:vAlign w:val="center"/>
          </w:tcPr>
          <w:p w14:paraId="3B8D80BF">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r>
              <w:rPr>
                <w:rFonts w:hint="eastAsia" w:ascii="仿宋_GB2312" w:hAnsi="仿宋_GB2312" w:eastAsia="仿宋_GB2312" w:cs="仿宋_GB2312"/>
                <w:b/>
                <w:bCs/>
                <w:spacing w:val="6"/>
                <w:sz w:val="24"/>
                <w:szCs w:val="24"/>
              </w:rPr>
              <w:t>一、间接费用</w:t>
            </w:r>
          </w:p>
        </w:tc>
        <w:tc>
          <w:tcPr>
            <w:tcW w:w="598" w:type="pct"/>
            <w:shd w:val="clear" w:color="auto" w:fill="auto"/>
            <w:vAlign w:val="center"/>
          </w:tcPr>
          <w:p w14:paraId="7CD04E1D">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577" w:type="pct"/>
            <w:shd w:val="clear" w:color="auto" w:fill="auto"/>
            <w:vAlign w:val="center"/>
          </w:tcPr>
          <w:p w14:paraId="3927A8FD">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18" w:type="pct"/>
            <w:tcBorders>
              <w:right w:val="single" w:color="auto" w:sz="4" w:space="0"/>
            </w:tcBorders>
            <w:shd w:val="clear" w:color="auto" w:fill="auto"/>
            <w:vAlign w:val="center"/>
          </w:tcPr>
          <w:p w14:paraId="3F8D9061">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87" w:type="pct"/>
            <w:tcBorders>
              <w:left w:val="single" w:color="auto" w:sz="4" w:space="0"/>
            </w:tcBorders>
            <w:shd w:val="clear" w:color="auto" w:fill="auto"/>
            <w:vAlign w:val="center"/>
          </w:tcPr>
          <w:p w14:paraId="3462FF36">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r>
      <w:tr w14:paraId="75521A9A">
        <w:trPr>
          <w:trHeight w:val="571" w:hRule="atLeast"/>
          <w:jc w:val="center"/>
        </w:trPr>
        <w:tc>
          <w:tcPr>
            <w:tcW w:w="2519" w:type="pct"/>
            <w:shd w:val="clear" w:color="auto" w:fill="auto"/>
            <w:vAlign w:val="center"/>
          </w:tcPr>
          <w:p w14:paraId="6B0851CB">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r>
              <w:rPr>
                <w:rFonts w:hint="eastAsia" w:ascii="仿宋_GB2312" w:hAnsi="仿宋_GB2312" w:eastAsia="仿宋_GB2312" w:cs="仿宋_GB2312"/>
                <w:b/>
                <w:bCs/>
                <w:spacing w:val="6"/>
                <w:sz w:val="24"/>
                <w:szCs w:val="24"/>
              </w:rPr>
              <w:t>二、直接费用</w:t>
            </w:r>
          </w:p>
        </w:tc>
        <w:tc>
          <w:tcPr>
            <w:tcW w:w="598" w:type="pct"/>
            <w:shd w:val="clear" w:color="auto" w:fill="auto"/>
            <w:vAlign w:val="center"/>
          </w:tcPr>
          <w:p w14:paraId="7DFB2E90">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577" w:type="pct"/>
            <w:shd w:val="clear" w:color="auto" w:fill="auto"/>
            <w:vAlign w:val="center"/>
          </w:tcPr>
          <w:p w14:paraId="6A328C28">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18" w:type="pct"/>
            <w:tcBorders>
              <w:right w:val="single" w:color="auto" w:sz="4" w:space="0"/>
            </w:tcBorders>
            <w:shd w:val="clear" w:color="auto" w:fill="auto"/>
            <w:vAlign w:val="center"/>
          </w:tcPr>
          <w:p w14:paraId="2186725E">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87" w:type="pct"/>
            <w:tcBorders>
              <w:left w:val="single" w:color="auto" w:sz="4" w:space="0"/>
            </w:tcBorders>
            <w:shd w:val="clear" w:color="auto" w:fill="auto"/>
            <w:vAlign w:val="center"/>
          </w:tcPr>
          <w:p w14:paraId="30D2AE69">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r>
      <w:tr w14:paraId="76572C89">
        <w:trPr>
          <w:trHeight w:val="572" w:hRule="atLeast"/>
          <w:jc w:val="center"/>
        </w:trPr>
        <w:tc>
          <w:tcPr>
            <w:tcW w:w="2519" w:type="pct"/>
            <w:shd w:val="clear" w:color="auto" w:fill="auto"/>
            <w:vAlign w:val="center"/>
          </w:tcPr>
          <w:p w14:paraId="796EED22">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r>
              <w:rPr>
                <w:rFonts w:hint="eastAsia" w:ascii="仿宋_GB2312" w:hAnsi="仿宋_GB2312" w:eastAsia="仿宋_GB2312" w:cs="仿宋_GB2312"/>
                <w:b/>
                <w:bCs/>
                <w:spacing w:val="7"/>
                <w:sz w:val="24"/>
                <w:szCs w:val="24"/>
              </w:rPr>
              <w:t>（一）设备费</w:t>
            </w:r>
          </w:p>
        </w:tc>
        <w:tc>
          <w:tcPr>
            <w:tcW w:w="598" w:type="pct"/>
            <w:shd w:val="clear" w:color="auto" w:fill="auto"/>
            <w:vAlign w:val="center"/>
          </w:tcPr>
          <w:p w14:paraId="2D86859B">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577" w:type="pct"/>
            <w:shd w:val="clear" w:color="auto" w:fill="auto"/>
            <w:vAlign w:val="center"/>
          </w:tcPr>
          <w:p w14:paraId="6A761C6B">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18" w:type="pct"/>
            <w:tcBorders>
              <w:right w:val="single" w:color="auto" w:sz="4" w:space="0"/>
            </w:tcBorders>
            <w:shd w:val="clear" w:color="auto" w:fill="auto"/>
            <w:vAlign w:val="center"/>
          </w:tcPr>
          <w:p w14:paraId="38C5D9B3">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87" w:type="pct"/>
            <w:tcBorders>
              <w:left w:val="single" w:color="auto" w:sz="4" w:space="0"/>
            </w:tcBorders>
            <w:shd w:val="clear" w:color="auto" w:fill="auto"/>
            <w:vAlign w:val="center"/>
          </w:tcPr>
          <w:p w14:paraId="56548025">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r>
      <w:tr w14:paraId="6F8205C9">
        <w:trPr>
          <w:trHeight w:val="572" w:hRule="atLeast"/>
          <w:jc w:val="center"/>
        </w:trPr>
        <w:tc>
          <w:tcPr>
            <w:tcW w:w="2519" w:type="pct"/>
            <w:shd w:val="clear" w:color="auto" w:fill="auto"/>
            <w:vAlign w:val="center"/>
          </w:tcPr>
          <w:p w14:paraId="555402AC">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r>
              <w:rPr>
                <w:rFonts w:hint="eastAsia" w:ascii="仿宋_GB2312" w:hAnsi="仿宋_GB2312" w:eastAsia="仿宋_GB2312" w:cs="仿宋_GB2312"/>
                <w:spacing w:val="8"/>
                <w:sz w:val="24"/>
                <w:szCs w:val="24"/>
              </w:rPr>
              <w:t>（1）购置设备费</w:t>
            </w:r>
          </w:p>
        </w:tc>
        <w:tc>
          <w:tcPr>
            <w:tcW w:w="598" w:type="pct"/>
            <w:shd w:val="clear" w:color="auto" w:fill="auto"/>
            <w:vAlign w:val="center"/>
          </w:tcPr>
          <w:p w14:paraId="09F7FDAA">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577" w:type="pct"/>
            <w:shd w:val="clear" w:color="auto" w:fill="auto"/>
            <w:vAlign w:val="center"/>
          </w:tcPr>
          <w:p w14:paraId="06E72D44">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18" w:type="pct"/>
            <w:tcBorders>
              <w:right w:val="single" w:color="auto" w:sz="4" w:space="0"/>
            </w:tcBorders>
            <w:shd w:val="clear" w:color="auto" w:fill="auto"/>
            <w:vAlign w:val="center"/>
          </w:tcPr>
          <w:p w14:paraId="29E6AB6F">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87" w:type="pct"/>
            <w:tcBorders>
              <w:left w:val="single" w:color="auto" w:sz="4" w:space="0"/>
            </w:tcBorders>
            <w:shd w:val="clear" w:color="auto" w:fill="auto"/>
            <w:vAlign w:val="center"/>
          </w:tcPr>
          <w:p w14:paraId="10AA238C">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r>
      <w:tr w14:paraId="31932468">
        <w:trPr>
          <w:trHeight w:val="572" w:hRule="atLeast"/>
          <w:jc w:val="center"/>
        </w:trPr>
        <w:tc>
          <w:tcPr>
            <w:tcW w:w="2519" w:type="pct"/>
            <w:shd w:val="clear" w:color="auto" w:fill="auto"/>
            <w:vAlign w:val="center"/>
          </w:tcPr>
          <w:p w14:paraId="7BCD380D">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r>
              <w:rPr>
                <w:rFonts w:hint="eastAsia" w:ascii="仿宋_GB2312" w:hAnsi="仿宋_GB2312" w:eastAsia="仿宋_GB2312" w:cs="仿宋_GB2312"/>
                <w:spacing w:val="8"/>
                <w:sz w:val="24"/>
                <w:szCs w:val="24"/>
              </w:rPr>
              <w:t>（2）试制设备费</w:t>
            </w:r>
          </w:p>
        </w:tc>
        <w:tc>
          <w:tcPr>
            <w:tcW w:w="598" w:type="pct"/>
            <w:shd w:val="clear" w:color="auto" w:fill="auto"/>
            <w:vAlign w:val="center"/>
          </w:tcPr>
          <w:p w14:paraId="3B1C089D">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577" w:type="pct"/>
            <w:shd w:val="clear" w:color="auto" w:fill="auto"/>
            <w:vAlign w:val="center"/>
          </w:tcPr>
          <w:p w14:paraId="2EDA3CE4">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18" w:type="pct"/>
            <w:tcBorders>
              <w:right w:val="single" w:color="auto" w:sz="4" w:space="0"/>
            </w:tcBorders>
            <w:shd w:val="clear" w:color="auto" w:fill="auto"/>
            <w:vAlign w:val="center"/>
          </w:tcPr>
          <w:p w14:paraId="3BDD6657">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87" w:type="pct"/>
            <w:tcBorders>
              <w:left w:val="single" w:color="auto" w:sz="4" w:space="0"/>
            </w:tcBorders>
            <w:shd w:val="clear" w:color="auto" w:fill="auto"/>
            <w:vAlign w:val="center"/>
          </w:tcPr>
          <w:p w14:paraId="1AB2D723">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r>
      <w:tr w14:paraId="26D89A08">
        <w:trPr>
          <w:trHeight w:val="572" w:hRule="atLeast"/>
          <w:jc w:val="center"/>
        </w:trPr>
        <w:tc>
          <w:tcPr>
            <w:tcW w:w="2519" w:type="pct"/>
            <w:shd w:val="clear" w:color="auto" w:fill="auto"/>
            <w:vAlign w:val="center"/>
          </w:tcPr>
          <w:p w14:paraId="4AE4A6D2">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r>
              <w:rPr>
                <w:rFonts w:hint="eastAsia" w:ascii="仿宋_GB2312" w:hAnsi="仿宋_GB2312" w:eastAsia="仿宋_GB2312" w:cs="仿宋_GB2312"/>
                <w:spacing w:val="8"/>
                <w:sz w:val="24"/>
                <w:szCs w:val="24"/>
              </w:rPr>
              <w:t>（3）设备改造与租赁费</w:t>
            </w:r>
          </w:p>
        </w:tc>
        <w:tc>
          <w:tcPr>
            <w:tcW w:w="598" w:type="pct"/>
            <w:shd w:val="clear" w:color="auto" w:fill="auto"/>
            <w:vAlign w:val="center"/>
          </w:tcPr>
          <w:p w14:paraId="6532B8B3">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577" w:type="pct"/>
            <w:shd w:val="clear" w:color="auto" w:fill="auto"/>
            <w:vAlign w:val="center"/>
          </w:tcPr>
          <w:p w14:paraId="63BF6343">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18" w:type="pct"/>
            <w:tcBorders>
              <w:right w:val="single" w:color="auto" w:sz="4" w:space="0"/>
            </w:tcBorders>
            <w:shd w:val="clear" w:color="auto" w:fill="auto"/>
            <w:vAlign w:val="center"/>
          </w:tcPr>
          <w:p w14:paraId="2E53D486">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87" w:type="pct"/>
            <w:tcBorders>
              <w:left w:val="single" w:color="auto" w:sz="4" w:space="0"/>
            </w:tcBorders>
            <w:shd w:val="clear" w:color="auto" w:fill="auto"/>
            <w:vAlign w:val="center"/>
          </w:tcPr>
          <w:p w14:paraId="019CB382">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r>
      <w:tr w14:paraId="04205FC9">
        <w:trPr>
          <w:trHeight w:val="572" w:hRule="atLeast"/>
          <w:jc w:val="center"/>
        </w:trPr>
        <w:tc>
          <w:tcPr>
            <w:tcW w:w="2519" w:type="pct"/>
            <w:shd w:val="clear" w:color="auto" w:fill="auto"/>
            <w:vAlign w:val="center"/>
          </w:tcPr>
          <w:p w14:paraId="5B537ABD">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r>
              <w:rPr>
                <w:rFonts w:hint="eastAsia" w:ascii="仿宋_GB2312" w:hAnsi="仿宋_GB2312" w:eastAsia="仿宋_GB2312" w:cs="仿宋_GB2312"/>
                <w:b/>
                <w:bCs/>
                <w:spacing w:val="7"/>
                <w:sz w:val="24"/>
                <w:szCs w:val="24"/>
              </w:rPr>
              <w:t>（二）业务费</w:t>
            </w:r>
          </w:p>
        </w:tc>
        <w:tc>
          <w:tcPr>
            <w:tcW w:w="598" w:type="pct"/>
            <w:shd w:val="clear" w:color="auto" w:fill="auto"/>
            <w:vAlign w:val="center"/>
          </w:tcPr>
          <w:p w14:paraId="5520F523">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577" w:type="pct"/>
            <w:shd w:val="clear" w:color="auto" w:fill="auto"/>
            <w:vAlign w:val="center"/>
          </w:tcPr>
          <w:p w14:paraId="0BDE751B">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18" w:type="pct"/>
            <w:tcBorders>
              <w:right w:val="single" w:color="auto" w:sz="4" w:space="0"/>
            </w:tcBorders>
            <w:shd w:val="clear" w:color="auto" w:fill="auto"/>
            <w:vAlign w:val="center"/>
          </w:tcPr>
          <w:p w14:paraId="12347FD8">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87" w:type="pct"/>
            <w:tcBorders>
              <w:left w:val="single" w:color="auto" w:sz="4" w:space="0"/>
            </w:tcBorders>
            <w:shd w:val="clear" w:color="auto" w:fill="auto"/>
            <w:vAlign w:val="center"/>
          </w:tcPr>
          <w:p w14:paraId="3936C994">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r>
      <w:tr w14:paraId="13DCA801">
        <w:trPr>
          <w:trHeight w:val="572" w:hRule="atLeast"/>
          <w:jc w:val="center"/>
        </w:trPr>
        <w:tc>
          <w:tcPr>
            <w:tcW w:w="2519" w:type="pct"/>
            <w:shd w:val="clear" w:color="auto" w:fill="auto"/>
            <w:vAlign w:val="center"/>
          </w:tcPr>
          <w:p w14:paraId="092A7145">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r>
              <w:rPr>
                <w:rFonts w:hint="eastAsia" w:ascii="仿宋_GB2312" w:hAnsi="仿宋_GB2312" w:eastAsia="仿宋_GB2312" w:cs="仿宋_GB2312"/>
                <w:spacing w:val="7"/>
                <w:sz w:val="24"/>
                <w:szCs w:val="24"/>
              </w:rPr>
              <w:t>（1）材料费</w:t>
            </w:r>
          </w:p>
        </w:tc>
        <w:tc>
          <w:tcPr>
            <w:tcW w:w="598" w:type="pct"/>
            <w:shd w:val="clear" w:color="auto" w:fill="auto"/>
            <w:vAlign w:val="center"/>
          </w:tcPr>
          <w:p w14:paraId="4D999AF8">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577" w:type="pct"/>
            <w:shd w:val="clear" w:color="auto" w:fill="auto"/>
            <w:vAlign w:val="center"/>
          </w:tcPr>
          <w:p w14:paraId="1BAE3FE4">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18" w:type="pct"/>
            <w:tcBorders>
              <w:right w:val="single" w:color="auto" w:sz="4" w:space="0"/>
            </w:tcBorders>
            <w:shd w:val="clear" w:color="auto" w:fill="auto"/>
            <w:vAlign w:val="center"/>
          </w:tcPr>
          <w:p w14:paraId="771966B2">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87" w:type="pct"/>
            <w:tcBorders>
              <w:left w:val="single" w:color="auto" w:sz="4" w:space="0"/>
            </w:tcBorders>
            <w:shd w:val="clear" w:color="auto" w:fill="auto"/>
            <w:vAlign w:val="center"/>
          </w:tcPr>
          <w:p w14:paraId="50BAC31D">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r>
      <w:tr w14:paraId="06EEB447">
        <w:trPr>
          <w:trHeight w:val="572" w:hRule="atLeast"/>
          <w:jc w:val="center"/>
        </w:trPr>
        <w:tc>
          <w:tcPr>
            <w:tcW w:w="2519" w:type="pct"/>
            <w:shd w:val="clear" w:color="auto" w:fill="auto"/>
            <w:vAlign w:val="center"/>
          </w:tcPr>
          <w:p w14:paraId="2D9779DE">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r>
              <w:rPr>
                <w:rFonts w:hint="eastAsia" w:ascii="仿宋_GB2312" w:hAnsi="仿宋_GB2312" w:eastAsia="仿宋_GB2312" w:cs="仿宋_GB2312"/>
                <w:spacing w:val="8"/>
                <w:sz w:val="24"/>
                <w:szCs w:val="24"/>
              </w:rPr>
              <w:t>（2）测试化验加工费</w:t>
            </w:r>
          </w:p>
        </w:tc>
        <w:tc>
          <w:tcPr>
            <w:tcW w:w="598" w:type="pct"/>
            <w:shd w:val="clear" w:color="auto" w:fill="auto"/>
            <w:vAlign w:val="center"/>
          </w:tcPr>
          <w:p w14:paraId="13F4A818">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577" w:type="pct"/>
            <w:shd w:val="clear" w:color="auto" w:fill="auto"/>
            <w:vAlign w:val="center"/>
          </w:tcPr>
          <w:p w14:paraId="07AC42F5">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18" w:type="pct"/>
            <w:tcBorders>
              <w:right w:val="single" w:color="auto" w:sz="4" w:space="0"/>
            </w:tcBorders>
            <w:shd w:val="clear" w:color="auto" w:fill="auto"/>
            <w:vAlign w:val="center"/>
          </w:tcPr>
          <w:p w14:paraId="0F5BC214">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87" w:type="pct"/>
            <w:tcBorders>
              <w:left w:val="single" w:color="auto" w:sz="4" w:space="0"/>
            </w:tcBorders>
            <w:shd w:val="clear" w:color="auto" w:fill="auto"/>
            <w:vAlign w:val="center"/>
          </w:tcPr>
          <w:p w14:paraId="4D9C003C">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r>
      <w:tr w14:paraId="5F761AA7">
        <w:trPr>
          <w:trHeight w:val="572" w:hRule="atLeast"/>
          <w:jc w:val="center"/>
        </w:trPr>
        <w:tc>
          <w:tcPr>
            <w:tcW w:w="2519" w:type="pct"/>
            <w:shd w:val="clear" w:color="auto" w:fill="auto"/>
            <w:vAlign w:val="center"/>
          </w:tcPr>
          <w:p w14:paraId="30AF5BAC">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r>
              <w:rPr>
                <w:rFonts w:hint="eastAsia" w:ascii="仿宋_GB2312" w:hAnsi="仿宋_GB2312" w:eastAsia="仿宋_GB2312" w:cs="仿宋_GB2312"/>
                <w:spacing w:val="8"/>
                <w:sz w:val="24"/>
                <w:szCs w:val="24"/>
              </w:rPr>
              <w:t>（3）燃料动力费</w:t>
            </w:r>
          </w:p>
        </w:tc>
        <w:tc>
          <w:tcPr>
            <w:tcW w:w="598" w:type="pct"/>
            <w:shd w:val="clear" w:color="auto" w:fill="auto"/>
            <w:vAlign w:val="center"/>
          </w:tcPr>
          <w:p w14:paraId="0DF9EE7B">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577" w:type="pct"/>
            <w:shd w:val="clear" w:color="auto" w:fill="auto"/>
            <w:vAlign w:val="center"/>
          </w:tcPr>
          <w:p w14:paraId="44BA0841">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18" w:type="pct"/>
            <w:tcBorders>
              <w:right w:val="single" w:color="auto" w:sz="4" w:space="0"/>
            </w:tcBorders>
            <w:shd w:val="clear" w:color="auto" w:fill="auto"/>
            <w:vAlign w:val="center"/>
          </w:tcPr>
          <w:p w14:paraId="37B4F9BB">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87" w:type="pct"/>
            <w:tcBorders>
              <w:left w:val="single" w:color="auto" w:sz="4" w:space="0"/>
            </w:tcBorders>
            <w:shd w:val="clear" w:color="auto" w:fill="auto"/>
            <w:vAlign w:val="center"/>
          </w:tcPr>
          <w:p w14:paraId="38683699">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r>
      <w:tr w14:paraId="556C729A">
        <w:trPr>
          <w:trHeight w:val="572" w:hRule="atLeast"/>
          <w:jc w:val="center"/>
        </w:trPr>
        <w:tc>
          <w:tcPr>
            <w:tcW w:w="2519" w:type="pct"/>
            <w:shd w:val="clear" w:color="auto" w:fill="auto"/>
            <w:vAlign w:val="center"/>
          </w:tcPr>
          <w:p w14:paraId="37D67D90">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r>
              <w:rPr>
                <w:rFonts w:hint="eastAsia" w:ascii="仿宋_GB2312" w:hAnsi="仿宋_GB2312" w:eastAsia="仿宋_GB2312" w:cs="仿宋_GB2312"/>
                <w:spacing w:val="8"/>
                <w:sz w:val="24"/>
                <w:szCs w:val="24"/>
              </w:rPr>
              <w:t>（4）差旅/会议/国际合作与交流费</w:t>
            </w:r>
          </w:p>
        </w:tc>
        <w:tc>
          <w:tcPr>
            <w:tcW w:w="598" w:type="pct"/>
            <w:shd w:val="clear" w:color="auto" w:fill="auto"/>
            <w:vAlign w:val="center"/>
          </w:tcPr>
          <w:p w14:paraId="526C238F">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577" w:type="pct"/>
            <w:shd w:val="clear" w:color="auto" w:fill="auto"/>
            <w:vAlign w:val="center"/>
          </w:tcPr>
          <w:p w14:paraId="44F08C75">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18" w:type="pct"/>
            <w:tcBorders>
              <w:right w:val="single" w:color="auto" w:sz="4" w:space="0"/>
            </w:tcBorders>
            <w:shd w:val="clear" w:color="auto" w:fill="auto"/>
            <w:vAlign w:val="center"/>
          </w:tcPr>
          <w:p w14:paraId="6EBBEEF8">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87" w:type="pct"/>
            <w:tcBorders>
              <w:left w:val="single" w:color="auto" w:sz="4" w:space="0"/>
            </w:tcBorders>
            <w:shd w:val="clear" w:color="auto" w:fill="auto"/>
            <w:vAlign w:val="center"/>
          </w:tcPr>
          <w:p w14:paraId="6280137A">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r>
      <w:tr w14:paraId="3554009A">
        <w:trPr>
          <w:trHeight w:val="572" w:hRule="atLeast"/>
          <w:jc w:val="center"/>
        </w:trPr>
        <w:tc>
          <w:tcPr>
            <w:tcW w:w="2519" w:type="pct"/>
            <w:shd w:val="clear" w:color="auto" w:fill="auto"/>
            <w:vAlign w:val="center"/>
          </w:tcPr>
          <w:p w14:paraId="5EE0F537">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r>
              <w:rPr>
                <w:rFonts w:hint="eastAsia" w:ascii="仿宋_GB2312" w:hAnsi="仿宋_GB2312" w:eastAsia="仿宋_GB2312" w:cs="仿宋_GB2312"/>
                <w:spacing w:val="8"/>
                <w:sz w:val="24"/>
                <w:szCs w:val="24"/>
              </w:rPr>
              <w:t>（5）出版/文献/信息传播/知识产权事务费</w:t>
            </w:r>
          </w:p>
        </w:tc>
        <w:tc>
          <w:tcPr>
            <w:tcW w:w="598" w:type="pct"/>
            <w:shd w:val="clear" w:color="auto" w:fill="auto"/>
            <w:vAlign w:val="center"/>
          </w:tcPr>
          <w:p w14:paraId="7E2AA373">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577" w:type="pct"/>
            <w:shd w:val="clear" w:color="auto" w:fill="auto"/>
            <w:vAlign w:val="center"/>
          </w:tcPr>
          <w:p w14:paraId="4BA0F892">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18" w:type="pct"/>
            <w:tcBorders>
              <w:right w:val="single" w:color="auto" w:sz="4" w:space="0"/>
            </w:tcBorders>
            <w:shd w:val="clear" w:color="auto" w:fill="auto"/>
            <w:vAlign w:val="center"/>
          </w:tcPr>
          <w:p w14:paraId="151AC167">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87" w:type="pct"/>
            <w:tcBorders>
              <w:left w:val="single" w:color="auto" w:sz="4" w:space="0"/>
            </w:tcBorders>
            <w:shd w:val="clear" w:color="auto" w:fill="auto"/>
            <w:vAlign w:val="center"/>
          </w:tcPr>
          <w:p w14:paraId="03323A16">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r>
      <w:tr w14:paraId="2C6481FA">
        <w:trPr>
          <w:trHeight w:val="572" w:hRule="atLeast"/>
          <w:jc w:val="center"/>
        </w:trPr>
        <w:tc>
          <w:tcPr>
            <w:tcW w:w="2519" w:type="pct"/>
            <w:shd w:val="clear" w:color="auto" w:fill="auto"/>
            <w:vAlign w:val="center"/>
          </w:tcPr>
          <w:p w14:paraId="04F83212">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r>
              <w:rPr>
                <w:rFonts w:hint="eastAsia" w:ascii="仿宋_GB2312" w:hAnsi="仿宋_GB2312" w:eastAsia="仿宋_GB2312" w:cs="仿宋_GB2312"/>
                <w:spacing w:val="6"/>
                <w:sz w:val="24"/>
                <w:szCs w:val="24"/>
              </w:rPr>
              <w:t>（6）其他费用</w:t>
            </w:r>
          </w:p>
        </w:tc>
        <w:tc>
          <w:tcPr>
            <w:tcW w:w="598" w:type="pct"/>
            <w:shd w:val="clear" w:color="auto" w:fill="auto"/>
            <w:vAlign w:val="center"/>
          </w:tcPr>
          <w:p w14:paraId="531200C4">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577" w:type="pct"/>
            <w:shd w:val="clear" w:color="auto" w:fill="auto"/>
            <w:vAlign w:val="center"/>
          </w:tcPr>
          <w:p w14:paraId="2FBC2E90">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18" w:type="pct"/>
            <w:tcBorders>
              <w:right w:val="single" w:color="auto" w:sz="4" w:space="0"/>
            </w:tcBorders>
            <w:shd w:val="clear" w:color="auto" w:fill="auto"/>
            <w:vAlign w:val="center"/>
          </w:tcPr>
          <w:p w14:paraId="0DCD718E">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87" w:type="pct"/>
            <w:tcBorders>
              <w:left w:val="single" w:color="auto" w:sz="4" w:space="0"/>
            </w:tcBorders>
            <w:shd w:val="clear" w:color="auto" w:fill="auto"/>
            <w:vAlign w:val="center"/>
          </w:tcPr>
          <w:p w14:paraId="2AD89FC8">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r>
      <w:tr w14:paraId="4169A386">
        <w:trPr>
          <w:trHeight w:val="572" w:hRule="atLeast"/>
          <w:jc w:val="center"/>
        </w:trPr>
        <w:tc>
          <w:tcPr>
            <w:tcW w:w="2519" w:type="pct"/>
            <w:shd w:val="clear" w:color="auto" w:fill="auto"/>
            <w:vAlign w:val="center"/>
          </w:tcPr>
          <w:p w14:paraId="37DECAEE">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r>
              <w:rPr>
                <w:rFonts w:hint="eastAsia" w:ascii="仿宋_GB2312" w:hAnsi="仿宋_GB2312" w:eastAsia="仿宋_GB2312" w:cs="仿宋_GB2312"/>
                <w:b/>
                <w:bCs/>
                <w:spacing w:val="7"/>
                <w:sz w:val="24"/>
                <w:szCs w:val="24"/>
              </w:rPr>
              <w:t>（三）劳务费</w:t>
            </w:r>
          </w:p>
        </w:tc>
        <w:tc>
          <w:tcPr>
            <w:tcW w:w="598" w:type="pct"/>
            <w:shd w:val="clear" w:color="auto" w:fill="auto"/>
            <w:vAlign w:val="center"/>
          </w:tcPr>
          <w:p w14:paraId="5540B8FA">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577" w:type="pct"/>
            <w:shd w:val="clear" w:color="auto" w:fill="auto"/>
            <w:vAlign w:val="center"/>
          </w:tcPr>
          <w:p w14:paraId="2480A1A5">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18" w:type="pct"/>
            <w:tcBorders>
              <w:right w:val="single" w:color="auto" w:sz="4" w:space="0"/>
            </w:tcBorders>
            <w:shd w:val="clear" w:color="auto" w:fill="auto"/>
            <w:vAlign w:val="center"/>
          </w:tcPr>
          <w:p w14:paraId="400F6B8F">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87" w:type="pct"/>
            <w:tcBorders>
              <w:left w:val="single" w:color="auto" w:sz="4" w:space="0"/>
            </w:tcBorders>
            <w:shd w:val="clear" w:color="auto" w:fill="auto"/>
            <w:vAlign w:val="center"/>
          </w:tcPr>
          <w:p w14:paraId="114FAB01">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r>
      <w:tr w14:paraId="50F95AF7">
        <w:trPr>
          <w:trHeight w:val="571" w:hRule="atLeast"/>
          <w:jc w:val="center"/>
        </w:trPr>
        <w:tc>
          <w:tcPr>
            <w:tcW w:w="2519" w:type="pct"/>
            <w:shd w:val="clear" w:color="auto" w:fill="auto"/>
            <w:vAlign w:val="center"/>
          </w:tcPr>
          <w:p w14:paraId="4E0EBE79">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r>
              <w:rPr>
                <w:rFonts w:hint="eastAsia" w:ascii="仿宋_GB2312" w:hAnsi="仿宋_GB2312" w:eastAsia="仿宋_GB2312" w:cs="仿宋_GB2312"/>
                <w:spacing w:val="7"/>
                <w:sz w:val="24"/>
                <w:szCs w:val="24"/>
              </w:rPr>
              <w:t>（1）劳务性费用</w:t>
            </w:r>
          </w:p>
        </w:tc>
        <w:tc>
          <w:tcPr>
            <w:tcW w:w="598" w:type="pct"/>
            <w:shd w:val="clear" w:color="auto" w:fill="auto"/>
            <w:vAlign w:val="center"/>
          </w:tcPr>
          <w:p w14:paraId="03E5726D">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577" w:type="pct"/>
            <w:shd w:val="clear" w:color="auto" w:fill="auto"/>
            <w:vAlign w:val="center"/>
          </w:tcPr>
          <w:p w14:paraId="3020CCA5">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18" w:type="pct"/>
            <w:tcBorders>
              <w:right w:val="single" w:color="auto" w:sz="4" w:space="0"/>
            </w:tcBorders>
            <w:shd w:val="clear" w:color="auto" w:fill="auto"/>
            <w:vAlign w:val="center"/>
          </w:tcPr>
          <w:p w14:paraId="7CCCAD14">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87" w:type="pct"/>
            <w:tcBorders>
              <w:left w:val="single" w:color="auto" w:sz="4" w:space="0"/>
            </w:tcBorders>
            <w:shd w:val="clear" w:color="auto" w:fill="auto"/>
            <w:vAlign w:val="center"/>
          </w:tcPr>
          <w:p w14:paraId="2BB602DB">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r>
      <w:tr w14:paraId="797B388D">
        <w:trPr>
          <w:trHeight w:val="576" w:hRule="atLeast"/>
          <w:jc w:val="center"/>
        </w:trPr>
        <w:tc>
          <w:tcPr>
            <w:tcW w:w="2519" w:type="pct"/>
            <w:shd w:val="clear" w:color="auto" w:fill="auto"/>
            <w:vAlign w:val="center"/>
          </w:tcPr>
          <w:p w14:paraId="6B590E1E">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r>
              <w:rPr>
                <w:rFonts w:hint="eastAsia" w:ascii="仿宋_GB2312" w:hAnsi="仿宋_GB2312" w:eastAsia="仿宋_GB2312" w:cs="仿宋_GB2312"/>
                <w:spacing w:val="8"/>
                <w:sz w:val="24"/>
                <w:szCs w:val="24"/>
              </w:rPr>
              <w:t>（2）专家咨询费</w:t>
            </w:r>
          </w:p>
        </w:tc>
        <w:tc>
          <w:tcPr>
            <w:tcW w:w="598" w:type="pct"/>
            <w:shd w:val="clear" w:color="auto" w:fill="auto"/>
            <w:vAlign w:val="center"/>
          </w:tcPr>
          <w:p w14:paraId="072DFA90">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577" w:type="pct"/>
            <w:shd w:val="clear" w:color="auto" w:fill="auto"/>
            <w:vAlign w:val="center"/>
          </w:tcPr>
          <w:p w14:paraId="247C7702">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18" w:type="pct"/>
            <w:tcBorders>
              <w:right w:val="single" w:color="auto" w:sz="4" w:space="0"/>
            </w:tcBorders>
            <w:shd w:val="clear" w:color="auto" w:fill="auto"/>
            <w:vAlign w:val="center"/>
          </w:tcPr>
          <w:p w14:paraId="548C7E65">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87" w:type="pct"/>
            <w:tcBorders>
              <w:left w:val="single" w:color="auto" w:sz="4" w:space="0"/>
            </w:tcBorders>
            <w:shd w:val="clear" w:color="auto" w:fill="auto"/>
            <w:vAlign w:val="center"/>
          </w:tcPr>
          <w:p w14:paraId="1A995999">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r>
    </w:tbl>
    <w:p w14:paraId="0CA78A62">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textAlignment w:val="auto"/>
        <w:rPr>
          <w:rFonts w:hint="eastAsia" w:ascii="仿宋_GB2312" w:hAnsi="仿宋_GB2312" w:eastAsia="仿宋_GB2312" w:cs="仿宋_GB2312"/>
          <w:color w:val="2D00C7"/>
          <w:kern w:val="0"/>
          <w:sz w:val="24"/>
          <w:szCs w:val="24"/>
        </w:rPr>
      </w:pPr>
      <w:r>
        <w:rPr>
          <w:rFonts w:hint="eastAsia" w:ascii="仿宋_GB2312" w:hAnsi="仿宋_GB2312" w:eastAsia="仿宋_GB2312" w:cs="仿宋_GB2312"/>
          <w:color w:val="2D00C7"/>
          <w:kern w:val="0"/>
          <w:sz w:val="24"/>
          <w:szCs w:val="24"/>
        </w:rPr>
        <w:t>注：1、与本项目有关的前期研究（包括阶段性成果）支出的各项经费不得列入本预算；</w:t>
      </w:r>
    </w:p>
    <w:p w14:paraId="79FFAB8C">
      <w:pPr>
        <w:keepNext w:val="0"/>
        <w:keepLines w:val="0"/>
        <w:pageBreakBefore w:val="0"/>
        <w:widowControl w:val="0"/>
        <w:numPr>
          <w:ilvl w:val="0"/>
          <w:numId w:val="32"/>
        </w:numPr>
        <w:kinsoku/>
        <w:wordWrap/>
        <w:overflowPunct/>
        <w:topLinePunct w:val="0"/>
        <w:autoSpaceDE/>
        <w:autoSpaceDN/>
        <w:bidi w:val="0"/>
        <w:adjustRightInd/>
        <w:snapToGrid/>
        <w:spacing w:beforeAutospacing="0" w:afterAutospacing="0" w:line="320" w:lineRule="exact"/>
        <w:ind w:left="480" w:leftChars="0" w:right="0" w:firstLine="0" w:firstLineChars="0"/>
        <w:jc w:val="left"/>
        <w:textAlignment w:val="auto"/>
        <w:rPr>
          <w:rFonts w:hint="eastAsia" w:ascii="仿宋_GB2312" w:hAnsi="仿宋_GB2312" w:eastAsia="仿宋_GB2312" w:cs="仿宋_GB2312"/>
          <w:color w:val="2D00C7"/>
          <w:kern w:val="0"/>
          <w:sz w:val="24"/>
          <w:szCs w:val="24"/>
        </w:rPr>
      </w:pPr>
      <w:r>
        <w:rPr>
          <w:rFonts w:hint="eastAsia" w:ascii="仿宋_GB2312" w:hAnsi="仿宋_GB2312" w:eastAsia="仿宋_GB2312" w:cs="仿宋_GB2312"/>
          <w:color w:val="2D00C7"/>
          <w:kern w:val="0"/>
          <w:sz w:val="24"/>
          <w:szCs w:val="24"/>
        </w:rPr>
        <w:t>申请市科委科研计划项目资助经费在20</w:t>
      </w:r>
      <w:r>
        <w:rPr>
          <w:rFonts w:hint="eastAsia" w:ascii="仿宋_GB2312" w:hAnsi="仿宋_GB2312" w:cs="仿宋_GB2312"/>
          <w:color w:val="2D00C7"/>
          <w:kern w:val="0"/>
          <w:sz w:val="24"/>
          <w:szCs w:val="24"/>
          <w:lang w:val="en-US" w:eastAsia="zh-CN"/>
        </w:rPr>
        <w:t>万</w:t>
      </w:r>
      <w:r>
        <w:rPr>
          <w:rFonts w:hint="eastAsia" w:ascii="仿宋_GB2312" w:hAnsi="仿宋_GB2312" w:eastAsia="仿宋_GB2312" w:cs="仿宋_GB2312"/>
          <w:color w:val="2D00C7"/>
          <w:kern w:val="0"/>
          <w:sz w:val="24"/>
          <w:szCs w:val="24"/>
        </w:rPr>
        <w:t>元人民币以下时，请在“计算依据”栏中直接作出有关说明</w:t>
      </w:r>
      <w:r>
        <w:rPr>
          <w:rFonts w:hint="eastAsia" w:ascii="仿宋_GB2312" w:hAnsi="仿宋_GB2312" w:cs="仿宋_GB2312"/>
          <w:color w:val="2D00C7"/>
          <w:kern w:val="0"/>
          <w:sz w:val="24"/>
          <w:szCs w:val="24"/>
          <w:lang w:val="en-US" w:eastAsia="zh-CN"/>
        </w:rPr>
        <w:t>。</w:t>
      </w:r>
    </w:p>
    <w:p w14:paraId="15DE33EC">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20" w:lineRule="exact"/>
        <w:ind w:left="0" w:leftChars="0" w:right="0"/>
        <w:jc w:val="left"/>
        <w:textAlignment w:val="auto"/>
        <w:rPr>
          <w:rFonts w:hint="eastAsia" w:ascii="仿宋_GB2312" w:hAnsi="仿宋_GB2312" w:eastAsia="仿宋_GB2312" w:cs="仿宋_GB2312"/>
          <w:color w:val="2D00C7"/>
          <w:kern w:val="0"/>
          <w:sz w:val="24"/>
          <w:szCs w:val="24"/>
        </w:rPr>
      </w:pPr>
    </w:p>
    <w:p w14:paraId="6B48FDE4">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20" w:lineRule="exact"/>
        <w:ind w:left="0" w:leftChars="0" w:right="0"/>
        <w:jc w:val="left"/>
        <w:textAlignment w:val="auto"/>
        <w:rPr>
          <w:rFonts w:hint="eastAsia" w:ascii="仿宋_GB2312" w:hAnsi="仿宋_GB2312" w:eastAsia="仿宋_GB2312" w:cs="仿宋_GB2312"/>
          <w:color w:val="2D00C7"/>
          <w:kern w:val="0"/>
          <w:sz w:val="24"/>
          <w:szCs w:val="24"/>
        </w:rPr>
      </w:pPr>
    </w:p>
    <w:p w14:paraId="5C867E63">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20" w:lineRule="exact"/>
        <w:ind w:left="0" w:leftChars="0" w:right="0"/>
        <w:jc w:val="left"/>
        <w:textAlignment w:val="auto"/>
        <w:rPr>
          <w:rFonts w:hint="eastAsia" w:ascii="仿宋_GB2312" w:hAnsi="仿宋_GB2312" w:eastAsia="仿宋_GB2312" w:cs="仿宋_GB2312"/>
          <w:color w:val="2D00C7"/>
          <w:kern w:val="0"/>
          <w:sz w:val="24"/>
          <w:szCs w:val="24"/>
        </w:rPr>
      </w:pPr>
    </w:p>
    <w:p w14:paraId="049FCFDA">
      <w:pPr>
        <w:pageBreakBefore w:val="0"/>
        <w:widowControl w:val="0"/>
        <w:kinsoku/>
        <w:overflowPunct/>
        <w:topLinePunct w:val="0"/>
        <w:autoSpaceDE w:val="0"/>
        <w:autoSpaceDN w:val="0"/>
        <w:bidi w:val="0"/>
        <w:adjustRightInd/>
        <w:spacing w:line="560" w:lineRule="exact"/>
        <w:ind w:left="0" w:leftChars="0" w:firstLine="0" w:firstLineChars="0"/>
        <w:jc w:val="both"/>
        <w:textAlignment w:val="auto"/>
        <w:outlineLvl w:val="0"/>
        <w:rPr>
          <w:rFonts w:hint="default" w:ascii="黑体" w:hAnsi="黑体" w:eastAsia="黑体" w:cs="Times New Roman"/>
          <w:kern w:val="2"/>
          <w:sz w:val="32"/>
          <w:szCs w:val="24"/>
          <w:lang w:val="en-US" w:eastAsia="zh-CN" w:bidi="ar-SA"/>
        </w:rPr>
      </w:pPr>
      <w:r>
        <w:rPr>
          <w:rFonts w:hint="eastAsia" w:ascii="黑体" w:hAnsi="黑体" w:eastAsia="黑体" w:cs="Times New Roman"/>
          <w:kern w:val="2"/>
          <w:sz w:val="32"/>
          <w:szCs w:val="24"/>
          <w:lang w:val="en-US" w:eastAsia="zh-CN" w:bidi="ar-SA"/>
        </w:rPr>
        <w:t>附表2-2</w:t>
      </w:r>
      <w:r>
        <w:rPr>
          <w:rFonts w:hint="eastAsia" w:ascii="黑体" w:hAnsi="黑体" w:eastAsia="黑体" w:cs="Times New Roman"/>
          <w:kern w:val="2"/>
          <w:sz w:val="32"/>
          <w:szCs w:val="24"/>
          <w:lang w:val="en-US" w:eastAsia="zh-CN" w:bidi="ar-SA"/>
        </w:rPr>
        <w:tab/>
      </w:r>
      <w:r>
        <w:rPr>
          <w:rFonts w:hint="eastAsia" w:ascii="黑体" w:hAnsi="黑体" w:eastAsia="黑体" w:cs="Times New Roman"/>
          <w:kern w:val="2"/>
          <w:sz w:val="32"/>
          <w:szCs w:val="24"/>
          <w:lang w:val="en-US" w:eastAsia="zh-CN" w:bidi="ar-SA"/>
        </w:rPr>
        <w:t>预算说明</w:t>
      </w:r>
    </w:p>
    <w:tbl>
      <w:tblPr>
        <w:tblStyle w:val="40"/>
        <w:tblW w:w="8526" w:type="dxa"/>
        <w:tblInd w:w="2"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8526"/>
      </w:tblGrid>
      <w:tr w14:paraId="2041F925">
        <w:trPr>
          <w:trHeight w:val="2361" w:hRule="atLeast"/>
        </w:trPr>
        <w:tc>
          <w:tcPr>
            <w:tcW w:w="8526" w:type="dxa"/>
            <w:noWrap w:val="0"/>
            <w:vAlign w:val="top"/>
          </w:tcPr>
          <w:p w14:paraId="224680CC">
            <w:pPr>
              <w:keepNext w:val="0"/>
              <w:keepLines w:val="0"/>
              <w:pageBreakBefore w:val="0"/>
              <w:widowControl w:val="0"/>
              <w:kinsoku/>
              <w:wordWrap/>
              <w:overflowPunct/>
              <w:topLinePunct w:val="0"/>
              <w:autoSpaceDE/>
              <w:autoSpaceDN/>
              <w:bidi w:val="0"/>
              <w:adjustRightInd/>
              <w:snapToGrid/>
              <w:spacing w:line="480" w:lineRule="exact"/>
              <w:ind w:left="0" w:leftChars="0" w:right="0" w:firstLine="588" w:firstLineChars="200"/>
              <w:jc w:val="left"/>
              <w:textAlignment w:val="auto"/>
              <w:rPr>
                <w:rFonts w:hint="eastAsia" w:ascii="仿宋_GB2312" w:hAnsi="仿宋_GB2312" w:eastAsia="仿宋_GB2312" w:cs="仿宋_GB2312"/>
                <w:b/>
                <w:bCs/>
                <w:spacing w:val="7"/>
                <w:sz w:val="28"/>
                <w:szCs w:val="28"/>
              </w:rPr>
            </w:pPr>
            <w:r>
              <w:rPr>
                <w:rFonts w:hint="eastAsia" w:ascii="仿宋_GB2312" w:hAnsi="仿宋_GB2312" w:eastAsia="仿宋_GB2312" w:cs="仿宋_GB2312"/>
                <w:b/>
                <w:bCs/>
                <w:spacing w:val="7"/>
                <w:sz w:val="28"/>
                <w:szCs w:val="28"/>
              </w:rPr>
              <w:t>预算的编制要坚持任务相关性、政策相符性和经济合理性，实事求是地对各</w:t>
            </w:r>
            <w:r>
              <w:rPr>
                <w:rFonts w:hint="eastAsia" w:ascii="仿宋_GB2312" w:hAnsi="仿宋_GB2312" w:eastAsia="仿宋_GB2312" w:cs="仿宋_GB2312"/>
                <w:b/>
                <w:bCs/>
                <w:spacing w:val="7"/>
                <w:sz w:val="28"/>
                <w:szCs w:val="28"/>
                <w:lang w:eastAsia="zh-CN"/>
              </w:rPr>
              <w:t>科目</w:t>
            </w:r>
            <w:r>
              <w:rPr>
                <w:rFonts w:hint="eastAsia" w:ascii="仿宋_GB2312" w:hAnsi="仿宋_GB2312" w:eastAsia="仿宋_GB2312" w:cs="仿宋_GB2312"/>
                <w:b/>
                <w:bCs/>
                <w:spacing w:val="7"/>
                <w:sz w:val="28"/>
                <w:szCs w:val="28"/>
              </w:rPr>
              <w:t>支出的主</w:t>
            </w:r>
            <w:r>
              <w:rPr>
                <w:rFonts w:hint="eastAsia" w:ascii="仿宋_GB2312" w:hAnsi="仿宋_GB2312" w:eastAsia="仿宋_GB2312" w:cs="仿宋_GB2312"/>
                <w:sz w:val="28"/>
                <w:szCs w:val="28"/>
              </w:rPr>
              <w:t xml:space="preserve"> </w:t>
            </w:r>
            <w:r>
              <w:rPr>
                <w:rFonts w:hint="eastAsia" w:ascii="仿宋_GB2312" w:hAnsi="仿宋_GB2312" w:eastAsia="仿宋_GB2312" w:cs="仿宋_GB2312"/>
                <w:b/>
                <w:bCs/>
                <w:spacing w:val="9"/>
                <w:sz w:val="28"/>
                <w:szCs w:val="28"/>
              </w:rPr>
              <w:t>要用途、具体内容及明细支出情况进行分析说</w:t>
            </w:r>
            <w:r>
              <w:rPr>
                <w:rFonts w:hint="eastAsia" w:ascii="仿宋_GB2312" w:hAnsi="仿宋_GB2312" w:eastAsia="仿宋_GB2312" w:cs="仿宋_GB2312"/>
                <w:b/>
                <w:bCs/>
                <w:spacing w:val="8"/>
                <w:sz w:val="28"/>
                <w:szCs w:val="28"/>
              </w:rPr>
              <w:t>明，需明确每项预算支出内容的资金来源，同一</w:t>
            </w:r>
            <w:r>
              <w:rPr>
                <w:rFonts w:hint="eastAsia" w:ascii="仿宋_GB2312" w:hAnsi="仿宋_GB2312" w:eastAsia="仿宋_GB2312" w:cs="仿宋_GB2312"/>
                <w:b/>
                <w:bCs/>
                <w:spacing w:val="7"/>
                <w:sz w:val="28"/>
                <w:szCs w:val="28"/>
              </w:rPr>
              <w:t>支出内容一般不得同时编列不同渠道的资金。</w:t>
            </w:r>
          </w:p>
          <w:p w14:paraId="28F25A57">
            <w:pPr>
              <w:keepNext w:val="0"/>
              <w:keepLines w:val="0"/>
              <w:pageBreakBefore w:val="0"/>
              <w:widowControl w:val="0"/>
              <w:kinsoku/>
              <w:wordWrap/>
              <w:overflowPunct/>
              <w:topLinePunct w:val="0"/>
              <w:autoSpaceDE/>
              <w:autoSpaceDN/>
              <w:bidi w:val="0"/>
              <w:adjustRightInd/>
              <w:snapToGrid/>
              <w:spacing w:line="480" w:lineRule="exact"/>
              <w:ind w:left="0" w:leftChars="0" w:right="0" w:firstLine="584" w:firstLineChars="200"/>
              <w:jc w:val="left"/>
              <w:textAlignment w:val="auto"/>
              <w:outlineLvl w:val="0"/>
              <w:rPr>
                <w:rFonts w:hint="eastAsia" w:ascii="仿宋_GB2312" w:hAnsi="仿宋_GB2312" w:eastAsia="仿宋_GB2312" w:cs="仿宋_GB2312"/>
                <w:sz w:val="28"/>
                <w:szCs w:val="28"/>
              </w:rPr>
            </w:pPr>
            <w:r>
              <w:rPr>
                <w:rFonts w:hint="eastAsia" w:ascii="仿宋_GB2312" w:hAnsi="仿宋_GB2312" w:eastAsia="仿宋_GB2312" w:cs="仿宋_GB2312"/>
                <w:b/>
                <w:bCs/>
                <w:spacing w:val="6"/>
                <w:sz w:val="28"/>
                <w:szCs w:val="28"/>
              </w:rPr>
              <w:t>一、直接费用</w:t>
            </w:r>
          </w:p>
          <w:p w14:paraId="080339BD">
            <w:pPr>
              <w:keepNext w:val="0"/>
              <w:keepLines w:val="0"/>
              <w:pageBreakBefore w:val="0"/>
              <w:widowControl w:val="0"/>
              <w:kinsoku/>
              <w:wordWrap/>
              <w:overflowPunct/>
              <w:topLinePunct w:val="0"/>
              <w:autoSpaceDE/>
              <w:autoSpaceDN/>
              <w:bidi w:val="0"/>
              <w:adjustRightInd/>
              <w:snapToGrid/>
              <w:spacing w:line="480" w:lineRule="exact"/>
              <w:ind w:left="0" w:leftChars="0" w:right="0" w:firstLine="588"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b/>
                <w:bCs/>
                <w:spacing w:val="7"/>
                <w:sz w:val="28"/>
                <w:szCs w:val="28"/>
              </w:rPr>
              <w:t>（一）设备费</w:t>
            </w:r>
          </w:p>
          <w:p w14:paraId="575DAA61">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编制设备费预算应注意：</w:t>
            </w:r>
          </w:p>
          <w:p w14:paraId="30CB4DC7">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1.应当严格控制设备购置，鼓励开放共享、自主研制、租赁专用仪器设备以及对现有仪器设备进行升级改造，避免重复购置。</w:t>
            </w:r>
          </w:p>
          <w:p w14:paraId="372202D7">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 xml:space="preserve">2.应对购置仪器设备重点予以说明，包括设备的主要性能指标、主要技术参数和用途，对 </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研究的作用，购置单台套 50 万元（含）以上的仪器设备，还需重点说明购买的必 要性和数量的合理性等。购置仪器设备的选型应在能够完成</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任务的前提下，选择性价比好的仪器设备。</w:t>
            </w:r>
          </w:p>
          <w:p w14:paraId="119901D9">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购置单台套 10 万元（含）以上的设备，需提供 3 家以上报价单。如果是独家代理或生产</w:t>
            </w:r>
            <w:r>
              <w:rPr>
                <w:rFonts w:hint="eastAsia" w:ascii="仿宋_GB2312" w:hAnsi="仿宋_GB2312" w:eastAsia="仿宋_GB2312" w:cs="仿宋_GB2312"/>
                <w:spacing w:val="6"/>
                <w:sz w:val="28"/>
                <w:szCs w:val="28"/>
                <w:lang w:eastAsia="zh-CN"/>
              </w:rPr>
              <w:t>，</w:t>
            </w:r>
            <w:r>
              <w:rPr>
                <w:rFonts w:hint="eastAsia" w:ascii="仿宋_GB2312" w:hAnsi="仿宋_GB2312" w:eastAsia="仿宋_GB2312" w:cs="仿宋_GB2312"/>
                <w:spacing w:val="6"/>
                <w:sz w:val="28"/>
                <w:szCs w:val="28"/>
              </w:rPr>
              <w:t>可提供 1 家报价单，但应予以说明。</w:t>
            </w:r>
          </w:p>
          <w:p w14:paraId="03452BF1">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3.试制设备费是现有仪器设备无法满足</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检测、实验、验证或示范等研究任务 需要而试制专用仪器设备发生的费用，一般由零部件、材料等成本，以及零部件加工、设备安装调试、燃料动力等费用构成。</w:t>
            </w:r>
          </w:p>
          <w:p w14:paraId="336F2E37">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当试制设备为过程产品时（ 即为完成</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任务而研制的零部件或工具性产品）， 试制设备发生的相关成本（含直接相关的小型仪器设备费、材料费、测试加工费、燃料动力费等） 应列入试制设备费</w:t>
            </w:r>
            <w:r>
              <w:rPr>
                <w:rFonts w:hint="eastAsia" w:ascii="仿宋_GB2312" w:hAnsi="仿宋_GB2312" w:eastAsia="仿宋_GB2312" w:cs="仿宋_GB2312"/>
                <w:spacing w:val="6"/>
                <w:sz w:val="28"/>
                <w:szCs w:val="28"/>
                <w:lang w:eastAsia="zh-CN"/>
              </w:rPr>
              <w:t>科目</w:t>
            </w:r>
            <w:r>
              <w:rPr>
                <w:rFonts w:hint="eastAsia" w:ascii="仿宋_GB2312" w:hAnsi="仿宋_GB2312" w:eastAsia="仿宋_GB2312" w:cs="仿宋_GB2312"/>
                <w:spacing w:val="6"/>
                <w:sz w:val="28"/>
                <w:szCs w:val="28"/>
              </w:rPr>
              <w:t>，试制 10 万元（含）以上仪器设备需提供相应成本清单；当试制设备为  目标产品（即</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主要任务就是研制该设备）时，应当分别在设备费、材料费、测试化验加工费、燃料动力费、劳务费等</w:t>
            </w:r>
            <w:r>
              <w:rPr>
                <w:rFonts w:hint="eastAsia" w:ascii="仿宋_GB2312" w:hAnsi="仿宋_GB2312" w:eastAsia="仿宋_GB2312" w:cs="仿宋_GB2312"/>
                <w:spacing w:val="6"/>
                <w:sz w:val="28"/>
                <w:szCs w:val="28"/>
                <w:lang w:eastAsia="zh-CN"/>
              </w:rPr>
              <w:t>科目</w:t>
            </w:r>
            <w:r>
              <w:rPr>
                <w:rFonts w:hint="eastAsia" w:ascii="仿宋_GB2312" w:hAnsi="仿宋_GB2312" w:eastAsia="仿宋_GB2312" w:cs="仿宋_GB2312"/>
                <w:spacing w:val="6"/>
                <w:sz w:val="28"/>
                <w:szCs w:val="28"/>
              </w:rPr>
              <w:t>编列测算。</w:t>
            </w:r>
          </w:p>
          <w:p w14:paraId="0BC1C787">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4.设备改造费是指因</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任务 目标需要，对现有设备进行局部改造以改善提升性 能而发生的费用，及</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实施过程中相关设备发生损坏需维修而发生的费用，一般由零部件、材料等成本和安装调试等费用构成。</w:t>
            </w:r>
          </w:p>
          <w:p w14:paraId="3396FB19">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因安装使用新增设备而对实验室进行小规模维修改造的费用，可在设备改造费中编列，应提供测算依据和说明。</w:t>
            </w:r>
          </w:p>
          <w:p w14:paraId="7BB62936">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5.设备租赁费是指</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研究过程中需要租用承担单位以外其他单位的设备而发生的费用。租赁费主要包括设备的租金、安装调试费、维修保养费及其他相关费用等。</w:t>
            </w:r>
          </w:p>
          <w:p w14:paraId="2EB4896C">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与</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研究任务相关的科学考察、野外实验勘探等车、船、航空器等交通工的租赁费可在设备租赁费中编列，并提供测算依据和说明。</w:t>
            </w:r>
          </w:p>
          <w:p w14:paraId="46DBD3D9">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不得编列承担单位 自有仪器设备的租赁费用。</w:t>
            </w:r>
          </w:p>
          <w:p w14:paraId="39073E8A">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原则上，专项经费中不应编列生产性设备的购置费、基建设施的建造费、实验室的常规 维修改造费以及属于承担单位支撑条件的专用仪器设备购置费，并严格控制常规或通用仪器设备的购置。</w:t>
            </w:r>
          </w:p>
          <w:p w14:paraId="2F2702F0">
            <w:pPr>
              <w:keepNext w:val="0"/>
              <w:keepLines w:val="0"/>
              <w:pageBreakBefore w:val="0"/>
              <w:widowControl w:val="0"/>
              <w:kinsoku/>
              <w:wordWrap/>
              <w:overflowPunct/>
              <w:topLinePunct w:val="0"/>
              <w:autoSpaceDE/>
              <w:autoSpaceDN/>
              <w:bidi w:val="0"/>
              <w:adjustRightInd/>
              <w:snapToGrid/>
              <w:spacing w:line="480" w:lineRule="exact"/>
              <w:ind w:left="0" w:leftChars="0" w:right="0" w:firstLine="588"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b/>
                <w:bCs/>
                <w:spacing w:val="7"/>
                <w:sz w:val="28"/>
                <w:szCs w:val="28"/>
              </w:rPr>
              <w:t>（二）业务费</w:t>
            </w:r>
          </w:p>
          <w:p w14:paraId="7CF0C795">
            <w:pPr>
              <w:keepNext w:val="0"/>
              <w:keepLines w:val="0"/>
              <w:pageBreakBefore w:val="0"/>
              <w:widowControl w:val="0"/>
              <w:kinsoku/>
              <w:wordWrap/>
              <w:overflowPunct/>
              <w:topLinePunct w:val="0"/>
              <w:autoSpaceDE/>
              <w:autoSpaceDN/>
              <w:bidi w:val="0"/>
              <w:adjustRightInd/>
              <w:snapToGrid/>
              <w:spacing w:line="480" w:lineRule="exact"/>
              <w:ind w:left="0" w:leftChars="0" w:right="0" w:firstLine="584"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b/>
                <w:bCs/>
                <w:spacing w:val="6"/>
                <w:sz w:val="28"/>
                <w:szCs w:val="28"/>
              </w:rPr>
              <w:t>（1）材料费</w:t>
            </w:r>
          </w:p>
          <w:p w14:paraId="60FD2C2A">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编制材料费预算应注意：</w:t>
            </w:r>
          </w:p>
          <w:p w14:paraId="1A191DFA">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实施过程中消耗的主要材料，如某一品种材料预算合计达到 10 万元（含） 以上的大宗原辅材料、贵重材料等，应详细说明其与</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任务的相关性、购买的必要性、数量的合理性等。其余辅助材料、低值易耗品可按类别简要说明。</w:t>
            </w:r>
          </w:p>
          <w:p w14:paraId="774B772F">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材料的运输、装卸、整理费用主要是指采购材料时必须发生的物流运输、材料装卸、整理 等费用。编报材料费预算应将材料运输、装卸、整理等费用与材料出厂（供应）价格统一合并测算，无需单独编列测算。</w:t>
            </w:r>
          </w:p>
          <w:p w14:paraId="7051B86C">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应避免与试制设备费中的材料重复编列。</w:t>
            </w:r>
          </w:p>
          <w:p w14:paraId="06540B95">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专项经费中不应编列用于生产经营和基本建设的材料。</w:t>
            </w:r>
          </w:p>
          <w:p w14:paraId="5130DE17">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与专用设备同时购置的备品、备件等可纳入设备费预算，单独购置备品、备件等可纳入材料费预算。</w:t>
            </w:r>
          </w:p>
          <w:p w14:paraId="31C1E8EF">
            <w:pPr>
              <w:keepNext w:val="0"/>
              <w:keepLines w:val="0"/>
              <w:pageBreakBefore w:val="0"/>
              <w:widowControl w:val="0"/>
              <w:kinsoku/>
              <w:wordWrap/>
              <w:overflowPunct/>
              <w:topLinePunct w:val="0"/>
              <w:autoSpaceDE/>
              <w:autoSpaceDN/>
              <w:bidi w:val="0"/>
              <w:adjustRightInd/>
              <w:snapToGrid/>
              <w:spacing w:line="480" w:lineRule="exact"/>
              <w:ind w:left="0" w:leftChars="0" w:right="0" w:firstLine="588"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b/>
                <w:bCs/>
                <w:spacing w:val="7"/>
                <w:sz w:val="28"/>
                <w:szCs w:val="28"/>
              </w:rPr>
              <w:t>（2）测试化验加工费</w:t>
            </w:r>
          </w:p>
          <w:p w14:paraId="09D847FD">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编制测试化验加工费预算应注意：</w:t>
            </w:r>
          </w:p>
          <w:p w14:paraId="1E50967B">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单次或累计费用在 10 万元（含）以上的测试化验加工</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，应详细说明其与</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 xml:space="preserve"> 研究任务的相关性、必要性，以及次数、价格等测算依据，并详细说明承接测试化验加工业务的外单位（包括承担单位内部独立经济核算单位）所具备的资质或相应能力。</w:t>
            </w:r>
          </w:p>
          <w:p w14:paraId="167C6620">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如承接方与承担单位存在利益关联关系，应披露双方利益关联情况。</w:t>
            </w:r>
          </w:p>
          <w:p w14:paraId="25C7892D">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单次或累计费用在 5 万元以下的测试化验加工</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，可结合</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研究任务分类说明。</w:t>
            </w:r>
          </w:p>
          <w:p w14:paraId="0700F2E2">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内部独立经济核算单位是指在单位统一会计制度控制下，单位内部实行独立经济核算的机 构或部门，其承担的测试化验加工任务应按照测试、化验、加工内容发生的实际成本或内部结算价格进行测算。</w:t>
            </w:r>
          </w:p>
          <w:p w14:paraId="3ECB32ED">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与</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研究任务相关的软件测试、数据加工整理、大型计算机机时等费用可在本</w:t>
            </w:r>
            <w:r>
              <w:rPr>
                <w:rFonts w:hint="eastAsia" w:ascii="仿宋_GB2312" w:hAnsi="仿宋_GB2312" w:eastAsia="仿宋_GB2312" w:cs="仿宋_GB2312"/>
                <w:spacing w:val="6"/>
                <w:sz w:val="28"/>
                <w:szCs w:val="28"/>
                <w:lang w:eastAsia="zh-CN"/>
              </w:rPr>
              <w:t>科目</w:t>
            </w:r>
            <w:r>
              <w:rPr>
                <w:rFonts w:hint="eastAsia" w:ascii="仿宋_GB2312" w:hAnsi="仿宋_GB2312" w:eastAsia="仿宋_GB2312" w:cs="仿宋_GB2312"/>
                <w:spacing w:val="6"/>
                <w:sz w:val="28"/>
                <w:szCs w:val="28"/>
              </w:rPr>
              <w:t>编列。</w:t>
            </w:r>
          </w:p>
          <w:p w14:paraId="6AD0F069">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按照研究任务分工，需由承担单位独立完成的测试化验加工任务，相关费用不在本</w:t>
            </w:r>
            <w:r>
              <w:rPr>
                <w:rFonts w:hint="eastAsia" w:ascii="仿宋_GB2312" w:hAnsi="仿宋_GB2312" w:eastAsia="仿宋_GB2312" w:cs="仿宋_GB2312"/>
                <w:spacing w:val="6"/>
                <w:sz w:val="28"/>
                <w:szCs w:val="28"/>
                <w:lang w:eastAsia="zh-CN"/>
              </w:rPr>
              <w:t>科目</w:t>
            </w:r>
            <w:r>
              <w:rPr>
                <w:rFonts w:hint="eastAsia" w:ascii="仿宋_GB2312" w:hAnsi="仿宋_GB2312" w:eastAsia="仿宋_GB2312" w:cs="仿宋_GB2312"/>
                <w:spacing w:val="6"/>
                <w:sz w:val="28"/>
                <w:szCs w:val="28"/>
                <w:lang w:val="en-US" w:eastAsia="zh-CN"/>
              </w:rPr>
              <w:t>中</w:t>
            </w:r>
            <w:r>
              <w:rPr>
                <w:rFonts w:hint="eastAsia" w:ascii="仿宋_GB2312" w:hAnsi="仿宋_GB2312" w:eastAsia="仿宋_GB2312" w:cs="仿宋_GB2312"/>
                <w:spacing w:val="6"/>
                <w:sz w:val="28"/>
                <w:szCs w:val="28"/>
              </w:rPr>
              <w:t>核算，应在材料费、燃料动力费和劳务费等预算</w:t>
            </w:r>
            <w:r>
              <w:rPr>
                <w:rFonts w:hint="eastAsia" w:ascii="仿宋_GB2312" w:hAnsi="仿宋_GB2312" w:eastAsia="仿宋_GB2312" w:cs="仿宋_GB2312"/>
                <w:spacing w:val="6"/>
                <w:sz w:val="28"/>
                <w:szCs w:val="28"/>
                <w:lang w:eastAsia="zh-CN"/>
              </w:rPr>
              <w:t>科目</w:t>
            </w:r>
            <w:r>
              <w:rPr>
                <w:rFonts w:hint="eastAsia" w:ascii="仿宋_GB2312" w:hAnsi="仿宋_GB2312" w:eastAsia="仿宋_GB2312" w:cs="仿宋_GB2312"/>
                <w:spacing w:val="6"/>
                <w:sz w:val="28"/>
                <w:szCs w:val="28"/>
              </w:rPr>
              <w:t>编列。</w:t>
            </w:r>
          </w:p>
          <w:p w14:paraId="79AB5656">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应由承担单位完成的研究任务，不得以测试化验加工费的名义分包。</w:t>
            </w:r>
          </w:p>
          <w:p w14:paraId="0EC9DFAC">
            <w:pPr>
              <w:keepNext w:val="0"/>
              <w:keepLines w:val="0"/>
              <w:pageBreakBefore w:val="0"/>
              <w:widowControl w:val="0"/>
              <w:kinsoku/>
              <w:wordWrap/>
              <w:overflowPunct/>
              <w:topLinePunct w:val="0"/>
              <w:autoSpaceDE/>
              <w:autoSpaceDN/>
              <w:bidi w:val="0"/>
              <w:adjustRightInd/>
              <w:snapToGrid/>
              <w:spacing w:line="480" w:lineRule="exact"/>
              <w:ind w:left="0" w:leftChars="0" w:right="0" w:firstLine="584"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b/>
                <w:bCs/>
                <w:spacing w:val="6"/>
                <w:sz w:val="28"/>
                <w:szCs w:val="28"/>
              </w:rPr>
              <w:t>（3）燃料动力费</w:t>
            </w:r>
          </w:p>
          <w:p w14:paraId="01385F96">
            <w:pPr>
              <w:keepNext w:val="0"/>
              <w:keepLines w:val="0"/>
              <w:pageBreakBefore w:val="0"/>
              <w:widowControl w:val="0"/>
              <w:kinsoku/>
              <w:wordWrap/>
              <w:overflowPunct/>
              <w:topLinePunct w:val="0"/>
              <w:autoSpaceDE/>
              <w:autoSpaceDN/>
              <w:bidi w:val="0"/>
              <w:adjustRightInd/>
              <w:snapToGrid/>
              <w:spacing w:line="480" w:lineRule="exact"/>
              <w:ind w:left="0" w:leftChars="0" w:right="0" w:firstLine="592"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pacing w:val="8"/>
                <w:sz w:val="28"/>
                <w:szCs w:val="28"/>
              </w:rPr>
              <w:t>编制燃料动力费预算应注意：</w:t>
            </w:r>
          </w:p>
          <w:p w14:paraId="0C1B5D85">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0" w:leftChars="0" w:right="0" w:firstLine="592" w:firstLineChars="200"/>
              <w:jc w:val="left"/>
              <w:textAlignment w:val="auto"/>
              <w:rPr>
                <w:rFonts w:hint="eastAsia" w:ascii="仿宋_GB2312" w:hAnsi="仿宋_GB2312" w:eastAsia="仿宋_GB2312" w:cs="仿宋_GB2312"/>
                <w:spacing w:val="8"/>
                <w:sz w:val="28"/>
                <w:szCs w:val="28"/>
              </w:rPr>
            </w:pPr>
            <w:r>
              <w:rPr>
                <w:rFonts w:hint="eastAsia" w:ascii="仿宋_GB2312" w:hAnsi="仿宋_GB2312" w:eastAsia="仿宋_GB2312" w:cs="仿宋_GB2312"/>
                <w:spacing w:val="8"/>
                <w:sz w:val="28"/>
                <w:szCs w:val="28"/>
              </w:rPr>
              <w:t>详细说明直接使用的相关仪器设备、科学装置等在</w:t>
            </w:r>
            <w:r>
              <w:rPr>
                <w:rFonts w:hint="eastAsia" w:ascii="仿宋_GB2312" w:hAnsi="仿宋_GB2312" w:eastAsia="仿宋_GB2312" w:cs="仿宋_GB2312"/>
                <w:spacing w:val="8"/>
                <w:sz w:val="28"/>
                <w:szCs w:val="28"/>
                <w:lang w:eastAsia="zh-CN"/>
              </w:rPr>
              <w:t>项目</w:t>
            </w:r>
            <w:r>
              <w:rPr>
                <w:rFonts w:hint="eastAsia" w:ascii="仿宋_GB2312" w:hAnsi="仿宋_GB2312" w:eastAsia="仿宋_GB2312" w:cs="仿宋_GB2312"/>
                <w:spacing w:val="8"/>
                <w:sz w:val="28"/>
                <w:szCs w:val="28"/>
              </w:rPr>
              <w:t>研究任务中的作用。</w:t>
            </w:r>
          </w:p>
          <w:p w14:paraId="5B263807">
            <w:pPr>
              <w:keepNext w:val="0"/>
              <w:keepLines w:val="0"/>
              <w:pageBreakBefore w:val="0"/>
              <w:widowControl w:val="0"/>
              <w:kinsoku/>
              <w:wordWrap/>
              <w:overflowPunct/>
              <w:topLinePunct w:val="0"/>
              <w:autoSpaceDE/>
              <w:autoSpaceDN/>
              <w:bidi w:val="0"/>
              <w:adjustRightInd/>
              <w:snapToGrid/>
              <w:spacing w:line="480" w:lineRule="exact"/>
              <w:ind w:left="0" w:right="0" w:firstLine="588"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7"/>
                <w:position w:val="14"/>
                <w:sz w:val="28"/>
                <w:szCs w:val="28"/>
              </w:rPr>
              <w:t>应按照相关仪器、科学装置等预计运行时间和所消耗的水、电、气、</w:t>
            </w:r>
            <w:r>
              <w:rPr>
                <w:rFonts w:hint="eastAsia" w:ascii="仿宋_GB2312" w:hAnsi="仿宋_GB2312" w:eastAsia="仿宋_GB2312" w:cs="仿宋_GB2312"/>
                <w:spacing w:val="6"/>
                <w:sz w:val="28"/>
                <w:szCs w:val="28"/>
              </w:rPr>
              <w:t>燃料等即期（预算编报时）价格测算，在测算过程中还应提供各参数来源或分摊依据、测算方法等。</w:t>
            </w:r>
          </w:p>
          <w:p w14:paraId="10787728">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承担单位的 日常水、电、气、暖消耗等费用不应在此</w:t>
            </w:r>
            <w:r>
              <w:rPr>
                <w:rFonts w:hint="eastAsia" w:ascii="仿宋_GB2312" w:hAnsi="仿宋_GB2312" w:eastAsia="仿宋_GB2312" w:cs="仿宋_GB2312"/>
                <w:spacing w:val="6"/>
                <w:sz w:val="28"/>
                <w:szCs w:val="28"/>
                <w:lang w:eastAsia="zh-CN"/>
              </w:rPr>
              <w:t>科目</w:t>
            </w:r>
            <w:r>
              <w:rPr>
                <w:rFonts w:hint="eastAsia" w:ascii="仿宋_GB2312" w:hAnsi="仿宋_GB2312" w:eastAsia="仿宋_GB2312" w:cs="仿宋_GB2312"/>
                <w:spacing w:val="6"/>
                <w:sz w:val="28"/>
                <w:szCs w:val="28"/>
              </w:rPr>
              <w:t>编列，应在间接费用中解决。</w:t>
            </w:r>
          </w:p>
          <w:p w14:paraId="4756A85F">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与</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研究任务相关的科学考察、野外实验勘探等发生的车、船、航空器的燃油费用可在燃料动力费中编列。</w:t>
            </w:r>
          </w:p>
          <w:p w14:paraId="541EAB50">
            <w:pPr>
              <w:keepNext w:val="0"/>
              <w:keepLines w:val="0"/>
              <w:pageBreakBefore w:val="0"/>
              <w:widowControl w:val="0"/>
              <w:kinsoku/>
              <w:wordWrap/>
              <w:overflowPunct/>
              <w:topLinePunct w:val="0"/>
              <w:autoSpaceDE/>
              <w:autoSpaceDN/>
              <w:bidi w:val="0"/>
              <w:adjustRightInd/>
              <w:snapToGrid/>
              <w:spacing w:line="480" w:lineRule="exact"/>
              <w:ind w:left="0" w:right="0" w:firstLine="588"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b/>
                <w:bCs/>
                <w:spacing w:val="7"/>
                <w:sz w:val="28"/>
                <w:szCs w:val="28"/>
              </w:rPr>
              <w:t>（4）差旅/会议/国际合作与交流费</w:t>
            </w:r>
          </w:p>
          <w:p w14:paraId="02BD06F4">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编制会议/差旅/国际合作交流费预算应注意：</w:t>
            </w:r>
          </w:p>
          <w:p w14:paraId="52343E4E">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1.本</w:t>
            </w:r>
            <w:r>
              <w:rPr>
                <w:rFonts w:hint="eastAsia" w:ascii="仿宋_GB2312" w:hAnsi="仿宋_GB2312" w:eastAsia="仿宋_GB2312" w:cs="仿宋_GB2312"/>
                <w:spacing w:val="6"/>
                <w:sz w:val="28"/>
                <w:szCs w:val="28"/>
                <w:lang w:eastAsia="zh-CN"/>
              </w:rPr>
              <w:t>科目</w:t>
            </w:r>
            <w:r>
              <w:rPr>
                <w:rFonts w:hint="eastAsia" w:ascii="仿宋_GB2312" w:hAnsi="仿宋_GB2312" w:eastAsia="仿宋_GB2312" w:cs="仿宋_GB2312"/>
                <w:spacing w:val="6"/>
                <w:sz w:val="28"/>
                <w:szCs w:val="28"/>
              </w:rPr>
              <w:t>预算不超过直接费用预算 10%的，不需要对预算内容和资金安排进行说明，更不需要提供测算依据。</w:t>
            </w:r>
          </w:p>
          <w:p w14:paraId="205A27A2">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2.本</w:t>
            </w:r>
            <w:r>
              <w:rPr>
                <w:rFonts w:hint="eastAsia" w:ascii="仿宋_GB2312" w:hAnsi="仿宋_GB2312" w:eastAsia="仿宋_GB2312" w:cs="仿宋_GB2312"/>
                <w:spacing w:val="6"/>
                <w:sz w:val="28"/>
                <w:szCs w:val="28"/>
                <w:lang w:eastAsia="zh-CN"/>
              </w:rPr>
              <w:t>科目</w:t>
            </w:r>
            <w:r>
              <w:rPr>
                <w:rFonts w:hint="eastAsia" w:ascii="仿宋_GB2312" w:hAnsi="仿宋_GB2312" w:eastAsia="仿宋_GB2312" w:cs="仿宋_GB2312"/>
                <w:spacing w:val="6"/>
                <w:sz w:val="28"/>
                <w:szCs w:val="28"/>
              </w:rPr>
              <w:t>预算超过直接费用 10%的，应对会议费、差旅费、国际合作交流费分类分别进行测算。</w:t>
            </w:r>
          </w:p>
          <w:p w14:paraId="148FA40A">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会议费：是指在</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实施过程中承担单位为组织开展学术研讨、咨询以及协调项目等活动而发生的会议费用。</w:t>
            </w:r>
          </w:p>
          <w:p w14:paraId="20FC1605">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会议费可按照会议类别（如学术交流研讨、咨询座谈、验收等）对会议次数、规模、开支标准等进行说明，无需对每次会议做单独的测算和说明。</w:t>
            </w:r>
          </w:p>
          <w:p w14:paraId="00261A12">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会议次数、天数、人数以及会议费开支范围、标准等，高校、科研院所应按照其内部制定 的管理办法测算，并提供管理办法作为附件。除高校、科研院所外，其他单位应参照本市关于会议费的相关开支标准进行测算。</w:t>
            </w:r>
          </w:p>
          <w:p w14:paraId="15E46EF4">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差旅费：是指在项目实施过程中开展科学实验（试验）、科学考察、业务调研、学术交流等所发生的外埠差旅费、市内交通费用等。</w:t>
            </w:r>
          </w:p>
          <w:p w14:paraId="7500AD9B">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差旅费可按照差旅类别（ 如科学实验/试验、科学考察、业务调研、学术交流等）对出差次数、人数、人均出差费用等进行分类说明，无需对每一次出差事项做单独的测算和说明。</w:t>
            </w:r>
          </w:p>
          <w:p w14:paraId="05C6780B">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预算中若涉及到乘坐交通工具等级和住宿费标准等，高校、科研院所应按照其内部制定的 管理办法测算，并提供管理办法作为附件。除高校、科研院所外，其他单位应参照国家关于差旅费的相关开支标准进行测算。</w:t>
            </w:r>
          </w:p>
          <w:p w14:paraId="35D9B4EE">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国际合作交流费：是指项目实施过程中课题研究人员出国（境）及外国专家来华的费用。</w:t>
            </w:r>
          </w:p>
          <w:p w14:paraId="629E7990">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pacing w:val="6"/>
                <w:sz w:val="28"/>
                <w:szCs w:val="28"/>
              </w:rPr>
              <w:t>国际合作交流费应根据国际合作交流的类型，如项目</w:t>
            </w:r>
            <w:r>
              <w:rPr>
                <w:rFonts w:hint="eastAsia" w:ascii="仿宋_GB2312" w:hAnsi="仿宋_GB2312" w:eastAsia="仿宋_GB2312" w:cs="仿宋_GB2312"/>
                <w:spacing w:val="5"/>
                <w:sz w:val="28"/>
                <w:szCs w:val="28"/>
              </w:rPr>
              <w:t>研究人员出国（境）进行的</w:t>
            </w:r>
            <w:r>
              <w:rPr>
                <w:rFonts w:hint="eastAsia" w:ascii="仿宋_GB2312" w:hAnsi="仿宋_GB2312" w:eastAsia="仿宋_GB2312" w:cs="仿宋_GB2312"/>
                <w:spacing w:val="6"/>
                <w:sz w:val="28"/>
                <w:szCs w:val="28"/>
              </w:rPr>
              <w:t>学术交流、考察调研等，海外专家来华进行的技术培训、业务指导等，分别说明相关活动与项目</w:t>
            </w:r>
            <w:r>
              <w:rPr>
                <w:rFonts w:hint="eastAsia" w:ascii="仿宋_GB2312" w:hAnsi="仿宋_GB2312" w:eastAsia="仿宋_GB2312" w:cs="仿宋_GB2312"/>
                <w:spacing w:val="8"/>
                <w:sz w:val="28"/>
                <w:szCs w:val="28"/>
              </w:rPr>
              <w:t>研究任务的相关性、必要性。</w:t>
            </w:r>
          </w:p>
          <w:p w14:paraId="3EF8E3ED">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课题研究人员出国（境）和外国专家来华应与</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研究任务相关，在编报预算时</w:t>
            </w:r>
            <w:r>
              <w:rPr>
                <w:rFonts w:hint="eastAsia" w:ascii="仿宋_GB2312" w:hAnsi="仿宋_GB2312" w:eastAsia="仿宋_GB2312" w:cs="仿宋_GB2312"/>
                <w:sz w:val="28"/>
                <w:szCs w:val="28"/>
              </w:rPr>
              <w:t xml:space="preserve">  </w:t>
            </w:r>
            <w:r>
              <w:rPr>
                <w:rFonts w:hint="eastAsia" w:ascii="仿宋_GB2312" w:hAnsi="仿宋_GB2312" w:eastAsia="仿宋_GB2312" w:cs="仿宋_GB2312"/>
                <w:spacing w:val="7"/>
                <w:sz w:val="28"/>
                <w:szCs w:val="28"/>
              </w:rPr>
              <w:t>应合理考虑出国（</w:t>
            </w:r>
            <w:r>
              <w:rPr>
                <w:rFonts w:hint="eastAsia" w:ascii="仿宋_GB2312" w:hAnsi="仿宋_GB2312" w:eastAsia="仿宋_GB2312" w:cs="仿宋_GB2312"/>
                <w:spacing w:val="-47"/>
                <w:sz w:val="28"/>
                <w:szCs w:val="28"/>
              </w:rPr>
              <w:t xml:space="preserve"> </w:t>
            </w:r>
            <w:r>
              <w:rPr>
                <w:rFonts w:hint="eastAsia" w:ascii="仿宋_GB2312" w:hAnsi="仿宋_GB2312" w:eastAsia="仿宋_GB2312" w:cs="仿宋_GB2312"/>
                <w:spacing w:val="7"/>
                <w:sz w:val="28"/>
                <w:szCs w:val="28"/>
              </w:rPr>
              <w:t>境）</w:t>
            </w:r>
            <w:r>
              <w:rPr>
                <w:rFonts w:hint="eastAsia" w:ascii="仿宋_GB2312" w:hAnsi="仿宋_GB2312" w:eastAsia="仿宋_GB2312" w:cs="仿宋_GB2312"/>
                <w:spacing w:val="-44"/>
                <w:sz w:val="28"/>
                <w:szCs w:val="28"/>
              </w:rPr>
              <w:t xml:space="preserve"> </w:t>
            </w:r>
            <w:r>
              <w:rPr>
                <w:rFonts w:hint="eastAsia" w:ascii="仿宋_GB2312" w:hAnsi="仿宋_GB2312" w:eastAsia="仿宋_GB2312" w:cs="仿宋_GB2312"/>
                <w:spacing w:val="7"/>
                <w:sz w:val="28"/>
                <w:szCs w:val="28"/>
              </w:rPr>
              <w:t>目的地、外国专家主要工作</w:t>
            </w:r>
            <w:r>
              <w:rPr>
                <w:rFonts w:hint="eastAsia" w:ascii="仿宋_GB2312" w:hAnsi="仿宋_GB2312" w:eastAsia="仿宋_GB2312" w:cs="仿宋_GB2312"/>
                <w:spacing w:val="6"/>
                <w:sz w:val="28"/>
                <w:szCs w:val="28"/>
              </w:rPr>
              <w:t>内容、出国（境）或来华的天数、出国（境）批次数和出国（境）团组人数等。</w:t>
            </w:r>
          </w:p>
          <w:p w14:paraId="7100BC40">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出国（境）费用应按照国家的相关规定测算。外国专家来华工作发生的住宿费、差旅费，应参考国内同行专家的标准编报。</w:t>
            </w:r>
          </w:p>
          <w:p w14:paraId="3AE49296">
            <w:pPr>
              <w:keepNext w:val="0"/>
              <w:keepLines w:val="0"/>
              <w:pageBreakBefore w:val="0"/>
              <w:widowControl w:val="0"/>
              <w:kinsoku/>
              <w:wordWrap/>
              <w:overflowPunct/>
              <w:topLinePunct w:val="0"/>
              <w:autoSpaceDE/>
              <w:autoSpaceDN/>
              <w:bidi w:val="0"/>
              <w:adjustRightInd/>
              <w:snapToGrid/>
              <w:spacing w:line="480" w:lineRule="exact"/>
              <w:ind w:left="0" w:right="0" w:firstLine="580"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pacing w:val="5"/>
                <w:sz w:val="28"/>
                <w:szCs w:val="28"/>
              </w:rPr>
              <w:t>参加与</w:t>
            </w:r>
            <w:r>
              <w:rPr>
                <w:rFonts w:hint="eastAsia" w:ascii="仿宋_GB2312" w:hAnsi="仿宋_GB2312" w:eastAsia="仿宋_GB2312" w:cs="仿宋_GB2312"/>
                <w:spacing w:val="5"/>
                <w:sz w:val="28"/>
                <w:szCs w:val="28"/>
                <w:lang w:eastAsia="zh-CN"/>
              </w:rPr>
              <w:t>项目</w:t>
            </w:r>
            <w:r>
              <w:rPr>
                <w:rFonts w:hint="eastAsia" w:ascii="仿宋_GB2312" w:hAnsi="仿宋_GB2312" w:eastAsia="仿宋_GB2312" w:cs="仿宋_GB2312"/>
                <w:spacing w:val="5"/>
                <w:sz w:val="28"/>
                <w:szCs w:val="28"/>
              </w:rPr>
              <w:t>研究任务相关的国内和国际学术交流会议的注册费，以及因</w:t>
            </w:r>
            <w:r>
              <w:rPr>
                <w:rFonts w:hint="eastAsia" w:ascii="仿宋_GB2312" w:hAnsi="仿宋_GB2312" w:eastAsia="仿宋_GB2312" w:cs="仿宋_GB2312"/>
                <w:spacing w:val="5"/>
                <w:sz w:val="28"/>
                <w:szCs w:val="28"/>
                <w:lang w:eastAsia="zh-CN"/>
              </w:rPr>
              <w:t>项目</w:t>
            </w:r>
            <w:r>
              <w:rPr>
                <w:rFonts w:hint="eastAsia" w:ascii="仿宋_GB2312" w:hAnsi="仿宋_GB2312" w:eastAsia="仿宋_GB2312" w:cs="仿宋_GB2312"/>
                <w:spacing w:val="4"/>
                <w:sz w:val="28"/>
                <w:szCs w:val="28"/>
              </w:rPr>
              <w:t>（课</w:t>
            </w:r>
            <w:r>
              <w:rPr>
                <w:rFonts w:hint="eastAsia" w:ascii="仿宋_GB2312" w:hAnsi="仿宋_GB2312" w:eastAsia="仿宋_GB2312" w:cs="仿宋_GB2312"/>
                <w:sz w:val="28"/>
                <w:szCs w:val="28"/>
              </w:rPr>
              <w:t xml:space="preserve"> </w:t>
            </w:r>
            <w:r>
              <w:rPr>
                <w:rFonts w:hint="eastAsia" w:ascii="仿宋_GB2312" w:hAnsi="仿宋_GB2312" w:eastAsia="仿宋_GB2312" w:cs="仿宋_GB2312"/>
                <w:spacing w:val="9"/>
                <w:sz w:val="28"/>
                <w:szCs w:val="28"/>
              </w:rPr>
              <w:t>题）研究任务需要，邀请国内外专家、学者和有关人员参加会议，对确需负担的城市间交通费、</w:t>
            </w:r>
            <w:r>
              <w:rPr>
                <w:rFonts w:hint="eastAsia" w:ascii="仿宋_GB2312" w:hAnsi="仿宋_GB2312" w:eastAsia="仿宋_GB2312" w:cs="仿宋_GB2312"/>
                <w:spacing w:val="7"/>
                <w:sz w:val="28"/>
                <w:szCs w:val="28"/>
              </w:rPr>
              <w:t>国际旅费、签证费等可列入会议/差旅/国际合作交</w:t>
            </w:r>
            <w:r>
              <w:rPr>
                <w:rFonts w:hint="eastAsia" w:ascii="仿宋_GB2312" w:hAnsi="仿宋_GB2312" w:eastAsia="仿宋_GB2312" w:cs="仿宋_GB2312"/>
                <w:spacing w:val="6"/>
                <w:sz w:val="28"/>
                <w:szCs w:val="28"/>
              </w:rPr>
              <w:t>流费</w:t>
            </w:r>
            <w:r>
              <w:rPr>
                <w:rFonts w:hint="eastAsia" w:ascii="仿宋_GB2312" w:hAnsi="仿宋_GB2312" w:eastAsia="仿宋_GB2312" w:cs="仿宋_GB2312"/>
                <w:spacing w:val="6"/>
                <w:sz w:val="28"/>
                <w:szCs w:val="28"/>
                <w:lang w:eastAsia="zh-CN"/>
              </w:rPr>
              <w:t>科目</w:t>
            </w:r>
            <w:r>
              <w:rPr>
                <w:rFonts w:hint="eastAsia" w:ascii="仿宋_GB2312" w:hAnsi="仿宋_GB2312" w:eastAsia="仿宋_GB2312" w:cs="仿宋_GB2312"/>
                <w:spacing w:val="6"/>
                <w:sz w:val="28"/>
                <w:szCs w:val="28"/>
              </w:rPr>
              <w:t>编列。</w:t>
            </w:r>
          </w:p>
          <w:p w14:paraId="46C3C805">
            <w:pPr>
              <w:keepNext w:val="0"/>
              <w:keepLines w:val="0"/>
              <w:pageBreakBefore w:val="0"/>
              <w:widowControl w:val="0"/>
              <w:kinsoku/>
              <w:wordWrap/>
              <w:overflowPunct/>
              <w:topLinePunct w:val="0"/>
              <w:autoSpaceDE/>
              <w:autoSpaceDN/>
              <w:bidi w:val="0"/>
              <w:adjustRightInd/>
              <w:snapToGrid/>
              <w:spacing w:line="480" w:lineRule="exact"/>
              <w:ind w:left="0" w:right="0" w:firstLine="588"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b/>
                <w:bCs/>
                <w:spacing w:val="7"/>
                <w:sz w:val="28"/>
                <w:szCs w:val="28"/>
              </w:rPr>
              <w:t>（5）出版/文献/信息传播/知识产权事务费</w:t>
            </w:r>
          </w:p>
          <w:p w14:paraId="4053BEEA">
            <w:pPr>
              <w:keepNext w:val="0"/>
              <w:keepLines w:val="0"/>
              <w:pageBreakBefore w:val="0"/>
              <w:widowControl w:val="0"/>
              <w:kinsoku/>
              <w:wordWrap/>
              <w:overflowPunct/>
              <w:topLinePunct w:val="0"/>
              <w:autoSpaceDE/>
              <w:autoSpaceDN/>
              <w:bidi w:val="0"/>
              <w:adjustRightInd/>
              <w:snapToGrid/>
              <w:spacing w:line="480" w:lineRule="exact"/>
              <w:ind w:left="0" w:right="0" w:firstLine="592"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pacing w:val="8"/>
                <w:sz w:val="28"/>
                <w:szCs w:val="28"/>
              </w:rPr>
              <w:t>编制出版/文献/信息传播/知识产权事务费预算应注意：</w:t>
            </w:r>
          </w:p>
          <w:p w14:paraId="115766BC">
            <w:pPr>
              <w:keepNext w:val="0"/>
              <w:keepLines w:val="0"/>
              <w:pageBreakBefore w:val="0"/>
              <w:widowControl w:val="0"/>
              <w:kinsoku/>
              <w:wordWrap/>
              <w:overflowPunct/>
              <w:topLinePunct w:val="0"/>
              <w:autoSpaceDE/>
              <w:autoSpaceDN/>
              <w:bidi w:val="0"/>
              <w:adjustRightInd/>
              <w:snapToGrid/>
              <w:spacing w:line="480" w:lineRule="exact"/>
              <w:ind w:left="0" w:right="0" w:firstLine="588"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pacing w:val="7"/>
                <w:sz w:val="28"/>
                <w:szCs w:val="28"/>
              </w:rPr>
              <w:t>出版费：主要包括</w:t>
            </w:r>
            <w:r>
              <w:rPr>
                <w:rFonts w:hint="eastAsia" w:ascii="仿宋_GB2312" w:hAnsi="仿宋_GB2312" w:eastAsia="仿宋_GB2312" w:cs="仿宋_GB2312"/>
                <w:spacing w:val="7"/>
                <w:sz w:val="28"/>
                <w:szCs w:val="28"/>
                <w:lang w:eastAsia="zh-CN"/>
              </w:rPr>
              <w:t>项目</w:t>
            </w:r>
            <w:r>
              <w:rPr>
                <w:rFonts w:hint="eastAsia" w:ascii="仿宋_GB2312" w:hAnsi="仿宋_GB2312" w:eastAsia="仿宋_GB2312" w:cs="仿宋_GB2312"/>
                <w:spacing w:val="7"/>
                <w:sz w:val="28"/>
                <w:szCs w:val="28"/>
              </w:rPr>
              <w:t>（</w:t>
            </w:r>
            <w:r>
              <w:rPr>
                <w:rFonts w:hint="eastAsia" w:ascii="仿宋_GB2312" w:hAnsi="仿宋_GB2312" w:eastAsia="仿宋_GB2312" w:cs="仿宋_GB2312"/>
                <w:spacing w:val="-57"/>
                <w:sz w:val="28"/>
                <w:szCs w:val="28"/>
              </w:rPr>
              <w:t xml:space="preserve"> </w:t>
            </w:r>
            <w:r>
              <w:rPr>
                <w:rFonts w:hint="eastAsia" w:ascii="仿宋_GB2312" w:hAnsi="仿宋_GB2312" w:eastAsia="仿宋_GB2312" w:cs="仿宋_GB2312"/>
                <w:spacing w:val="7"/>
                <w:sz w:val="28"/>
                <w:szCs w:val="28"/>
              </w:rPr>
              <w:t>课题）研究任务产生的论文、专著、标准、图</w:t>
            </w:r>
            <w:r>
              <w:rPr>
                <w:rFonts w:hint="eastAsia" w:ascii="仿宋_GB2312" w:hAnsi="仿宋_GB2312" w:eastAsia="仿宋_GB2312" w:cs="仿宋_GB2312"/>
                <w:spacing w:val="6"/>
                <w:sz w:val="28"/>
                <w:szCs w:val="28"/>
              </w:rPr>
              <w:t>集等出版费用。</w:t>
            </w:r>
          </w:p>
          <w:p w14:paraId="0A191DF6">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pacing w:val="6"/>
                <w:sz w:val="28"/>
                <w:szCs w:val="28"/>
              </w:rPr>
              <w:t>资料费：主要包括</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w:t>
            </w:r>
            <w:r>
              <w:rPr>
                <w:rFonts w:hint="eastAsia" w:ascii="仿宋_GB2312" w:hAnsi="仿宋_GB2312" w:eastAsia="仿宋_GB2312" w:cs="仿宋_GB2312"/>
                <w:spacing w:val="-57"/>
                <w:sz w:val="28"/>
                <w:szCs w:val="28"/>
              </w:rPr>
              <w:t xml:space="preserve"> </w:t>
            </w:r>
            <w:r>
              <w:rPr>
                <w:rFonts w:hint="eastAsia" w:ascii="仿宋_GB2312" w:hAnsi="仿宋_GB2312" w:eastAsia="仿宋_GB2312" w:cs="仿宋_GB2312"/>
                <w:spacing w:val="6"/>
                <w:sz w:val="28"/>
                <w:szCs w:val="28"/>
              </w:rPr>
              <w:t>课题）研究任务必需的图书、学术资料、数据资源等购买费用，</w:t>
            </w:r>
            <w:r>
              <w:rPr>
                <w:rFonts w:hint="eastAsia" w:ascii="仿宋_GB2312" w:hAnsi="仿宋_GB2312" w:eastAsia="仿宋_GB2312" w:cs="仿宋_GB2312"/>
                <w:sz w:val="28"/>
                <w:szCs w:val="28"/>
              </w:rPr>
              <w:t xml:space="preserve"> </w:t>
            </w:r>
            <w:r>
              <w:rPr>
                <w:rFonts w:hint="eastAsia" w:ascii="仿宋_GB2312" w:hAnsi="仿宋_GB2312" w:eastAsia="仿宋_GB2312" w:cs="仿宋_GB2312"/>
                <w:spacing w:val="7"/>
                <w:sz w:val="28"/>
                <w:szCs w:val="28"/>
              </w:rPr>
              <w:t>以及与</w:t>
            </w:r>
            <w:r>
              <w:rPr>
                <w:rFonts w:hint="eastAsia" w:ascii="仿宋_GB2312" w:hAnsi="仿宋_GB2312" w:eastAsia="仿宋_GB2312" w:cs="仿宋_GB2312"/>
                <w:spacing w:val="7"/>
                <w:sz w:val="28"/>
                <w:szCs w:val="28"/>
                <w:lang w:eastAsia="zh-CN"/>
              </w:rPr>
              <w:t>项目</w:t>
            </w:r>
            <w:r>
              <w:rPr>
                <w:rFonts w:hint="eastAsia" w:ascii="仿宋_GB2312" w:hAnsi="仿宋_GB2312" w:eastAsia="仿宋_GB2312" w:cs="仿宋_GB2312"/>
                <w:spacing w:val="7"/>
                <w:sz w:val="28"/>
                <w:szCs w:val="28"/>
              </w:rPr>
              <w:t>任务相关的资料翻译、打印、复印、装订等费用。对于</w:t>
            </w:r>
            <w:r>
              <w:rPr>
                <w:rFonts w:hint="eastAsia" w:ascii="仿宋_GB2312" w:hAnsi="仿宋_GB2312" w:eastAsia="仿宋_GB2312" w:cs="仿宋_GB2312"/>
                <w:spacing w:val="6"/>
                <w:sz w:val="28"/>
                <w:szCs w:val="28"/>
              </w:rPr>
              <w:t>单价</w:t>
            </w:r>
            <w:r>
              <w:rPr>
                <w:rFonts w:hint="eastAsia" w:ascii="仿宋_GB2312" w:hAnsi="仿宋_GB2312" w:eastAsia="仿宋_GB2312" w:cs="仿宋_GB2312"/>
                <w:spacing w:val="-21"/>
                <w:sz w:val="28"/>
                <w:szCs w:val="28"/>
              </w:rPr>
              <w:t xml:space="preserve"> </w:t>
            </w:r>
            <w:r>
              <w:rPr>
                <w:rFonts w:hint="eastAsia" w:ascii="仿宋_GB2312" w:hAnsi="仿宋_GB2312" w:eastAsia="仿宋_GB2312" w:cs="仿宋_GB2312"/>
                <w:spacing w:val="6"/>
                <w:sz w:val="28"/>
                <w:szCs w:val="28"/>
              </w:rPr>
              <w:t>10</w:t>
            </w:r>
            <w:r>
              <w:rPr>
                <w:rFonts w:hint="eastAsia" w:ascii="仿宋_GB2312" w:hAnsi="仿宋_GB2312" w:eastAsia="仿宋_GB2312" w:cs="仿宋_GB2312"/>
                <w:spacing w:val="-31"/>
                <w:sz w:val="28"/>
                <w:szCs w:val="28"/>
              </w:rPr>
              <w:t xml:space="preserve"> </w:t>
            </w:r>
            <w:r>
              <w:rPr>
                <w:rFonts w:hint="eastAsia" w:ascii="仿宋_GB2312" w:hAnsi="仿宋_GB2312" w:eastAsia="仿宋_GB2312" w:cs="仿宋_GB2312"/>
                <w:spacing w:val="6"/>
                <w:sz w:val="28"/>
                <w:szCs w:val="28"/>
              </w:rPr>
              <w:t>万元（含）</w:t>
            </w:r>
            <w:r>
              <w:rPr>
                <w:rFonts w:hint="eastAsia" w:ascii="仿宋_GB2312" w:hAnsi="仿宋_GB2312" w:eastAsia="仿宋_GB2312" w:cs="仿宋_GB2312"/>
                <w:spacing w:val="8"/>
                <w:sz w:val="28"/>
                <w:szCs w:val="28"/>
              </w:rPr>
              <w:t>以上的资料购买费用，应说明其购买的必要性和数量的合理性等。</w:t>
            </w:r>
          </w:p>
          <w:p w14:paraId="4DDBC25A">
            <w:pPr>
              <w:keepNext w:val="0"/>
              <w:keepLines w:val="0"/>
              <w:pageBreakBefore w:val="0"/>
              <w:widowControl w:val="0"/>
              <w:kinsoku/>
              <w:wordWrap/>
              <w:overflowPunct/>
              <w:topLinePunct w:val="0"/>
              <w:autoSpaceDE/>
              <w:autoSpaceDN/>
              <w:bidi w:val="0"/>
              <w:adjustRightInd/>
              <w:snapToGrid/>
              <w:spacing w:line="480" w:lineRule="exact"/>
              <w:ind w:left="0" w:right="0" w:firstLine="596"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pacing w:val="9"/>
                <w:sz w:val="28"/>
                <w:szCs w:val="28"/>
              </w:rPr>
              <w:t>购买单价在</w:t>
            </w:r>
            <w:r>
              <w:rPr>
                <w:rFonts w:hint="eastAsia" w:ascii="仿宋_GB2312" w:hAnsi="仿宋_GB2312" w:eastAsia="仿宋_GB2312" w:cs="仿宋_GB2312"/>
                <w:spacing w:val="-22"/>
                <w:sz w:val="28"/>
                <w:szCs w:val="28"/>
              </w:rPr>
              <w:t xml:space="preserve"> </w:t>
            </w:r>
            <w:r>
              <w:rPr>
                <w:rFonts w:hint="eastAsia" w:ascii="仿宋_GB2312" w:hAnsi="仿宋_GB2312" w:eastAsia="仿宋_GB2312" w:cs="仿宋_GB2312"/>
                <w:spacing w:val="9"/>
                <w:sz w:val="28"/>
                <w:szCs w:val="28"/>
              </w:rPr>
              <w:t>10</w:t>
            </w:r>
            <w:r>
              <w:rPr>
                <w:rFonts w:hint="eastAsia" w:ascii="仿宋_GB2312" w:hAnsi="仿宋_GB2312" w:eastAsia="仿宋_GB2312" w:cs="仿宋_GB2312"/>
                <w:spacing w:val="-31"/>
                <w:sz w:val="28"/>
                <w:szCs w:val="28"/>
              </w:rPr>
              <w:t xml:space="preserve"> </w:t>
            </w:r>
            <w:r>
              <w:rPr>
                <w:rFonts w:hint="eastAsia" w:ascii="仿宋_GB2312" w:hAnsi="仿宋_GB2312" w:eastAsia="仿宋_GB2312" w:cs="仿宋_GB2312"/>
                <w:spacing w:val="9"/>
                <w:sz w:val="28"/>
                <w:szCs w:val="28"/>
              </w:rPr>
              <w:t>万元（含）以上的专用软件，应说明</w:t>
            </w:r>
            <w:r>
              <w:rPr>
                <w:rFonts w:hint="eastAsia" w:ascii="仿宋_GB2312" w:hAnsi="仿宋_GB2312" w:eastAsia="仿宋_GB2312" w:cs="仿宋_GB2312"/>
                <w:spacing w:val="8"/>
                <w:sz w:val="28"/>
                <w:szCs w:val="28"/>
              </w:rPr>
              <w:t>专用软件的主要技术指标和用途，购</w:t>
            </w:r>
            <w:r>
              <w:rPr>
                <w:rFonts w:hint="eastAsia" w:ascii="仿宋_GB2312" w:hAnsi="仿宋_GB2312" w:eastAsia="仿宋_GB2312" w:cs="仿宋_GB2312"/>
                <w:sz w:val="28"/>
                <w:szCs w:val="28"/>
              </w:rPr>
              <w:t xml:space="preserve"> </w:t>
            </w:r>
            <w:r>
              <w:rPr>
                <w:rFonts w:hint="eastAsia" w:ascii="仿宋_GB2312" w:hAnsi="仿宋_GB2312" w:eastAsia="仿宋_GB2312" w:cs="仿宋_GB2312"/>
                <w:spacing w:val="7"/>
                <w:sz w:val="28"/>
                <w:szCs w:val="28"/>
              </w:rPr>
              <w:t>买的必要性和数量的合理性等，并需提供</w:t>
            </w:r>
            <w:r>
              <w:rPr>
                <w:rFonts w:hint="eastAsia" w:ascii="仿宋_GB2312" w:hAnsi="仿宋_GB2312" w:eastAsia="仿宋_GB2312" w:cs="仿宋_GB2312"/>
                <w:spacing w:val="-33"/>
                <w:sz w:val="28"/>
                <w:szCs w:val="28"/>
              </w:rPr>
              <w:t xml:space="preserve"> </w:t>
            </w:r>
            <w:r>
              <w:rPr>
                <w:rFonts w:hint="eastAsia" w:ascii="仿宋_GB2312" w:hAnsi="仿宋_GB2312" w:eastAsia="仿宋_GB2312" w:cs="仿宋_GB2312"/>
                <w:spacing w:val="7"/>
                <w:sz w:val="28"/>
                <w:szCs w:val="28"/>
              </w:rPr>
              <w:t>3</w:t>
            </w:r>
            <w:r>
              <w:rPr>
                <w:rFonts w:hint="eastAsia" w:ascii="仿宋_GB2312" w:hAnsi="仿宋_GB2312" w:eastAsia="仿宋_GB2312" w:cs="仿宋_GB2312"/>
                <w:spacing w:val="-34"/>
                <w:sz w:val="28"/>
                <w:szCs w:val="28"/>
              </w:rPr>
              <w:t xml:space="preserve"> </w:t>
            </w:r>
            <w:r>
              <w:rPr>
                <w:rFonts w:hint="eastAsia" w:ascii="仿宋_GB2312" w:hAnsi="仿宋_GB2312" w:eastAsia="仿宋_GB2312" w:cs="仿宋_GB2312"/>
                <w:spacing w:val="7"/>
                <w:sz w:val="28"/>
                <w:szCs w:val="28"/>
              </w:rPr>
              <w:t>家以上报价单。如</w:t>
            </w:r>
            <w:r>
              <w:rPr>
                <w:rFonts w:hint="eastAsia" w:ascii="仿宋_GB2312" w:hAnsi="仿宋_GB2312" w:eastAsia="仿宋_GB2312" w:cs="仿宋_GB2312"/>
                <w:spacing w:val="6"/>
                <w:sz w:val="28"/>
                <w:szCs w:val="28"/>
              </w:rPr>
              <w:t>果专用软件为独家代理或生产，可提供</w:t>
            </w:r>
            <w:r>
              <w:rPr>
                <w:rFonts w:hint="eastAsia" w:ascii="仿宋_GB2312" w:hAnsi="仿宋_GB2312" w:eastAsia="仿宋_GB2312" w:cs="仿宋_GB2312"/>
                <w:spacing w:val="-22"/>
                <w:sz w:val="28"/>
                <w:szCs w:val="28"/>
              </w:rPr>
              <w:t xml:space="preserve"> </w:t>
            </w:r>
            <w:r>
              <w:rPr>
                <w:rFonts w:hint="eastAsia" w:ascii="仿宋_GB2312" w:hAnsi="仿宋_GB2312" w:eastAsia="仿宋_GB2312" w:cs="仿宋_GB2312"/>
                <w:spacing w:val="6"/>
                <w:sz w:val="28"/>
                <w:szCs w:val="28"/>
              </w:rPr>
              <w:t>1</w:t>
            </w:r>
            <w:r>
              <w:rPr>
                <w:rFonts w:hint="eastAsia" w:ascii="仿宋_GB2312" w:hAnsi="仿宋_GB2312" w:eastAsia="仿宋_GB2312" w:cs="仿宋_GB2312"/>
                <w:spacing w:val="-34"/>
                <w:sz w:val="28"/>
                <w:szCs w:val="28"/>
              </w:rPr>
              <w:t xml:space="preserve"> </w:t>
            </w:r>
            <w:r>
              <w:rPr>
                <w:rFonts w:hint="eastAsia" w:ascii="仿宋_GB2312" w:hAnsi="仿宋_GB2312" w:eastAsia="仿宋_GB2312" w:cs="仿宋_GB2312"/>
                <w:spacing w:val="6"/>
                <w:sz w:val="28"/>
                <w:szCs w:val="28"/>
              </w:rPr>
              <w:t>家报价单，但应予以说明。</w:t>
            </w:r>
          </w:p>
          <w:p w14:paraId="38E06C19">
            <w:pPr>
              <w:keepNext w:val="0"/>
              <w:keepLines w:val="0"/>
              <w:pageBreakBefore w:val="0"/>
              <w:widowControl w:val="0"/>
              <w:kinsoku/>
              <w:wordWrap/>
              <w:overflowPunct/>
              <w:topLinePunct w:val="0"/>
              <w:autoSpaceDE/>
              <w:autoSpaceDN/>
              <w:bidi w:val="0"/>
              <w:adjustRightInd/>
              <w:snapToGrid/>
              <w:spacing w:line="480" w:lineRule="exact"/>
              <w:ind w:left="0" w:right="0" w:firstLine="596"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pacing w:val="9"/>
                <w:sz w:val="28"/>
                <w:szCs w:val="28"/>
              </w:rPr>
              <w:t>专项经费中不应编列通用性操作系统、办公软件等非专用软件的购置费。</w:t>
            </w:r>
          </w:p>
          <w:p w14:paraId="3D94D559">
            <w:pPr>
              <w:keepNext w:val="0"/>
              <w:keepLines w:val="0"/>
              <w:pageBreakBefore w:val="0"/>
              <w:widowControl w:val="0"/>
              <w:kinsoku/>
              <w:wordWrap/>
              <w:overflowPunct/>
              <w:topLinePunct w:val="0"/>
              <w:autoSpaceDE/>
              <w:autoSpaceDN/>
              <w:bidi w:val="0"/>
              <w:adjustRightInd/>
              <w:snapToGrid/>
              <w:spacing w:line="480" w:lineRule="exact"/>
              <w:ind w:left="0" w:right="0" w:firstLine="588" w:firstLineChars="200"/>
              <w:jc w:val="left"/>
              <w:textAlignment w:val="auto"/>
              <w:rPr>
                <w:rFonts w:hint="eastAsia" w:ascii="仿宋_GB2312" w:hAnsi="仿宋_GB2312" w:eastAsia="仿宋_GB2312" w:cs="仿宋_GB2312"/>
                <w:spacing w:val="7"/>
                <w:sz w:val="28"/>
                <w:szCs w:val="28"/>
              </w:rPr>
            </w:pPr>
            <w:r>
              <w:rPr>
                <w:rFonts w:hint="eastAsia" w:ascii="仿宋_GB2312" w:hAnsi="仿宋_GB2312" w:eastAsia="仿宋_GB2312" w:cs="仿宋_GB2312"/>
                <w:spacing w:val="7"/>
                <w:sz w:val="28"/>
                <w:szCs w:val="28"/>
              </w:rPr>
              <w:t>委托外单位开发的单价在 10 万元（含）以上的定制软件，应说明定制软件的用途，定制的必要性、数量的合理性等。</w:t>
            </w:r>
          </w:p>
          <w:p w14:paraId="511B34CB">
            <w:pPr>
              <w:keepNext w:val="0"/>
              <w:keepLines w:val="0"/>
              <w:pageBreakBefore w:val="0"/>
              <w:widowControl w:val="0"/>
              <w:kinsoku/>
              <w:wordWrap/>
              <w:overflowPunct/>
              <w:topLinePunct w:val="0"/>
              <w:autoSpaceDE/>
              <w:autoSpaceDN/>
              <w:bidi w:val="0"/>
              <w:adjustRightInd/>
              <w:snapToGrid/>
              <w:spacing w:line="480" w:lineRule="exact"/>
              <w:ind w:left="0" w:right="0" w:firstLine="588" w:firstLineChars="200"/>
              <w:jc w:val="left"/>
              <w:textAlignment w:val="auto"/>
              <w:rPr>
                <w:rFonts w:hint="eastAsia" w:ascii="仿宋_GB2312" w:hAnsi="仿宋_GB2312" w:eastAsia="仿宋_GB2312" w:cs="仿宋_GB2312"/>
                <w:spacing w:val="7"/>
                <w:sz w:val="28"/>
                <w:szCs w:val="28"/>
              </w:rPr>
            </w:pPr>
            <w:r>
              <w:rPr>
                <w:rFonts w:hint="eastAsia" w:ascii="仿宋_GB2312" w:hAnsi="仿宋_GB2312" w:eastAsia="仿宋_GB2312" w:cs="仿宋_GB2312"/>
                <w:spacing w:val="7"/>
                <w:sz w:val="28"/>
                <w:szCs w:val="28"/>
              </w:rPr>
              <w:t>如项目主要任务目标为软件开发，不应将课题研究的主要任务通过定制软件的方式外包，其研发软件发生的费用应计入相应</w:t>
            </w:r>
            <w:r>
              <w:rPr>
                <w:rFonts w:hint="eastAsia" w:ascii="仿宋_GB2312" w:hAnsi="仿宋_GB2312" w:eastAsia="仿宋_GB2312" w:cs="仿宋_GB2312"/>
                <w:spacing w:val="7"/>
                <w:sz w:val="28"/>
                <w:szCs w:val="28"/>
                <w:lang w:eastAsia="zh-CN"/>
              </w:rPr>
              <w:t>科目</w:t>
            </w:r>
            <w:r>
              <w:rPr>
                <w:rFonts w:hint="eastAsia" w:ascii="仿宋_GB2312" w:hAnsi="仿宋_GB2312" w:eastAsia="仿宋_GB2312" w:cs="仿宋_GB2312"/>
                <w:spacing w:val="7"/>
                <w:sz w:val="28"/>
                <w:szCs w:val="28"/>
              </w:rPr>
              <w:t>中，不计入本科目。</w:t>
            </w:r>
          </w:p>
          <w:p w14:paraId="6BE3AD25">
            <w:pPr>
              <w:keepNext w:val="0"/>
              <w:keepLines w:val="0"/>
              <w:pageBreakBefore w:val="0"/>
              <w:widowControl w:val="0"/>
              <w:kinsoku/>
              <w:wordWrap/>
              <w:overflowPunct/>
              <w:topLinePunct w:val="0"/>
              <w:autoSpaceDE/>
              <w:autoSpaceDN/>
              <w:bidi w:val="0"/>
              <w:adjustRightInd/>
              <w:snapToGrid/>
              <w:spacing w:line="480" w:lineRule="exact"/>
              <w:ind w:left="0" w:right="0" w:firstLine="588" w:firstLineChars="200"/>
              <w:jc w:val="left"/>
              <w:textAlignment w:val="auto"/>
              <w:rPr>
                <w:rFonts w:hint="eastAsia" w:ascii="仿宋_GB2312" w:hAnsi="仿宋_GB2312" w:eastAsia="仿宋_GB2312" w:cs="仿宋_GB2312"/>
                <w:spacing w:val="7"/>
                <w:sz w:val="28"/>
                <w:szCs w:val="28"/>
              </w:rPr>
            </w:pPr>
            <w:r>
              <w:rPr>
                <w:rFonts w:hint="eastAsia" w:ascii="仿宋_GB2312" w:hAnsi="仿宋_GB2312" w:eastAsia="仿宋_GB2312" w:cs="仿宋_GB2312"/>
                <w:spacing w:val="7"/>
                <w:sz w:val="28"/>
                <w:szCs w:val="28"/>
              </w:rPr>
              <w:t>专项经费中不应编列日常手机和办公固定电话的通讯费、日常办公网络费和电话充值卡费用等。</w:t>
            </w:r>
          </w:p>
          <w:p w14:paraId="41B9B5E9">
            <w:pPr>
              <w:keepNext w:val="0"/>
              <w:keepLines w:val="0"/>
              <w:pageBreakBefore w:val="0"/>
              <w:widowControl w:val="0"/>
              <w:kinsoku/>
              <w:wordWrap/>
              <w:overflowPunct/>
              <w:topLinePunct w:val="0"/>
              <w:autoSpaceDE/>
              <w:autoSpaceDN/>
              <w:bidi w:val="0"/>
              <w:adjustRightInd/>
              <w:snapToGrid/>
              <w:spacing w:line="480" w:lineRule="exact"/>
              <w:ind w:left="0" w:right="0" w:firstLine="580"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pacing w:val="5"/>
                <w:sz w:val="28"/>
                <w:szCs w:val="28"/>
              </w:rPr>
              <w:t>专利申请及其他知识产权事务费用：为完成本</w:t>
            </w:r>
            <w:r>
              <w:rPr>
                <w:rFonts w:hint="eastAsia" w:ascii="仿宋_GB2312" w:hAnsi="仿宋_GB2312" w:eastAsia="仿宋_GB2312" w:cs="仿宋_GB2312"/>
                <w:spacing w:val="5"/>
                <w:sz w:val="28"/>
                <w:szCs w:val="28"/>
                <w:lang w:eastAsia="zh-CN"/>
              </w:rPr>
              <w:t>项目</w:t>
            </w:r>
            <w:r>
              <w:rPr>
                <w:rFonts w:hint="eastAsia" w:ascii="仿宋_GB2312" w:hAnsi="仿宋_GB2312" w:eastAsia="仿宋_GB2312" w:cs="仿宋_GB2312"/>
                <w:spacing w:val="5"/>
                <w:sz w:val="28"/>
                <w:szCs w:val="28"/>
              </w:rPr>
              <w:t>（</w:t>
            </w:r>
            <w:r>
              <w:rPr>
                <w:rFonts w:hint="eastAsia" w:ascii="仿宋_GB2312" w:hAnsi="仿宋_GB2312" w:eastAsia="仿宋_GB2312" w:cs="仿宋_GB2312"/>
                <w:spacing w:val="-56"/>
                <w:sz w:val="28"/>
                <w:szCs w:val="28"/>
              </w:rPr>
              <w:t xml:space="preserve"> </w:t>
            </w:r>
            <w:r>
              <w:rPr>
                <w:rFonts w:hint="eastAsia" w:ascii="仿宋_GB2312" w:hAnsi="仿宋_GB2312" w:eastAsia="仿宋_GB2312" w:cs="仿宋_GB2312"/>
                <w:spacing w:val="5"/>
                <w:sz w:val="28"/>
                <w:szCs w:val="28"/>
              </w:rPr>
              <w:t>课题）研究</w:t>
            </w:r>
            <w:r>
              <w:rPr>
                <w:rFonts w:hint="eastAsia" w:ascii="仿宋_GB2312" w:hAnsi="仿宋_GB2312" w:eastAsia="仿宋_GB2312" w:cs="仿宋_GB2312"/>
                <w:spacing w:val="-49"/>
                <w:sz w:val="28"/>
                <w:szCs w:val="28"/>
              </w:rPr>
              <w:t xml:space="preserve"> </w:t>
            </w:r>
            <w:r>
              <w:rPr>
                <w:rFonts w:hint="eastAsia" w:ascii="仿宋_GB2312" w:hAnsi="仿宋_GB2312" w:eastAsia="仿宋_GB2312" w:cs="仿宋_GB2312"/>
                <w:spacing w:val="5"/>
                <w:sz w:val="28"/>
                <w:szCs w:val="28"/>
              </w:rPr>
              <w:t>目标而申请专利的费用，</w:t>
            </w:r>
            <w:r>
              <w:rPr>
                <w:rFonts w:hint="eastAsia" w:ascii="仿宋_GB2312" w:hAnsi="仿宋_GB2312" w:eastAsia="仿宋_GB2312" w:cs="仿宋_GB2312"/>
                <w:sz w:val="28"/>
                <w:szCs w:val="28"/>
              </w:rPr>
              <w:t xml:space="preserve"> </w:t>
            </w:r>
            <w:r>
              <w:rPr>
                <w:rFonts w:hint="eastAsia" w:ascii="仿宋_GB2312" w:hAnsi="仿宋_GB2312" w:eastAsia="仿宋_GB2312" w:cs="仿宋_GB2312"/>
                <w:spacing w:val="7"/>
                <w:sz w:val="28"/>
                <w:szCs w:val="28"/>
              </w:rPr>
              <w:t>以及该专利在</w:t>
            </w:r>
            <w:r>
              <w:rPr>
                <w:rFonts w:hint="eastAsia" w:ascii="仿宋_GB2312" w:hAnsi="仿宋_GB2312" w:eastAsia="仿宋_GB2312" w:cs="仿宋_GB2312"/>
                <w:spacing w:val="7"/>
                <w:sz w:val="28"/>
                <w:szCs w:val="28"/>
                <w:lang w:eastAsia="zh-CN"/>
              </w:rPr>
              <w:t>项目</w:t>
            </w:r>
            <w:r>
              <w:rPr>
                <w:rFonts w:hint="eastAsia" w:ascii="仿宋_GB2312" w:hAnsi="仿宋_GB2312" w:eastAsia="仿宋_GB2312" w:cs="仿宋_GB2312"/>
                <w:spacing w:val="7"/>
                <w:sz w:val="28"/>
                <w:szCs w:val="28"/>
              </w:rPr>
              <w:t>实施周期内发生的维护费用，和办理其他知识产权事务发生的费用，</w:t>
            </w:r>
            <w:r>
              <w:rPr>
                <w:rFonts w:hint="eastAsia" w:ascii="仿宋_GB2312" w:hAnsi="仿宋_GB2312" w:eastAsia="仿宋_GB2312" w:cs="仿宋_GB2312"/>
                <w:spacing w:val="9"/>
                <w:sz w:val="28"/>
                <w:szCs w:val="28"/>
              </w:rPr>
              <w:t>如计算机软件著作权、集成电路布图设计权、临床批件、新药证书等。</w:t>
            </w:r>
          </w:p>
          <w:p w14:paraId="0A7B5194">
            <w:pPr>
              <w:keepNext w:val="0"/>
              <w:keepLines w:val="0"/>
              <w:pageBreakBefore w:val="0"/>
              <w:widowControl w:val="0"/>
              <w:kinsoku/>
              <w:wordWrap/>
              <w:overflowPunct/>
              <w:topLinePunct w:val="0"/>
              <w:autoSpaceDE/>
              <w:autoSpaceDN/>
              <w:bidi w:val="0"/>
              <w:adjustRightInd/>
              <w:snapToGrid/>
              <w:spacing w:line="480" w:lineRule="exact"/>
              <w:ind w:left="0" w:right="0" w:firstLine="580"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b/>
                <w:bCs/>
                <w:spacing w:val="5"/>
                <w:sz w:val="28"/>
                <w:szCs w:val="28"/>
              </w:rPr>
              <w:t>（6）其他费用</w:t>
            </w:r>
          </w:p>
          <w:p w14:paraId="2ABBCCA8">
            <w:pPr>
              <w:keepNext w:val="0"/>
              <w:keepLines w:val="0"/>
              <w:pageBreakBefore w:val="0"/>
              <w:widowControl w:val="0"/>
              <w:kinsoku/>
              <w:wordWrap/>
              <w:overflowPunct/>
              <w:topLinePunct w:val="0"/>
              <w:autoSpaceDE/>
              <w:autoSpaceDN/>
              <w:bidi w:val="0"/>
              <w:adjustRightInd/>
              <w:snapToGrid/>
              <w:spacing w:line="480" w:lineRule="exact"/>
              <w:ind w:left="0" w:right="0" w:firstLine="592"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pacing w:val="8"/>
                <w:sz w:val="28"/>
                <w:szCs w:val="28"/>
              </w:rPr>
              <w:t>编制其他支出预算时应该注意：</w:t>
            </w:r>
          </w:p>
          <w:p w14:paraId="3A972E18">
            <w:pPr>
              <w:keepNext w:val="0"/>
              <w:keepLines w:val="0"/>
              <w:pageBreakBefore w:val="0"/>
              <w:widowControl w:val="0"/>
              <w:kinsoku/>
              <w:wordWrap/>
              <w:overflowPunct/>
              <w:topLinePunct w:val="0"/>
              <w:autoSpaceDE/>
              <w:autoSpaceDN/>
              <w:bidi w:val="0"/>
              <w:adjustRightInd/>
              <w:snapToGrid/>
              <w:spacing w:line="480" w:lineRule="exact"/>
              <w:ind w:left="0" w:right="0" w:firstLine="580"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pacing w:val="5"/>
                <w:sz w:val="28"/>
                <w:szCs w:val="28"/>
              </w:rPr>
              <w:t>对</w:t>
            </w:r>
            <w:r>
              <w:rPr>
                <w:rFonts w:hint="eastAsia" w:ascii="仿宋_GB2312" w:hAnsi="仿宋_GB2312" w:eastAsia="仿宋_GB2312" w:cs="仿宋_GB2312"/>
                <w:spacing w:val="5"/>
                <w:sz w:val="28"/>
                <w:szCs w:val="28"/>
                <w:lang w:eastAsia="zh-CN"/>
              </w:rPr>
              <w:t>项目</w:t>
            </w:r>
            <w:r>
              <w:rPr>
                <w:rFonts w:hint="eastAsia" w:ascii="仿宋_GB2312" w:hAnsi="仿宋_GB2312" w:eastAsia="仿宋_GB2312" w:cs="仿宋_GB2312"/>
                <w:spacing w:val="5"/>
                <w:sz w:val="28"/>
                <w:szCs w:val="28"/>
              </w:rPr>
              <w:t>研究过程中必须发生但不包含在上述</w:t>
            </w:r>
            <w:r>
              <w:rPr>
                <w:rFonts w:hint="eastAsia" w:ascii="仿宋_GB2312" w:hAnsi="仿宋_GB2312" w:eastAsia="仿宋_GB2312" w:cs="仿宋_GB2312"/>
                <w:spacing w:val="5"/>
                <w:sz w:val="28"/>
                <w:szCs w:val="28"/>
                <w:lang w:eastAsia="zh-CN"/>
              </w:rPr>
              <w:t>科目</w:t>
            </w:r>
            <w:r>
              <w:rPr>
                <w:rFonts w:hint="eastAsia" w:ascii="仿宋_GB2312" w:hAnsi="仿宋_GB2312" w:eastAsia="仿宋_GB2312" w:cs="仿宋_GB2312"/>
                <w:spacing w:val="5"/>
                <w:sz w:val="28"/>
                <w:szCs w:val="28"/>
              </w:rPr>
              <w:t>中的支出，如综合绩效评</w:t>
            </w:r>
            <w:r>
              <w:rPr>
                <w:rFonts w:hint="eastAsia" w:ascii="仿宋_GB2312" w:hAnsi="仿宋_GB2312" w:eastAsia="仿宋_GB2312" w:cs="仿宋_GB2312"/>
                <w:spacing w:val="4"/>
                <w:sz w:val="28"/>
                <w:szCs w:val="28"/>
              </w:rPr>
              <w:t>价审计</w:t>
            </w:r>
            <w:r>
              <w:rPr>
                <w:rFonts w:hint="eastAsia" w:ascii="仿宋_GB2312" w:hAnsi="仿宋_GB2312" w:eastAsia="仿宋_GB2312" w:cs="仿宋_GB2312"/>
                <w:sz w:val="28"/>
                <w:szCs w:val="28"/>
              </w:rPr>
              <w:t xml:space="preserve"> </w:t>
            </w:r>
            <w:r>
              <w:rPr>
                <w:rFonts w:hint="eastAsia" w:ascii="仿宋_GB2312" w:hAnsi="仿宋_GB2312" w:eastAsia="仿宋_GB2312" w:cs="仿宋_GB2312"/>
                <w:spacing w:val="6"/>
                <w:sz w:val="28"/>
                <w:szCs w:val="28"/>
              </w:rPr>
              <w:t>费用、在农业、林业等领域发生的土地租赁费及青苗补偿费、在人</w:t>
            </w:r>
            <w:r>
              <w:rPr>
                <w:rFonts w:hint="eastAsia" w:ascii="仿宋_GB2312" w:hAnsi="仿宋_GB2312" w:eastAsia="仿宋_GB2312" w:cs="仿宋_GB2312"/>
                <w:spacing w:val="-41"/>
                <w:sz w:val="28"/>
                <w:szCs w:val="28"/>
              </w:rPr>
              <w:t xml:space="preserve"> </w:t>
            </w:r>
            <w:r>
              <w:rPr>
                <w:rFonts w:hint="eastAsia" w:ascii="仿宋_GB2312" w:hAnsi="仿宋_GB2312" w:eastAsia="仿宋_GB2312" w:cs="仿宋_GB2312"/>
                <w:spacing w:val="6"/>
                <w:sz w:val="28"/>
                <w:szCs w:val="28"/>
              </w:rPr>
              <w:t>口与健康领域发生的临床试验</w:t>
            </w:r>
            <w:r>
              <w:rPr>
                <w:rFonts w:hint="eastAsia" w:ascii="仿宋_GB2312" w:hAnsi="仿宋_GB2312" w:eastAsia="仿宋_GB2312" w:cs="仿宋_GB2312"/>
                <w:sz w:val="28"/>
                <w:szCs w:val="28"/>
              </w:rPr>
              <w:t xml:space="preserve"> </w:t>
            </w:r>
            <w:r>
              <w:rPr>
                <w:rFonts w:hint="eastAsia" w:ascii="仿宋_GB2312" w:hAnsi="仿宋_GB2312" w:eastAsia="仿宋_GB2312" w:cs="仿宋_GB2312"/>
                <w:spacing w:val="6"/>
                <w:sz w:val="28"/>
                <w:szCs w:val="28"/>
              </w:rPr>
              <w:t>费等，可在其他支出中编列，应详细说明该支出与</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研究任务的相关性和必要性，并</w:t>
            </w:r>
            <w:r>
              <w:rPr>
                <w:rFonts w:hint="eastAsia" w:ascii="仿宋_GB2312" w:hAnsi="仿宋_GB2312" w:eastAsia="仿宋_GB2312" w:cs="仿宋_GB2312"/>
                <w:spacing w:val="7"/>
                <w:sz w:val="28"/>
                <w:szCs w:val="28"/>
              </w:rPr>
              <w:t>详细列示测算依据。</w:t>
            </w:r>
          </w:p>
          <w:p w14:paraId="796F3CAA">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对于列支的综合绩效评价审计费用，应本着经济合理的原则进行编制，不得列支财务咨询业务发生的费用。</w:t>
            </w:r>
          </w:p>
          <w:p w14:paraId="5F641C04">
            <w:pPr>
              <w:keepNext w:val="0"/>
              <w:keepLines w:val="0"/>
              <w:pageBreakBefore w:val="0"/>
              <w:widowControl w:val="0"/>
              <w:kinsoku/>
              <w:wordWrap/>
              <w:overflowPunct/>
              <w:topLinePunct w:val="0"/>
              <w:autoSpaceDE/>
              <w:autoSpaceDN/>
              <w:bidi w:val="0"/>
              <w:adjustRightInd/>
              <w:snapToGrid/>
              <w:spacing w:line="480" w:lineRule="exact"/>
              <w:ind w:left="0" w:right="0" w:firstLine="588"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b/>
                <w:bCs/>
                <w:spacing w:val="7"/>
                <w:sz w:val="28"/>
                <w:szCs w:val="28"/>
              </w:rPr>
              <w:t>（三）劳务费</w:t>
            </w:r>
          </w:p>
          <w:p w14:paraId="6258D8D8">
            <w:pPr>
              <w:keepNext w:val="0"/>
              <w:keepLines w:val="0"/>
              <w:pageBreakBefore w:val="0"/>
              <w:widowControl w:val="0"/>
              <w:kinsoku/>
              <w:wordWrap/>
              <w:overflowPunct/>
              <w:topLinePunct w:val="0"/>
              <w:autoSpaceDE/>
              <w:autoSpaceDN/>
              <w:bidi w:val="0"/>
              <w:adjustRightInd/>
              <w:snapToGrid/>
              <w:spacing w:line="480" w:lineRule="exact"/>
              <w:ind w:left="0" w:right="0" w:firstLine="580"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b/>
                <w:bCs/>
                <w:spacing w:val="5"/>
                <w:sz w:val="28"/>
                <w:szCs w:val="28"/>
              </w:rPr>
              <w:t>（1）劳务性费用</w:t>
            </w:r>
          </w:p>
          <w:p w14:paraId="667B5E7D">
            <w:pPr>
              <w:keepNext w:val="0"/>
              <w:keepLines w:val="0"/>
              <w:pageBreakBefore w:val="0"/>
              <w:widowControl w:val="0"/>
              <w:kinsoku/>
              <w:wordWrap/>
              <w:overflowPunct/>
              <w:topLinePunct w:val="0"/>
              <w:autoSpaceDE/>
              <w:autoSpaceDN/>
              <w:bidi w:val="0"/>
              <w:adjustRightInd/>
              <w:snapToGrid/>
              <w:spacing w:line="480" w:lineRule="exact"/>
              <w:ind w:left="0" w:right="0" w:firstLine="592"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pacing w:val="8"/>
                <w:sz w:val="28"/>
                <w:szCs w:val="28"/>
              </w:rPr>
              <w:t>编制劳务费预算应注意：</w:t>
            </w:r>
          </w:p>
          <w:p w14:paraId="517C5FF5">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劳务费预算不设比例限制，应根据科研人员以及相关人员参与</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的全时工作时间、承担的任务等因素据实编制并进行说明。</w:t>
            </w:r>
          </w:p>
          <w:p w14:paraId="505CA8F1">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承担单位应有健全的劳务费管理办法，对访问学者、</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聘用研究人员应有细化 的管理要求。在单位的相关管理规定中应明确访问学者的资格认定、审批或备案程序、归 口管理部门及公开公示等内容，并制定岗位设立、工作协议、 日常管理、发放标准等方面的具体规定。</w:t>
            </w:r>
          </w:p>
          <w:p w14:paraId="19839B6F">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pacing w:val="6"/>
                <w:sz w:val="28"/>
                <w:szCs w:val="28"/>
              </w:rPr>
              <w:t>编列研究生、博士后等人员的劳务费，应综合考虑参与</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研究的人月数、本单</w:t>
            </w:r>
            <w:r>
              <w:rPr>
                <w:rFonts w:hint="eastAsia" w:ascii="仿宋_GB2312" w:hAnsi="仿宋_GB2312" w:eastAsia="仿宋_GB2312" w:cs="仿宋_GB2312"/>
                <w:sz w:val="28"/>
                <w:szCs w:val="28"/>
              </w:rPr>
              <w:t xml:space="preserve"> </w:t>
            </w:r>
            <w:r>
              <w:rPr>
                <w:rFonts w:hint="eastAsia" w:ascii="仿宋_GB2312" w:hAnsi="仿宋_GB2312" w:eastAsia="仿宋_GB2312" w:cs="仿宋_GB2312"/>
                <w:spacing w:val="9"/>
                <w:sz w:val="28"/>
                <w:szCs w:val="28"/>
              </w:rPr>
              <w:t>位研究生、博士后的科研劳务费发放管理制度规定，并结合本地区和本领域科研单位的研究生、</w:t>
            </w:r>
            <w:r>
              <w:rPr>
                <w:rFonts w:hint="eastAsia" w:ascii="仿宋_GB2312" w:hAnsi="仿宋_GB2312" w:eastAsia="仿宋_GB2312" w:cs="仿宋_GB2312"/>
                <w:spacing w:val="8"/>
                <w:sz w:val="28"/>
                <w:szCs w:val="28"/>
              </w:rPr>
              <w:t>博士后平均发放水平据实测算。</w:t>
            </w:r>
          </w:p>
          <w:p w14:paraId="192DCBA9">
            <w:pPr>
              <w:keepNext w:val="0"/>
              <w:keepLines w:val="0"/>
              <w:pageBreakBefore w:val="0"/>
              <w:widowControl w:val="0"/>
              <w:kinsoku/>
              <w:wordWrap/>
              <w:overflowPunct/>
              <w:topLinePunct w:val="0"/>
              <w:autoSpaceDE/>
              <w:autoSpaceDN/>
              <w:bidi w:val="0"/>
              <w:adjustRightInd/>
              <w:snapToGrid/>
              <w:spacing w:line="480" w:lineRule="exact"/>
              <w:ind w:left="0" w:right="0" w:firstLine="588"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pacing w:val="7"/>
                <w:sz w:val="28"/>
                <w:szCs w:val="28"/>
              </w:rPr>
              <w:t>编列访问学者劳务费用时，应对其承担研究任务的必要性、投入工作时间的合理性以及费</w:t>
            </w:r>
            <w:r>
              <w:rPr>
                <w:rFonts w:hint="eastAsia" w:ascii="仿宋_GB2312" w:hAnsi="仿宋_GB2312" w:eastAsia="仿宋_GB2312" w:cs="仿宋_GB2312"/>
                <w:spacing w:val="10"/>
                <w:sz w:val="28"/>
                <w:szCs w:val="28"/>
              </w:rPr>
              <w:t xml:space="preserve"> </w:t>
            </w:r>
            <w:r>
              <w:rPr>
                <w:rFonts w:hint="eastAsia" w:ascii="仿宋_GB2312" w:hAnsi="仿宋_GB2312" w:eastAsia="仿宋_GB2312" w:cs="仿宋_GB2312"/>
                <w:spacing w:val="8"/>
                <w:sz w:val="28"/>
                <w:szCs w:val="28"/>
              </w:rPr>
              <w:t>用标准予以重点说明。访问学者的资格应符合</w:t>
            </w:r>
            <w:r>
              <w:rPr>
                <w:rFonts w:hint="eastAsia" w:ascii="仿宋_GB2312" w:hAnsi="仿宋_GB2312" w:eastAsia="仿宋_GB2312" w:cs="仿宋_GB2312"/>
                <w:spacing w:val="7"/>
                <w:sz w:val="28"/>
                <w:szCs w:val="28"/>
              </w:rPr>
              <w:t>承担单位制订的相关管理规定，并经承担单位审批或备案程序确认。</w:t>
            </w:r>
          </w:p>
          <w:p w14:paraId="4F0EB7C3">
            <w:pPr>
              <w:keepNext w:val="0"/>
              <w:keepLines w:val="0"/>
              <w:pageBreakBefore w:val="0"/>
              <w:widowControl w:val="0"/>
              <w:kinsoku/>
              <w:wordWrap/>
              <w:overflowPunct/>
              <w:topLinePunct w:val="0"/>
              <w:autoSpaceDE/>
              <w:autoSpaceDN/>
              <w:bidi w:val="0"/>
              <w:adjustRightInd/>
              <w:snapToGrid/>
              <w:spacing w:line="480" w:lineRule="exact"/>
              <w:ind w:left="0" w:right="0" w:firstLine="592"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pacing w:val="8"/>
                <w:sz w:val="28"/>
                <w:szCs w:val="28"/>
              </w:rPr>
              <w:t>课题组成员不得以访问学者名义在</w:t>
            </w:r>
            <w:r>
              <w:rPr>
                <w:rFonts w:hint="eastAsia" w:ascii="仿宋_GB2312" w:hAnsi="仿宋_GB2312" w:eastAsia="仿宋_GB2312" w:cs="仿宋_GB2312"/>
                <w:spacing w:val="8"/>
                <w:sz w:val="28"/>
                <w:szCs w:val="28"/>
                <w:lang w:eastAsia="zh-CN"/>
              </w:rPr>
              <w:t>项目</w:t>
            </w:r>
            <w:r>
              <w:rPr>
                <w:rFonts w:hint="eastAsia" w:ascii="仿宋_GB2312" w:hAnsi="仿宋_GB2312" w:eastAsia="仿宋_GB2312" w:cs="仿宋_GB2312"/>
                <w:spacing w:val="8"/>
                <w:sz w:val="28"/>
                <w:szCs w:val="28"/>
              </w:rPr>
              <w:t>下各课</w:t>
            </w:r>
            <w:r>
              <w:rPr>
                <w:rFonts w:hint="eastAsia" w:ascii="仿宋_GB2312" w:hAnsi="仿宋_GB2312" w:eastAsia="仿宋_GB2312" w:cs="仿宋_GB2312"/>
                <w:spacing w:val="7"/>
                <w:sz w:val="28"/>
                <w:szCs w:val="28"/>
              </w:rPr>
              <w:t>题中编列劳务费。</w:t>
            </w:r>
          </w:p>
          <w:p w14:paraId="76402E86">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pacing w:val="6"/>
                <w:sz w:val="28"/>
                <w:szCs w:val="28"/>
              </w:rPr>
              <w:t>编列</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聘用研究人员劳务费时，应对其承担研究任务的必要性、投入工作时间</w:t>
            </w:r>
            <w:r>
              <w:rPr>
                <w:rFonts w:hint="eastAsia" w:ascii="仿宋_GB2312" w:hAnsi="仿宋_GB2312" w:eastAsia="仿宋_GB2312" w:cs="仿宋_GB2312"/>
                <w:sz w:val="28"/>
                <w:szCs w:val="28"/>
              </w:rPr>
              <w:t xml:space="preserve"> </w:t>
            </w:r>
            <w:r>
              <w:rPr>
                <w:rFonts w:hint="eastAsia" w:ascii="仿宋_GB2312" w:hAnsi="仿宋_GB2312" w:eastAsia="仿宋_GB2312" w:cs="仿宋_GB2312"/>
                <w:spacing w:val="6"/>
                <w:sz w:val="28"/>
                <w:szCs w:val="28"/>
              </w:rPr>
              <w:t>的合理性等予以重点说明。</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聘用研究人员应当为承担单位通过劳务派遣方式或者签订劳动合同、聘用协议等方式为</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w:t>
            </w:r>
            <w:r>
              <w:rPr>
                <w:rFonts w:hint="eastAsia" w:ascii="仿宋_GB2312" w:hAnsi="仿宋_GB2312" w:eastAsia="仿宋_GB2312" w:cs="仿宋_GB2312"/>
                <w:spacing w:val="-56"/>
                <w:sz w:val="28"/>
                <w:szCs w:val="28"/>
              </w:rPr>
              <w:t xml:space="preserve"> </w:t>
            </w:r>
            <w:r>
              <w:rPr>
                <w:rFonts w:hint="eastAsia" w:ascii="仿宋_GB2312" w:hAnsi="仿宋_GB2312" w:eastAsia="仿宋_GB2312" w:cs="仿宋_GB2312"/>
                <w:spacing w:val="6"/>
                <w:sz w:val="28"/>
                <w:szCs w:val="28"/>
              </w:rPr>
              <w:t>课题）聘用的研究人员。</w:t>
            </w:r>
          </w:p>
          <w:p w14:paraId="3BA8BEBD">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pacing w:val="6"/>
                <w:sz w:val="28"/>
                <w:szCs w:val="28"/>
              </w:rPr>
              <w:t>编列</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聘用的科研辅助人员劳务费时，应对参与相关工作的必要性、投入的工</w:t>
            </w:r>
            <w:r>
              <w:rPr>
                <w:rFonts w:hint="eastAsia" w:ascii="仿宋_GB2312" w:hAnsi="仿宋_GB2312" w:eastAsia="仿宋_GB2312" w:cs="仿宋_GB2312"/>
                <w:sz w:val="28"/>
                <w:szCs w:val="28"/>
              </w:rPr>
              <w:t xml:space="preserve"> </w:t>
            </w:r>
            <w:r>
              <w:rPr>
                <w:rFonts w:hint="eastAsia" w:ascii="仿宋_GB2312" w:hAnsi="仿宋_GB2312" w:eastAsia="仿宋_GB2312" w:cs="仿宋_GB2312"/>
                <w:spacing w:val="5"/>
                <w:sz w:val="28"/>
                <w:szCs w:val="28"/>
              </w:rPr>
              <w:t>作时间、工作量等进行测算说明。</w:t>
            </w:r>
            <w:r>
              <w:rPr>
                <w:rFonts w:hint="eastAsia" w:ascii="仿宋_GB2312" w:hAnsi="仿宋_GB2312" w:eastAsia="仿宋_GB2312" w:cs="仿宋_GB2312"/>
                <w:spacing w:val="5"/>
                <w:sz w:val="28"/>
                <w:szCs w:val="28"/>
                <w:lang w:eastAsia="zh-CN"/>
              </w:rPr>
              <w:t>项目</w:t>
            </w:r>
            <w:r>
              <w:rPr>
                <w:rFonts w:hint="eastAsia" w:ascii="仿宋_GB2312" w:hAnsi="仿宋_GB2312" w:eastAsia="仿宋_GB2312" w:cs="仿宋_GB2312"/>
                <w:spacing w:val="5"/>
                <w:sz w:val="28"/>
                <w:szCs w:val="28"/>
              </w:rPr>
              <w:t>聘用的科研辅助人员包括：与项目科研</w:t>
            </w:r>
            <w:r>
              <w:rPr>
                <w:rFonts w:hint="eastAsia" w:ascii="仿宋_GB2312" w:hAnsi="仿宋_GB2312" w:eastAsia="仿宋_GB2312" w:cs="仿宋_GB2312"/>
                <w:sz w:val="28"/>
                <w:szCs w:val="28"/>
              </w:rPr>
              <w:t xml:space="preserve"> </w:t>
            </w:r>
            <w:r>
              <w:rPr>
                <w:rFonts w:hint="eastAsia" w:ascii="仿宋_GB2312" w:hAnsi="仿宋_GB2312" w:eastAsia="仿宋_GB2312" w:cs="仿宋_GB2312"/>
                <w:spacing w:val="6"/>
                <w:sz w:val="28"/>
                <w:szCs w:val="28"/>
              </w:rPr>
              <w:t>工作相关的操作员、实验员等辅助工作人员；项目组因研究任务需要临时聘用人员，如</w:t>
            </w:r>
            <w:r>
              <w:rPr>
                <w:rFonts w:hint="eastAsia" w:ascii="仿宋_GB2312" w:hAnsi="仿宋_GB2312" w:eastAsia="仿宋_GB2312" w:cs="仿宋_GB2312"/>
                <w:sz w:val="28"/>
                <w:szCs w:val="28"/>
              </w:rPr>
              <w:t xml:space="preserve"> </w:t>
            </w:r>
            <w:r>
              <w:rPr>
                <w:rFonts w:hint="eastAsia" w:ascii="仿宋_GB2312" w:hAnsi="仿宋_GB2312" w:eastAsia="仿宋_GB2312" w:cs="仿宋_GB2312"/>
                <w:spacing w:val="6"/>
                <w:sz w:val="28"/>
                <w:szCs w:val="28"/>
              </w:rPr>
              <w:t>科学考察、野外实验勘探等临时用工、农业季节性用工等；以及为项目组提供服务的科</w:t>
            </w:r>
            <w:r>
              <w:rPr>
                <w:rFonts w:hint="eastAsia" w:ascii="仿宋_GB2312" w:hAnsi="仿宋_GB2312" w:eastAsia="仿宋_GB2312" w:cs="仿宋_GB2312"/>
                <w:spacing w:val="8"/>
                <w:sz w:val="28"/>
                <w:szCs w:val="28"/>
              </w:rPr>
              <w:t>研助理、科研财务助理等。</w:t>
            </w:r>
          </w:p>
          <w:p w14:paraId="499AA63A">
            <w:pPr>
              <w:keepNext w:val="0"/>
              <w:keepLines w:val="0"/>
              <w:pageBreakBefore w:val="0"/>
              <w:widowControl w:val="0"/>
              <w:kinsoku/>
              <w:wordWrap/>
              <w:overflowPunct/>
              <w:topLinePunct w:val="0"/>
              <w:autoSpaceDE/>
              <w:autoSpaceDN/>
              <w:bidi w:val="0"/>
              <w:adjustRightInd/>
              <w:snapToGrid/>
              <w:spacing w:line="480" w:lineRule="exact"/>
              <w:ind w:left="0" w:right="0" w:firstLine="572"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pacing w:val="3"/>
                <w:sz w:val="28"/>
                <w:szCs w:val="28"/>
              </w:rPr>
              <w:t>承担单位为事业单位的，在编人员不得编列劳务费；承担单位为企业的，除为</w:t>
            </w:r>
            <w:r>
              <w:rPr>
                <w:rFonts w:hint="eastAsia" w:ascii="仿宋_GB2312" w:hAnsi="仿宋_GB2312" w:eastAsia="仿宋_GB2312" w:cs="仿宋_GB2312"/>
                <w:spacing w:val="3"/>
                <w:sz w:val="28"/>
                <w:szCs w:val="28"/>
                <w:lang w:eastAsia="zh-CN"/>
              </w:rPr>
              <w:t>项目</w:t>
            </w:r>
            <w:r>
              <w:rPr>
                <w:rFonts w:hint="eastAsia" w:ascii="仿宋_GB2312" w:hAnsi="仿宋_GB2312" w:eastAsia="仿宋_GB2312" w:cs="仿宋_GB2312"/>
                <w:sz w:val="28"/>
                <w:szCs w:val="28"/>
              </w:rPr>
              <w:t xml:space="preserve"> </w:t>
            </w:r>
            <w:r>
              <w:rPr>
                <w:rFonts w:hint="eastAsia" w:ascii="仿宋_GB2312" w:hAnsi="仿宋_GB2312" w:eastAsia="仿宋_GB2312" w:cs="仿宋_GB2312"/>
                <w:spacing w:val="6"/>
                <w:sz w:val="28"/>
                <w:szCs w:val="28"/>
              </w:rPr>
              <w:t>实施专门聘用的人员外，其他人员不得编列劳务费。上述人员可在</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间接费用的绩效支出中列支。</w:t>
            </w:r>
          </w:p>
          <w:p w14:paraId="3ED707BA">
            <w:pPr>
              <w:keepNext w:val="0"/>
              <w:keepLines w:val="0"/>
              <w:pageBreakBefore w:val="0"/>
              <w:widowControl w:val="0"/>
              <w:kinsoku/>
              <w:wordWrap/>
              <w:overflowPunct/>
              <w:topLinePunct w:val="0"/>
              <w:autoSpaceDE/>
              <w:autoSpaceDN/>
              <w:bidi w:val="0"/>
              <w:adjustRightInd/>
              <w:snapToGrid/>
              <w:spacing w:line="480" w:lineRule="exact"/>
              <w:ind w:left="0" w:right="0" w:firstLine="588"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pacing w:val="7"/>
                <w:sz w:val="28"/>
                <w:szCs w:val="28"/>
                <w:lang w:eastAsia="zh-CN"/>
              </w:rPr>
              <w:t>项目</w:t>
            </w:r>
            <w:r>
              <w:rPr>
                <w:rFonts w:hint="eastAsia" w:ascii="仿宋_GB2312" w:hAnsi="仿宋_GB2312" w:eastAsia="仿宋_GB2312" w:cs="仿宋_GB2312"/>
                <w:spacing w:val="7"/>
                <w:sz w:val="28"/>
                <w:szCs w:val="28"/>
              </w:rPr>
              <w:t>聘用的研究人员及科研辅助人员劳务费开支标准，可结合其在</w:t>
            </w:r>
            <w:r>
              <w:rPr>
                <w:rFonts w:hint="eastAsia" w:ascii="仿宋_GB2312" w:hAnsi="仿宋_GB2312" w:eastAsia="仿宋_GB2312" w:cs="仿宋_GB2312"/>
                <w:spacing w:val="7"/>
                <w:sz w:val="28"/>
                <w:szCs w:val="28"/>
                <w:lang w:eastAsia="zh-CN"/>
              </w:rPr>
              <w:t>项目</w:t>
            </w:r>
            <w:r>
              <w:rPr>
                <w:rFonts w:hint="eastAsia" w:ascii="仿宋_GB2312" w:hAnsi="仿宋_GB2312" w:eastAsia="仿宋_GB2312" w:cs="仿宋_GB2312"/>
                <w:sz w:val="28"/>
                <w:szCs w:val="28"/>
              </w:rPr>
              <w:t xml:space="preserve"> </w:t>
            </w:r>
            <w:r>
              <w:rPr>
                <w:rFonts w:hint="eastAsia" w:ascii="仿宋_GB2312" w:hAnsi="仿宋_GB2312" w:eastAsia="仿宋_GB2312" w:cs="仿宋_GB2312"/>
                <w:spacing w:val="8"/>
                <w:sz w:val="28"/>
                <w:szCs w:val="28"/>
              </w:rPr>
              <w:t>研究中的工作情况，参照当地科学研究和技术服务业从</w:t>
            </w:r>
            <w:r>
              <w:rPr>
                <w:rFonts w:hint="eastAsia" w:ascii="仿宋_GB2312" w:hAnsi="仿宋_GB2312" w:eastAsia="仿宋_GB2312" w:cs="仿宋_GB2312"/>
                <w:spacing w:val="7"/>
                <w:sz w:val="28"/>
                <w:szCs w:val="28"/>
              </w:rPr>
              <w:t>业人员平均工资水平以及当地相应的社会</w:t>
            </w:r>
            <w:r>
              <w:rPr>
                <w:rFonts w:hint="eastAsia" w:ascii="仿宋_GB2312" w:hAnsi="仿宋_GB2312" w:eastAsia="仿宋_GB2312" w:cs="仿宋_GB2312"/>
                <w:spacing w:val="8"/>
                <w:sz w:val="28"/>
                <w:szCs w:val="28"/>
              </w:rPr>
              <w:t>保险补助编列，从业人员平均工资水平具体可参考国家统计局上一年度发布的《</w:t>
            </w:r>
            <w:r>
              <w:rPr>
                <w:rFonts w:hint="eastAsia" w:ascii="仿宋_GB2312" w:hAnsi="仿宋_GB2312" w:eastAsia="仿宋_GB2312" w:cs="仿宋_GB2312"/>
                <w:spacing w:val="-33"/>
                <w:sz w:val="28"/>
                <w:szCs w:val="28"/>
              </w:rPr>
              <w:t xml:space="preserve"> </w:t>
            </w:r>
            <w:r>
              <w:rPr>
                <w:rFonts w:hint="eastAsia" w:ascii="仿宋_GB2312" w:hAnsi="仿宋_GB2312" w:eastAsia="仿宋_GB2312" w:cs="仿宋_GB2312"/>
                <w:spacing w:val="8"/>
                <w:sz w:val="28"/>
                <w:szCs w:val="28"/>
              </w:rPr>
              <w:t>中国统计年鉴》</w:t>
            </w:r>
            <w:r>
              <w:rPr>
                <w:rFonts w:hint="eastAsia" w:ascii="仿宋_GB2312" w:hAnsi="仿宋_GB2312" w:eastAsia="仿宋_GB2312" w:cs="仿宋_GB2312"/>
                <w:sz w:val="28"/>
                <w:szCs w:val="28"/>
              </w:rPr>
              <w:t xml:space="preserve"> </w:t>
            </w:r>
            <w:r>
              <w:rPr>
                <w:rFonts w:hint="eastAsia" w:ascii="仿宋_GB2312" w:hAnsi="仿宋_GB2312" w:eastAsia="仿宋_GB2312" w:cs="仿宋_GB2312"/>
                <w:spacing w:val="7"/>
                <w:sz w:val="28"/>
                <w:szCs w:val="28"/>
              </w:rPr>
              <w:t>中关于从事“科学研究和技术服务业</w:t>
            </w:r>
            <w:r>
              <w:rPr>
                <w:rFonts w:hint="eastAsia" w:ascii="仿宋_GB2312" w:hAnsi="仿宋_GB2312" w:eastAsia="仿宋_GB2312" w:cs="仿宋_GB2312"/>
                <w:spacing w:val="-69"/>
                <w:sz w:val="28"/>
                <w:szCs w:val="28"/>
              </w:rPr>
              <w:t xml:space="preserve"> </w:t>
            </w:r>
            <w:r>
              <w:rPr>
                <w:rFonts w:hint="eastAsia" w:ascii="仿宋_GB2312" w:hAnsi="仿宋_GB2312" w:eastAsia="仿宋_GB2312" w:cs="仿宋_GB2312"/>
                <w:spacing w:val="7"/>
                <w:sz w:val="28"/>
                <w:szCs w:val="28"/>
              </w:rPr>
              <w:t>”相关地区城镇单位人员平均工资统计数据，社会保</w:t>
            </w:r>
            <w:r>
              <w:rPr>
                <w:rFonts w:hint="eastAsia" w:ascii="仿宋_GB2312" w:hAnsi="仿宋_GB2312" w:eastAsia="仿宋_GB2312" w:cs="仿宋_GB2312"/>
                <w:spacing w:val="6"/>
                <w:sz w:val="28"/>
                <w:szCs w:val="28"/>
              </w:rPr>
              <w:t>险补助</w:t>
            </w:r>
            <w:r>
              <w:rPr>
                <w:rFonts w:hint="eastAsia" w:ascii="仿宋_GB2312" w:hAnsi="仿宋_GB2312" w:eastAsia="仿宋_GB2312" w:cs="仿宋_GB2312"/>
                <w:spacing w:val="9"/>
                <w:sz w:val="28"/>
                <w:szCs w:val="28"/>
              </w:rPr>
              <w:t>包括养老保险、医疗保险、失业保险、工伤保险、生育保险。</w:t>
            </w:r>
          </w:p>
          <w:p w14:paraId="7C7312D6">
            <w:pPr>
              <w:keepNext w:val="0"/>
              <w:keepLines w:val="0"/>
              <w:pageBreakBefore w:val="0"/>
              <w:widowControl w:val="0"/>
              <w:kinsoku/>
              <w:wordWrap/>
              <w:overflowPunct/>
              <w:topLinePunct w:val="0"/>
              <w:autoSpaceDE/>
              <w:autoSpaceDN/>
              <w:bidi w:val="0"/>
              <w:adjustRightInd/>
              <w:snapToGrid/>
              <w:spacing w:line="480" w:lineRule="exact"/>
              <w:ind w:left="0" w:right="0" w:firstLine="596"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pacing w:val="9"/>
                <w:sz w:val="28"/>
                <w:szCs w:val="28"/>
              </w:rPr>
              <w:t>劳务费的发放应符合本单位统一的薪酬体系规定，不得重复发放。</w:t>
            </w:r>
          </w:p>
          <w:p w14:paraId="049B729A">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b/>
                <w:bCs/>
                <w:spacing w:val="6"/>
                <w:sz w:val="28"/>
                <w:szCs w:val="28"/>
              </w:rPr>
              <w:t>（2）专家咨询费</w:t>
            </w:r>
          </w:p>
          <w:p w14:paraId="1B58B549">
            <w:pPr>
              <w:keepNext w:val="0"/>
              <w:keepLines w:val="0"/>
              <w:pageBreakBefore w:val="0"/>
              <w:widowControl w:val="0"/>
              <w:kinsoku/>
              <w:wordWrap/>
              <w:overflowPunct/>
              <w:topLinePunct w:val="0"/>
              <w:autoSpaceDE/>
              <w:autoSpaceDN/>
              <w:bidi w:val="0"/>
              <w:adjustRightInd/>
              <w:snapToGrid/>
              <w:spacing w:line="480" w:lineRule="exact"/>
              <w:ind w:left="0" w:right="0" w:firstLine="592"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pacing w:val="8"/>
                <w:sz w:val="28"/>
                <w:szCs w:val="28"/>
              </w:rPr>
              <w:t>专家咨询费：是指在</w:t>
            </w:r>
            <w:r>
              <w:rPr>
                <w:rFonts w:hint="eastAsia" w:ascii="仿宋_GB2312" w:hAnsi="仿宋_GB2312" w:eastAsia="仿宋_GB2312" w:cs="仿宋_GB2312"/>
                <w:spacing w:val="8"/>
                <w:sz w:val="28"/>
                <w:szCs w:val="28"/>
                <w:lang w:eastAsia="zh-CN"/>
              </w:rPr>
              <w:t>项目</w:t>
            </w:r>
            <w:r>
              <w:rPr>
                <w:rFonts w:hint="eastAsia" w:ascii="仿宋_GB2312" w:hAnsi="仿宋_GB2312" w:eastAsia="仿宋_GB2312" w:cs="仿宋_GB2312"/>
                <w:spacing w:val="8"/>
                <w:sz w:val="28"/>
                <w:szCs w:val="28"/>
              </w:rPr>
              <w:t>实施过程中支付给临时聘请的咨询专家的费用。</w:t>
            </w:r>
          </w:p>
          <w:p w14:paraId="7E7E3A2A">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咨询专家是指承担单位在</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实施过程中，临时聘请为</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研发活动提供咨询意见的专业人员。包括高级专业技术职称人员和其他专业人员。</w:t>
            </w:r>
          </w:p>
          <w:p w14:paraId="13570BDB">
            <w:pPr>
              <w:keepNext w:val="0"/>
              <w:keepLines w:val="0"/>
              <w:pageBreakBefore w:val="0"/>
              <w:widowControl w:val="0"/>
              <w:kinsoku/>
              <w:wordWrap/>
              <w:overflowPunct/>
              <w:topLinePunct w:val="0"/>
              <w:autoSpaceDE/>
              <w:autoSpaceDN/>
              <w:bidi w:val="0"/>
              <w:adjustRightInd/>
              <w:snapToGrid/>
              <w:spacing w:line="480" w:lineRule="exact"/>
              <w:ind w:left="0" w:right="0" w:firstLine="592"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pacing w:val="8"/>
                <w:sz w:val="28"/>
                <w:szCs w:val="28"/>
              </w:rPr>
              <w:t>专家咨询费应按照财政部关于中央财政科研</w:t>
            </w:r>
            <w:r>
              <w:rPr>
                <w:rFonts w:hint="eastAsia" w:ascii="仿宋_GB2312" w:hAnsi="仿宋_GB2312" w:eastAsia="仿宋_GB2312" w:cs="仿宋_GB2312"/>
                <w:spacing w:val="8"/>
                <w:sz w:val="28"/>
                <w:szCs w:val="28"/>
                <w:lang w:eastAsia="zh-CN"/>
              </w:rPr>
              <w:t>项目</w:t>
            </w:r>
            <w:r>
              <w:rPr>
                <w:rFonts w:hint="eastAsia" w:ascii="仿宋_GB2312" w:hAnsi="仿宋_GB2312" w:eastAsia="仿宋_GB2312" w:cs="仿宋_GB2312"/>
                <w:spacing w:val="8"/>
                <w:sz w:val="28"/>
                <w:szCs w:val="28"/>
              </w:rPr>
              <w:t>专家咨询费管理的有关规定编列。</w:t>
            </w:r>
          </w:p>
          <w:p w14:paraId="1A3EE3A1">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专家咨询费的发放应当按照国家有关规定由单位代扣代缴个人所得税。编列专家咨询费预算时，可将代扣代缴的个人所得税编列在内。</w:t>
            </w:r>
          </w:p>
          <w:p w14:paraId="1E022AC7">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5"/>
                <w:sz w:val="28"/>
                <w:szCs w:val="28"/>
              </w:rPr>
            </w:pPr>
            <w:r>
              <w:rPr>
                <w:rFonts w:hint="eastAsia" w:ascii="仿宋_GB2312" w:hAnsi="仿宋_GB2312" w:eastAsia="仿宋_GB2312" w:cs="仿宋_GB2312"/>
                <w:spacing w:val="6"/>
                <w:sz w:val="28"/>
                <w:szCs w:val="28"/>
              </w:rPr>
              <w:t>访问学者和</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w:t>
            </w:r>
            <w:r>
              <w:rPr>
                <w:rFonts w:hint="eastAsia" w:ascii="仿宋_GB2312" w:hAnsi="仿宋_GB2312" w:eastAsia="仿宋_GB2312" w:cs="仿宋_GB2312"/>
                <w:spacing w:val="-57"/>
                <w:sz w:val="28"/>
                <w:szCs w:val="28"/>
              </w:rPr>
              <w:t xml:space="preserve"> </w:t>
            </w:r>
            <w:r>
              <w:rPr>
                <w:rFonts w:hint="eastAsia" w:ascii="仿宋_GB2312" w:hAnsi="仿宋_GB2312" w:eastAsia="仿宋_GB2312" w:cs="仿宋_GB2312"/>
                <w:spacing w:val="6"/>
                <w:sz w:val="28"/>
                <w:szCs w:val="28"/>
              </w:rPr>
              <w:t>课题）聘用的研究人员应在劳务费中编列，不应在本</w:t>
            </w:r>
            <w:r>
              <w:rPr>
                <w:rFonts w:hint="eastAsia" w:ascii="仿宋_GB2312" w:hAnsi="仿宋_GB2312" w:eastAsia="仿宋_GB2312" w:cs="仿宋_GB2312"/>
                <w:spacing w:val="6"/>
                <w:sz w:val="28"/>
                <w:szCs w:val="28"/>
                <w:lang w:eastAsia="zh-CN"/>
              </w:rPr>
              <w:t>科目</w:t>
            </w:r>
            <w:r>
              <w:rPr>
                <w:rFonts w:hint="eastAsia" w:ascii="仿宋_GB2312" w:hAnsi="仿宋_GB2312" w:eastAsia="仿宋_GB2312" w:cs="仿宋_GB2312"/>
                <w:spacing w:val="6"/>
                <w:sz w:val="28"/>
                <w:szCs w:val="28"/>
              </w:rPr>
              <w:t>中编</w:t>
            </w:r>
            <w:r>
              <w:rPr>
                <w:rFonts w:hint="eastAsia" w:ascii="仿宋_GB2312" w:hAnsi="仿宋_GB2312" w:eastAsia="仿宋_GB2312" w:cs="仿宋_GB2312"/>
                <w:spacing w:val="5"/>
                <w:sz w:val="28"/>
                <w:szCs w:val="28"/>
              </w:rPr>
              <w:t>列。</w:t>
            </w:r>
          </w:p>
          <w:p w14:paraId="08939FF7">
            <w:pPr>
              <w:keepNext w:val="0"/>
              <w:keepLines w:val="0"/>
              <w:pageBreakBefore w:val="0"/>
              <w:widowControl w:val="0"/>
              <w:kinsoku/>
              <w:wordWrap/>
              <w:overflowPunct/>
              <w:topLinePunct w:val="0"/>
              <w:autoSpaceDE/>
              <w:autoSpaceDN/>
              <w:bidi w:val="0"/>
              <w:adjustRightInd/>
              <w:snapToGrid/>
              <w:spacing w:line="480" w:lineRule="exact"/>
              <w:ind w:left="0" w:right="0" w:firstLine="592"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pacing w:val="8"/>
                <w:sz w:val="28"/>
                <w:szCs w:val="28"/>
              </w:rPr>
              <w:t>专家咨询费不得支付给参与</w:t>
            </w:r>
            <w:r>
              <w:rPr>
                <w:rFonts w:hint="eastAsia" w:ascii="仿宋_GB2312" w:hAnsi="仿宋_GB2312" w:eastAsia="仿宋_GB2312" w:cs="仿宋_GB2312"/>
                <w:spacing w:val="8"/>
                <w:sz w:val="28"/>
                <w:szCs w:val="28"/>
                <w:lang w:eastAsia="zh-CN"/>
              </w:rPr>
              <w:t>项目</w:t>
            </w:r>
            <w:r>
              <w:rPr>
                <w:rFonts w:hint="eastAsia" w:ascii="仿宋_GB2312" w:hAnsi="仿宋_GB2312" w:eastAsia="仿宋_GB2312" w:cs="仿宋_GB2312"/>
                <w:spacing w:val="8"/>
                <w:sz w:val="28"/>
                <w:szCs w:val="28"/>
              </w:rPr>
              <w:t>研究及其管</w:t>
            </w:r>
            <w:r>
              <w:rPr>
                <w:rFonts w:hint="eastAsia" w:ascii="仿宋_GB2312" w:hAnsi="仿宋_GB2312" w:eastAsia="仿宋_GB2312" w:cs="仿宋_GB2312"/>
                <w:spacing w:val="7"/>
                <w:sz w:val="28"/>
                <w:szCs w:val="28"/>
              </w:rPr>
              <w:t>理的相关人员。</w:t>
            </w:r>
          </w:p>
          <w:p w14:paraId="7A3B0D69">
            <w:pPr>
              <w:keepNext w:val="0"/>
              <w:keepLines w:val="0"/>
              <w:pageBreakBefore w:val="0"/>
              <w:widowControl w:val="0"/>
              <w:kinsoku/>
              <w:wordWrap/>
              <w:overflowPunct/>
              <w:topLinePunct w:val="0"/>
              <w:autoSpaceDE/>
              <w:autoSpaceDN/>
              <w:bidi w:val="0"/>
              <w:adjustRightInd/>
              <w:snapToGrid/>
              <w:spacing w:line="480" w:lineRule="exact"/>
              <w:ind w:left="0" w:right="0" w:firstLine="560" w:firstLineChars="200"/>
              <w:jc w:val="left"/>
              <w:textAlignment w:val="auto"/>
              <w:rPr>
                <w:rFonts w:hint="eastAsia" w:ascii="仿宋_GB2312" w:hAnsi="仿宋_GB2312" w:eastAsia="仿宋_GB2312" w:cs="仿宋_GB2312"/>
                <w:sz w:val="28"/>
                <w:szCs w:val="28"/>
              </w:rPr>
            </w:pPr>
          </w:p>
          <w:p w14:paraId="39C7B554">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b/>
                <w:bCs/>
                <w:spacing w:val="6"/>
                <w:sz w:val="28"/>
                <w:szCs w:val="28"/>
              </w:rPr>
              <w:t>（二）间接费用</w:t>
            </w:r>
          </w:p>
          <w:p w14:paraId="511F9B42">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pacing w:val="6"/>
                <w:sz w:val="28"/>
                <w:szCs w:val="28"/>
              </w:rPr>
              <w:t>间接费用实行总额控制，按照不超过</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直接费用扣除设备购置费</w:t>
            </w:r>
            <w:r>
              <w:rPr>
                <w:rFonts w:hint="eastAsia" w:ascii="仿宋_GB2312" w:hAnsi="仿宋_GB2312" w:eastAsia="仿宋_GB2312" w:cs="仿宋_GB2312"/>
                <w:spacing w:val="5"/>
                <w:sz w:val="28"/>
                <w:szCs w:val="28"/>
              </w:rPr>
              <w:t>后的一定比例核定。软</w:t>
            </w:r>
            <w:r>
              <w:rPr>
                <w:rFonts w:hint="eastAsia" w:ascii="仿宋_GB2312" w:hAnsi="仿宋_GB2312" w:eastAsia="仿宋_GB2312" w:cs="仿宋_GB2312"/>
                <w:sz w:val="28"/>
                <w:szCs w:val="28"/>
              </w:rPr>
              <w:t xml:space="preserve"> </w:t>
            </w:r>
            <w:r>
              <w:rPr>
                <w:rFonts w:hint="eastAsia" w:ascii="仿宋_GB2312" w:hAnsi="仿宋_GB2312" w:eastAsia="仿宋_GB2312" w:cs="仿宋_GB2312"/>
                <w:spacing w:val="6"/>
                <w:sz w:val="28"/>
                <w:szCs w:val="28"/>
              </w:rPr>
              <w:t>件开发、软科学研究、基础研究类</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，间接费用比例不超过</w:t>
            </w:r>
            <w:r>
              <w:rPr>
                <w:rFonts w:hint="eastAsia" w:ascii="仿宋_GB2312" w:hAnsi="仿宋_GB2312" w:eastAsia="仿宋_GB2312" w:cs="仿宋_GB2312"/>
                <w:spacing w:val="-35"/>
                <w:sz w:val="28"/>
                <w:szCs w:val="28"/>
              </w:rPr>
              <w:t xml:space="preserve"> </w:t>
            </w:r>
            <w:r>
              <w:rPr>
                <w:rFonts w:hint="eastAsia" w:ascii="仿宋_GB2312" w:hAnsi="仿宋_GB2312" w:eastAsia="仿宋_GB2312" w:cs="仿宋_GB2312"/>
                <w:spacing w:val="6"/>
                <w:sz w:val="28"/>
                <w:szCs w:val="28"/>
              </w:rPr>
              <w:t>60%；其他</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间接费用比例不超</w:t>
            </w:r>
            <w:r>
              <w:rPr>
                <w:rFonts w:hint="eastAsia" w:ascii="仿宋_GB2312" w:hAnsi="仿宋_GB2312" w:eastAsia="仿宋_GB2312" w:cs="仿宋_GB2312"/>
                <w:spacing w:val="1"/>
                <w:sz w:val="28"/>
                <w:szCs w:val="28"/>
              </w:rPr>
              <w:t>过</w:t>
            </w:r>
            <w:r>
              <w:rPr>
                <w:rFonts w:hint="eastAsia" w:ascii="仿宋_GB2312" w:hAnsi="仿宋_GB2312" w:eastAsia="仿宋_GB2312" w:cs="仿宋_GB2312"/>
                <w:spacing w:val="-34"/>
                <w:sz w:val="28"/>
                <w:szCs w:val="28"/>
              </w:rPr>
              <w:t xml:space="preserve"> </w:t>
            </w:r>
            <w:r>
              <w:rPr>
                <w:rFonts w:hint="eastAsia" w:ascii="仿宋_GB2312" w:hAnsi="仿宋_GB2312" w:eastAsia="仿宋_GB2312" w:cs="仿宋_GB2312"/>
                <w:spacing w:val="1"/>
                <w:sz w:val="28"/>
                <w:szCs w:val="28"/>
              </w:rPr>
              <w:t>40%。</w:t>
            </w:r>
          </w:p>
          <w:p w14:paraId="56F3876E">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单位</w:t>
            </w:r>
            <w:r>
              <w:rPr>
                <w:rFonts w:hint="eastAsia" w:ascii="仿宋_GB2312" w:hAnsi="仿宋_GB2312" w:eastAsia="仿宋_GB2312" w:cs="仿宋_GB2312"/>
                <w:spacing w:val="-52"/>
                <w:sz w:val="28"/>
                <w:szCs w:val="28"/>
              </w:rPr>
              <w:t xml:space="preserve"> </w:t>
            </w:r>
            <w:r>
              <w:rPr>
                <w:rFonts w:hint="eastAsia" w:ascii="仿宋_GB2312" w:hAnsi="仿宋_GB2312" w:eastAsia="仿宋_GB2312" w:cs="仿宋_GB2312"/>
                <w:spacing w:val="6"/>
                <w:sz w:val="28"/>
                <w:szCs w:val="28"/>
              </w:rPr>
              <w:t>自筹资金中不得列支间接费用。</w:t>
            </w:r>
          </w:p>
          <w:p w14:paraId="0F87F783">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p>
        </w:tc>
      </w:tr>
    </w:tbl>
    <w:p w14:paraId="7A695448">
      <w:pPr>
        <w:spacing w:line="14" w:lineRule="auto"/>
        <w:rPr>
          <w:rFonts w:ascii="Arial"/>
          <w:sz w:val="2"/>
        </w:rPr>
      </w:pPr>
    </w:p>
    <w:p w14:paraId="7089DAD7">
      <w:pPr>
        <w:widowControl/>
        <w:jc w:val="both"/>
        <w:rPr>
          <w:rFonts w:hint="eastAsia"/>
        </w:rPr>
      </w:pPr>
    </w:p>
    <w:p w14:paraId="20152979">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20" w:lineRule="exact"/>
        <w:ind w:left="0" w:leftChars="0" w:right="0"/>
        <w:jc w:val="left"/>
        <w:textAlignment w:val="auto"/>
        <w:rPr>
          <w:rFonts w:hint="eastAsia" w:ascii="仿宋_GB2312" w:hAnsi="仿宋_GB2312" w:eastAsia="仿宋_GB2312" w:cs="仿宋_GB2312"/>
          <w:color w:val="2D00C7"/>
          <w:kern w:val="0"/>
          <w:sz w:val="24"/>
          <w:szCs w:val="24"/>
        </w:rPr>
        <w:sectPr>
          <w:pgSz w:w="11906" w:h="16838"/>
          <w:pgMar w:top="1531" w:right="1361" w:bottom="1361" w:left="1361" w:header="851" w:footer="992" w:gutter="0"/>
          <w:pgNumType w:fmt="decimal"/>
          <w:cols w:space="720" w:num="1"/>
          <w:docGrid w:type="linesAndChars" w:linePitch="312" w:charSpace="0"/>
        </w:sectPr>
      </w:pPr>
    </w:p>
    <w:p w14:paraId="3694D2D5">
      <w:pPr>
        <w:pageBreakBefore w:val="0"/>
        <w:widowControl w:val="0"/>
        <w:kinsoku/>
        <w:overflowPunct/>
        <w:topLinePunct w:val="0"/>
        <w:autoSpaceDE w:val="0"/>
        <w:autoSpaceDN w:val="0"/>
        <w:bidi w:val="0"/>
        <w:adjustRightInd/>
        <w:spacing w:line="560" w:lineRule="exact"/>
        <w:ind w:left="0" w:leftChars="0" w:firstLine="0" w:firstLineChars="0"/>
        <w:jc w:val="both"/>
        <w:textAlignment w:val="auto"/>
        <w:outlineLvl w:val="0"/>
        <w:rPr>
          <w:rFonts w:ascii="黑体" w:hAnsi="黑体" w:eastAsia="黑体" w:cs="Times New Roman"/>
          <w:kern w:val="2"/>
          <w:sz w:val="32"/>
          <w:szCs w:val="24"/>
          <w:lang w:val="en-US" w:eastAsia="zh-CN" w:bidi="ar-SA"/>
        </w:rPr>
      </w:pPr>
      <w:r>
        <w:rPr>
          <w:rFonts w:hint="eastAsia" w:ascii="黑体" w:hAnsi="黑体" w:eastAsia="黑体" w:cs="Times New Roman"/>
          <w:kern w:val="2"/>
          <w:sz w:val="32"/>
          <w:szCs w:val="24"/>
          <w:lang w:val="en-US" w:eastAsia="zh-CN" w:bidi="ar-SA"/>
        </w:rPr>
        <w:t>附表3  设备费——购置/试制设备预算明细表</w:t>
      </w:r>
    </w:p>
    <w:p w14:paraId="36D0EC94">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jc w:val="right"/>
        <w:textAlignment w:val="auto"/>
        <w:rPr>
          <w:rFonts w:hint="eastAsia" w:ascii="黑体" w:hAnsi="黑体" w:eastAsia="黑体" w:cs="Times New Roman"/>
          <w:sz w:val="21"/>
          <w:szCs w:val="21"/>
          <w:lang w:eastAsia="zh-CN"/>
        </w:rPr>
      </w:pPr>
      <w:r>
        <w:rPr>
          <w:rFonts w:cs="Times New Roman"/>
          <w:sz w:val="20"/>
        </w:rPr>
        <w:tab/>
      </w:r>
      <w:r>
        <w:rPr>
          <w:rFonts w:cs="Times New Roman"/>
          <w:sz w:val="20"/>
        </w:rPr>
        <w:t xml:space="preserve"> </w:t>
      </w:r>
      <w:r>
        <w:rPr>
          <w:rFonts w:cs="Times New Roman"/>
          <w:sz w:val="20"/>
        </w:rPr>
        <w:tab/>
      </w:r>
      <w:r>
        <w:rPr>
          <w:rFonts w:hint="eastAsia" w:cs="Times New Roman"/>
          <w:sz w:val="20"/>
        </w:rPr>
        <w:t xml:space="preserve">　　　　                                                                                                         </w:t>
      </w:r>
      <w:r>
        <w:rPr>
          <w:rFonts w:hint="eastAsia" w:ascii="黑体" w:hAnsi="黑体" w:eastAsia="黑体" w:cs="Times New Roman"/>
          <w:sz w:val="21"/>
          <w:szCs w:val="21"/>
          <w:lang w:eastAsia="zh-CN"/>
        </w:rPr>
        <w:t>金额单位：万元</w:t>
      </w:r>
    </w:p>
    <w:tbl>
      <w:tblPr>
        <w:tblStyle w:val="18"/>
        <w:tblW w:w="15569"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30" w:type="dxa"/>
          <w:bottom w:w="0" w:type="dxa"/>
          <w:right w:w="30" w:type="dxa"/>
        </w:tblCellMar>
      </w:tblPr>
      <w:tblGrid>
        <w:gridCol w:w="452"/>
        <w:gridCol w:w="2658"/>
        <w:gridCol w:w="567"/>
        <w:gridCol w:w="1318"/>
        <w:gridCol w:w="1087"/>
        <w:gridCol w:w="637"/>
        <w:gridCol w:w="758"/>
        <w:gridCol w:w="1328"/>
        <w:gridCol w:w="1604"/>
        <w:gridCol w:w="1134"/>
        <w:gridCol w:w="2126"/>
        <w:gridCol w:w="993"/>
        <w:gridCol w:w="907"/>
      </w:tblGrid>
      <w:tr w14:paraId="5FF797C9">
        <w:trPr>
          <w:cantSplit/>
          <w:trHeight w:val="397" w:hRule="atLeast"/>
          <w:jc w:val="center"/>
        </w:trPr>
        <w:tc>
          <w:tcPr>
            <w:tcW w:w="15569" w:type="dxa"/>
            <w:gridSpan w:val="13"/>
          </w:tcPr>
          <w:p w14:paraId="085DD331">
            <w:pPr>
              <w:keepNext w:val="0"/>
              <w:keepLines w:val="0"/>
              <w:pageBreakBefore w:val="0"/>
              <w:widowControl w:val="0"/>
              <w:kinsoku/>
              <w:wordWrap/>
              <w:overflowPunct/>
              <w:topLinePunct w:val="0"/>
              <w:autoSpaceDE w:val="0"/>
              <w:autoSpaceDN w:val="0"/>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color w:val="2D00C7"/>
                <w:sz w:val="24"/>
                <w:szCs w:val="24"/>
              </w:rPr>
            </w:pPr>
            <w:r>
              <w:rPr>
                <w:rFonts w:hint="eastAsia" w:ascii="仿宋_GB2312" w:hAnsi="仿宋_GB2312" w:eastAsia="仿宋_GB2312" w:cs="仿宋_GB2312"/>
                <w:bCs/>
                <w:color w:val="2D00C7"/>
                <w:sz w:val="24"/>
                <w:szCs w:val="24"/>
              </w:rPr>
              <w:t>填表说明：</w:t>
            </w:r>
            <w:r>
              <w:rPr>
                <w:rFonts w:hint="eastAsia" w:ascii="仿宋_GB2312" w:hAnsi="仿宋_GB2312" w:eastAsia="仿宋_GB2312" w:cs="仿宋_GB2312"/>
                <w:color w:val="2D00C7"/>
                <w:sz w:val="24"/>
                <w:szCs w:val="24"/>
              </w:rPr>
              <w:t>1.设备分类：A.购置、B.试制；</w:t>
            </w:r>
          </w:p>
          <w:p w14:paraId="05384CCE">
            <w:pPr>
              <w:keepNext w:val="0"/>
              <w:keepLines w:val="0"/>
              <w:pageBreakBefore w:val="0"/>
              <w:widowControl w:val="0"/>
              <w:kinsoku/>
              <w:wordWrap/>
              <w:overflowPunct/>
              <w:topLinePunct w:val="0"/>
              <w:autoSpaceDE w:val="0"/>
              <w:autoSpaceDN w:val="0"/>
              <w:bidi w:val="0"/>
              <w:adjustRightInd/>
              <w:snapToGrid w:val="0"/>
              <w:spacing w:beforeAutospacing="0" w:afterAutospacing="0" w:line="320" w:lineRule="exact"/>
              <w:ind w:left="0" w:leftChars="0" w:right="0" w:firstLine="1200" w:firstLineChars="500"/>
              <w:textAlignment w:val="auto"/>
              <w:rPr>
                <w:rFonts w:hint="eastAsia" w:ascii="仿宋_GB2312" w:hAnsi="仿宋_GB2312" w:eastAsia="仿宋_GB2312" w:cs="仿宋_GB2312"/>
                <w:color w:val="2D00C7"/>
                <w:sz w:val="24"/>
                <w:szCs w:val="24"/>
              </w:rPr>
            </w:pPr>
            <w:r>
              <w:rPr>
                <w:rFonts w:hint="eastAsia" w:ascii="仿宋_GB2312" w:hAnsi="仿宋_GB2312" w:eastAsia="仿宋_GB2312" w:cs="仿宋_GB2312"/>
                <w:color w:val="2D00C7"/>
                <w:sz w:val="24"/>
                <w:szCs w:val="24"/>
              </w:rPr>
              <w:t>2.试制设备不需填列本表（7）列、（8）列；</w:t>
            </w:r>
          </w:p>
          <w:p w14:paraId="7AC99A76">
            <w:pPr>
              <w:keepNext w:val="0"/>
              <w:keepLines w:val="0"/>
              <w:pageBreakBefore w:val="0"/>
              <w:widowControl w:val="0"/>
              <w:kinsoku/>
              <w:wordWrap/>
              <w:overflowPunct/>
              <w:topLinePunct w:val="0"/>
              <w:autoSpaceDE w:val="0"/>
              <w:autoSpaceDN w:val="0"/>
              <w:bidi w:val="0"/>
              <w:adjustRightInd/>
              <w:snapToGrid w:val="0"/>
              <w:spacing w:beforeAutospacing="0" w:afterAutospacing="0" w:line="320" w:lineRule="exact"/>
              <w:ind w:left="0" w:leftChars="0" w:right="0" w:firstLine="1200" w:firstLineChars="500"/>
              <w:textAlignment w:val="auto"/>
              <w:rPr>
                <w:rFonts w:hint="eastAsia" w:ascii="仿宋_GB2312" w:hAnsi="仿宋_GB2312" w:eastAsia="仿宋_GB2312" w:cs="仿宋_GB2312"/>
                <w:color w:val="2D00C7"/>
                <w:sz w:val="24"/>
                <w:szCs w:val="24"/>
              </w:rPr>
            </w:pPr>
            <w:r>
              <w:rPr>
                <w:rFonts w:hint="eastAsia" w:ascii="仿宋_GB2312" w:hAnsi="仿宋_GB2312" w:eastAsia="仿宋_GB2312" w:cs="仿宋_GB2312"/>
                <w:color w:val="2D00C7"/>
                <w:sz w:val="24"/>
                <w:szCs w:val="24"/>
              </w:rPr>
              <w:t>3.单价≥10万元的设备需填写明细；</w:t>
            </w:r>
          </w:p>
          <w:p w14:paraId="163B0F95">
            <w:pPr>
              <w:keepNext w:val="0"/>
              <w:keepLines w:val="0"/>
              <w:pageBreakBefore w:val="0"/>
              <w:widowControl w:val="0"/>
              <w:kinsoku/>
              <w:wordWrap/>
              <w:overflowPunct/>
              <w:topLinePunct w:val="0"/>
              <w:autoSpaceDE w:val="0"/>
              <w:autoSpaceDN w:val="0"/>
              <w:bidi w:val="0"/>
              <w:adjustRightInd/>
              <w:snapToGrid w:val="0"/>
              <w:spacing w:beforeAutospacing="0" w:afterAutospacing="0" w:line="320" w:lineRule="exact"/>
              <w:ind w:left="0" w:leftChars="0" w:right="0" w:firstLine="1440" w:firstLineChars="600"/>
              <w:textAlignment w:val="auto"/>
              <w:rPr>
                <w:rFonts w:hint="eastAsia" w:ascii="仿宋_GB2312" w:hAnsi="仿宋_GB2312" w:eastAsia="仿宋_GB2312" w:cs="仿宋_GB2312"/>
                <w:color w:val="2D00C7"/>
                <w:sz w:val="24"/>
                <w:szCs w:val="24"/>
              </w:rPr>
            </w:pPr>
            <w:r>
              <w:rPr>
                <w:rFonts w:hint="eastAsia" w:ascii="仿宋_GB2312" w:hAnsi="仿宋_GB2312" w:eastAsia="仿宋_GB2312" w:cs="仿宋_GB2312"/>
                <w:color w:val="2D00C7"/>
                <w:sz w:val="24"/>
                <w:szCs w:val="24"/>
              </w:rPr>
              <w:t>单价≥30万元的购置/试制设备需提交单独的“大型科学仪器设备基本信息表”</w:t>
            </w:r>
            <w:r>
              <w:rPr>
                <w:rFonts w:hint="eastAsia" w:ascii="仿宋_GB2312" w:hAnsi="仿宋_GB2312" w:cs="仿宋_GB2312"/>
                <w:color w:val="2D00C7"/>
                <w:sz w:val="24"/>
                <w:szCs w:val="24"/>
                <w:lang w:eastAsia="zh-CN"/>
              </w:rPr>
              <w:t>，</w:t>
            </w:r>
            <w:r>
              <w:rPr>
                <w:rFonts w:hint="eastAsia" w:ascii="仿宋_GB2312" w:hAnsi="仿宋_GB2312" w:eastAsia="仿宋_GB2312" w:cs="仿宋_GB2312"/>
                <w:color w:val="2D00C7"/>
                <w:sz w:val="24"/>
                <w:szCs w:val="24"/>
              </w:rPr>
              <w:t>试制设备需提交设备试制方案和成本分析；</w:t>
            </w:r>
          </w:p>
          <w:p w14:paraId="6400B384">
            <w:pPr>
              <w:keepNext w:val="0"/>
              <w:keepLines w:val="0"/>
              <w:pageBreakBefore w:val="0"/>
              <w:widowControl w:val="0"/>
              <w:kinsoku/>
              <w:wordWrap/>
              <w:overflowPunct/>
              <w:topLinePunct w:val="0"/>
              <w:autoSpaceDE w:val="0"/>
              <w:autoSpaceDN w:val="0"/>
              <w:bidi w:val="0"/>
              <w:adjustRightInd/>
              <w:snapToGrid w:val="0"/>
              <w:spacing w:beforeAutospacing="0" w:afterAutospacing="0" w:line="320" w:lineRule="exact"/>
              <w:ind w:left="0" w:leftChars="0" w:right="0" w:firstLine="1440" w:firstLineChars="600"/>
              <w:textAlignment w:val="auto"/>
              <w:rPr>
                <w:rFonts w:hint="eastAsia" w:ascii="仿宋_GB2312" w:hAnsi="仿宋_GB2312" w:eastAsia="仿宋_GB2312" w:cs="仿宋_GB2312"/>
                <w:color w:val="2D00C7"/>
                <w:sz w:val="24"/>
                <w:szCs w:val="24"/>
              </w:rPr>
            </w:pPr>
            <w:r>
              <w:rPr>
                <w:rFonts w:hint="eastAsia" w:ascii="仿宋_GB2312" w:hAnsi="仿宋_GB2312" w:eastAsia="仿宋_GB2312" w:cs="仿宋_GB2312"/>
                <w:color w:val="2D00C7"/>
                <w:sz w:val="24"/>
                <w:szCs w:val="24"/>
              </w:rPr>
              <w:t>申请专项经费资助购置设备单价≥50万元，市科委将另行组织评议，确定是否予以购置；</w:t>
            </w:r>
          </w:p>
          <w:p w14:paraId="767E3B0B">
            <w:pPr>
              <w:keepNext w:val="0"/>
              <w:keepLines w:val="0"/>
              <w:pageBreakBefore w:val="0"/>
              <w:widowControl w:val="0"/>
              <w:kinsoku/>
              <w:wordWrap/>
              <w:overflowPunct/>
              <w:topLinePunct w:val="0"/>
              <w:autoSpaceDE w:val="0"/>
              <w:autoSpaceDN w:val="0"/>
              <w:bidi w:val="0"/>
              <w:adjustRightInd/>
              <w:snapToGrid w:val="0"/>
              <w:spacing w:beforeAutospacing="0" w:afterAutospacing="0" w:line="320" w:lineRule="exact"/>
              <w:ind w:left="0" w:leftChars="0" w:right="0" w:firstLine="1200" w:firstLineChars="500"/>
              <w:textAlignment w:val="auto"/>
              <w:rPr>
                <w:rFonts w:hint="eastAsia" w:ascii="仿宋_GB2312" w:hAnsi="仿宋_GB2312" w:eastAsia="仿宋_GB2312" w:cs="仿宋_GB2312"/>
                <w:color w:val="2D00C7"/>
                <w:sz w:val="24"/>
                <w:szCs w:val="24"/>
              </w:rPr>
            </w:pPr>
            <w:r>
              <w:rPr>
                <w:rFonts w:hint="eastAsia" w:ascii="仿宋_GB2312" w:hAnsi="仿宋_GB2312" w:eastAsia="仿宋_GB2312" w:cs="仿宋_GB2312"/>
                <w:color w:val="2D00C7"/>
                <w:sz w:val="24"/>
                <w:szCs w:val="24"/>
              </w:rPr>
              <w:t>4.资金来源：A.专项经费、B.自筹经费；</w:t>
            </w:r>
          </w:p>
          <w:p w14:paraId="44477E36">
            <w:pPr>
              <w:keepNext w:val="0"/>
              <w:keepLines w:val="0"/>
              <w:pageBreakBefore w:val="0"/>
              <w:widowControl w:val="0"/>
              <w:kinsoku/>
              <w:wordWrap/>
              <w:overflowPunct/>
              <w:topLinePunct w:val="0"/>
              <w:autoSpaceDE w:val="0"/>
              <w:autoSpaceDN w:val="0"/>
              <w:bidi w:val="0"/>
              <w:adjustRightInd/>
              <w:snapToGrid w:val="0"/>
              <w:spacing w:beforeAutospacing="0" w:afterAutospacing="0" w:line="320" w:lineRule="exact"/>
              <w:ind w:left="0" w:leftChars="0" w:right="0" w:firstLine="1200" w:firstLineChars="500"/>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color w:val="2D00C7"/>
                <w:sz w:val="24"/>
                <w:szCs w:val="24"/>
              </w:rPr>
              <w:t>5.申请专项经费在20万元及以下时，毋须填写本表。</w:t>
            </w:r>
          </w:p>
        </w:tc>
      </w:tr>
      <w:tr w14:paraId="1AA92215">
        <w:trPr>
          <w:cantSplit/>
          <w:trHeight w:val="599" w:hRule="atLeast"/>
          <w:jc w:val="center"/>
        </w:trPr>
        <w:tc>
          <w:tcPr>
            <w:tcW w:w="452" w:type="dxa"/>
            <w:vAlign w:val="center"/>
          </w:tcPr>
          <w:p w14:paraId="4A8C4B94">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序号</w:t>
            </w:r>
          </w:p>
        </w:tc>
        <w:tc>
          <w:tcPr>
            <w:tcW w:w="2658" w:type="dxa"/>
            <w:vAlign w:val="center"/>
          </w:tcPr>
          <w:p w14:paraId="0F1CAD08">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设备名称</w:t>
            </w:r>
          </w:p>
        </w:tc>
        <w:tc>
          <w:tcPr>
            <w:tcW w:w="567" w:type="dxa"/>
            <w:vAlign w:val="center"/>
          </w:tcPr>
          <w:p w14:paraId="7481608E">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设备</w:t>
            </w:r>
          </w:p>
          <w:p w14:paraId="0F2188EB">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分类</w:t>
            </w:r>
          </w:p>
        </w:tc>
        <w:tc>
          <w:tcPr>
            <w:tcW w:w="1318" w:type="dxa"/>
            <w:vAlign w:val="center"/>
          </w:tcPr>
          <w:p w14:paraId="00AFD737">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 xml:space="preserve">单价             </w:t>
            </w:r>
            <w:r>
              <w:rPr>
                <w:rFonts w:hint="eastAsia" w:ascii="仿宋_GB2312" w:hAnsi="仿宋_GB2312" w:cs="仿宋_GB2312"/>
                <w:bCs/>
                <w:sz w:val="24"/>
                <w:szCs w:val="24"/>
                <w:lang w:eastAsia="zh-CN"/>
              </w:rPr>
              <w:t>（</w:t>
            </w:r>
            <w:r>
              <w:rPr>
                <w:rFonts w:hint="eastAsia" w:ascii="仿宋_GB2312" w:hAnsi="仿宋_GB2312" w:eastAsia="仿宋_GB2312" w:cs="仿宋_GB2312"/>
                <w:bCs/>
                <w:sz w:val="24"/>
                <w:szCs w:val="24"/>
              </w:rPr>
              <w:t>元/台件</w:t>
            </w:r>
            <w:r>
              <w:rPr>
                <w:rFonts w:hint="eastAsia" w:ascii="仿宋_GB2312" w:hAnsi="仿宋_GB2312" w:cs="仿宋_GB2312"/>
                <w:bCs/>
                <w:sz w:val="24"/>
                <w:szCs w:val="24"/>
                <w:lang w:eastAsia="zh-CN"/>
              </w:rPr>
              <w:t>）</w:t>
            </w:r>
          </w:p>
        </w:tc>
        <w:tc>
          <w:tcPr>
            <w:tcW w:w="1087" w:type="dxa"/>
            <w:vAlign w:val="center"/>
          </w:tcPr>
          <w:p w14:paraId="41AD3E72">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数量</w:t>
            </w:r>
          </w:p>
          <w:p w14:paraId="4C2FB689">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（台件）</w:t>
            </w:r>
          </w:p>
        </w:tc>
        <w:tc>
          <w:tcPr>
            <w:tcW w:w="637" w:type="dxa"/>
            <w:vAlign w:val="center"/>
          </w:tcPr>
          <w:p w14:paraId="7A1D0C82">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金额</w:t>
            </w:r>
          </w:p>
        </w:tc>
        <w:tc>
          <w:tcPr>
            <w:tcW w:w="758" w:type="dxa"/>
            <w:vAlign w:val="center"/>
          </w:tcPr>
          <w:p w14:paraId="0995B9B6">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设备类别</w:t>
            </w:r>
          </w:p>
        </w:tc>
        <w:tc>
          <w:tcPr>
            <w:tcW w:w="1328" w:type="dxa"/>
            <w:vAlign w:val="center"/>
          </w:tcPr>
          <w:p w14:paraId="4AAEE03F">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购置设备</w:t>
            </w:r>
          </w:p>
          <w:p w14:paraId="47700343">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型号</w:t>
            </w:r>
          </w:p>
        </w:tc>
        <w:tc>
          <w:tcPr>
            <w:tcW w:w="1604" w:type="dxa"/>
            <w:vAlign w:val="center"/>
          </w:tcPr>
          <w:p w14:paraId="1116D215">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购置设备生产</w:t>
            </w:r>
          </w:p>
          <w:p w14:paraId="3C74F06B">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国别与地区</w:t>
            </w:r>
          </w:p>
        </w:tc>
        <w:tc>
          <w:tcPr>
            <w:tcW w:w="1134" w:type="dxa"/>
            <w:tcBorders>
              <w:right w:val="single" w:color="auto" w:sz="4" w:space="0"/>
            </w:tcBorders>
            <w:vAlign w:val="center"/>
          </w:tcPr>
          <w:p w14:paraId="239E0FBA">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主要技术</w:t>
            </w:r>
          </w:p>
          <w:p w14:paraId="4E06F7F0">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性能指标</w:t>
            </w:r>
          </w:p>
        </w:tc>
        <w:tc>
          <w:tcPr>
            <w:tcW w:w="2126" w:type="dxa"/>
            <w:tcBorders>
              <w:left w:val="single" w:color="auto" w:sz="4" w:space="0"/>
              <w:right w:val="single" w:color="auto" w:sz="4" w:space="0"/>
            </w:tcBorders>
            <w:vAlign w:val="center"/>
          </w:tcPr>
          <w:p w14:paraId="58F21601">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用途（与研究任务的关系）</w:t>
            </w:r>
          </w:p>
        </w:tc>
        <w:tc>
          <w:tcPr>
            <w:tcW w:w="993" w:type="dxa"/>
            <w:tcBorders>
              <w:left w:val="single" w:color="auto" w:sz="4" w:space="0"/>
              <w:right w:val="single" w:color="auto" w:sz="4" w:space="0"/>
            </w:tcBorders>
            <w:vAlign w:val="center"/>
          </w:tcPr>
          <w:p w14:paraId="1D68A600">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资金来源</w:t>
            </w:r>
          </w:p>
        </w:tc>
        <w:tc>
          <w:tcPr>
            <w:tcW w:w="907" w:type="dxa"/>
            <w:tcBorders>
              <w:left w:val="single" w:color="auto" w:sz="4" w:space="0"/>
            </w:tcBorders>
            <w:vAlign w:val="center"/>
          </w:tcPr>
          <w:p w14:paraId="6B221921">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计算依据</w:t>
            </w:r>
          </w:p>
        </w:tc>
      </w:tr>
      <w:tr w14:paraId="412A523C">
        <w:trPr>
          <w:cantSplit/>
          <w:trHeight w:val="397" w:hRule="atLeast"/>
          <w:jc w:val="center"/>
        </w:trPr>
        <w:tc>
          <w:tcPr>
            <w:tcW w:w="452" w:type="dxa"/>
            <w:vAlign w:val="center"/>
          </w:tcPr>
          <w:p w14:paraId="1FD4DAF6">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right"/>
              <w:textAlignment w:val="auto"/>
              <w:rPr>
                <w:rFonts w:hint="eastAsia" w:ascii="仿宋_GB2312" w:hAnsi="仿宋_GB2312" w:eastAsia="仿宋_GB2312" w:cs="仿宋_GB2312"/>
                <w:b/>
                <w:bCs/>
                <w:sz w:val="24"/>
                <w:szCs w:val="24"/>
              </w:rPr>
            </w:pPr>
          </w:p>
        </w:tc>
        <w:tc>
          <w:tcPr>
            <w:tcW w:w="2658" w:type="dxa"/>
            <w:vAlign w:val="center"/>
          </w:tcPr>
          <w:p w14:paraId="163F428A">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(1)</w:t>
            </w:r>
          </w:p>
        </w:tc>
        <w:tc>
          <w:tcPr>
            <w:tcW w:w="567" w:type="dxa"/>
            <w:vAlign w:val="center"/>
          </w:tcPr>
          <w:p w14:paraId="6B2444DA">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(2)</w:t>
            </w:r>
          </w:p>
        </w:tc>
        <w:tc>
          <w:tcPr>
            <w:tcW w:w="1318" w:type="dxa"/>
            <w:vAlign w:val="center"/>
          </w:tcPr>
          <w:p w14:paraId="363AFECB">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(3)</w:t>
            </w:r>
          </w:p>
        </w:tc>
        <w:tc>
          <w:tcPr>
            <w:tcW w:w="1087" w:type="dxa"/>
            <w:vAlign w:val="center"/>
          </w:tcPr>
          <w:p w14:paraId="0F1F80A9">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(4)</w:t>
            </w:r>
          </w:p>
        </w:tc>
        <w:tc>
          <w:tcPr>
            <w:tcW w:w="637" w:type="dxa"/>
            <w:vAlign w:val="center"/>
          </w:tcPr>
          <w:p w14:paraId="5A1C4882">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(5)</w:t>
            </w:r>
          </w:p>
        </w:tc>
        <w:tc>
          <w:tcPr>
            <w:tcW w:w="758" w:type="dxa"/>
            <w:vAlign w:val="center"/>
          </w:tcPr>
          <w:p w14:paraId="30C3791E">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(6)</w:t>
            </w:r>
          </w:p>
        </w:tc>
        <w:tc>
          <w:tcPr>
            <w:tcW w:w="1328" w:type="dxa"/>
            <w:vAlign w:val="center"/>
          </w:tcPr>
          <w:p w14:paraId="5E771403">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(7)</w:t>
            </w:r>
          </w:p>
        </w:tc>
        <w:tc>
          <w:tcPr>
            <w:tcW w:w="1604" w:type="dxa"/>
            <w:vAlign w:val="center"/>
          </w:tcPr>
          <w:p w14:paraId="72B2A60B">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(8)</w:t>
            </w:r>
          </w:p>
        </w:tc>
        <w:tc>
          <w:tcPr>
            <w:tcW w:w="1134" w:type="dxa"/>
            <w:tcBorders>
              <w:right w:val="single" w:color="auto" w:sz="4" w:space="0"/>
            </w:tcBorders>
            <w:vAlign w:val="center"/>
          </w:tcPr>
          <w:p w14:paraId="3C45E93A">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(9)</w:t>
            </w:r>
          </w:p>
        </w:tc>
        <w:tc>
          <w:tcPr>
            <w:tcW w:w="2126" w:type="dxa"/>
            <w:tcBorders>
              <w:left w:val="single" w:color="auto" w:sz="4" w:space="0"/>
              <w:right w:val="single" w:color="auto" w:sz="4" w:space="0"/>
            </w:tcBorders>
            <w:vAlign w:val="center"/>
          </w:tcPr>
          <w:p w14:paraId="7DEBB6E4">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(10)</w:t>
            </w:r>
          </w:p>
        </w:tc>
        <w:tc>
          <w:tcPr>
            <w:tcW w:w="993" w:type="dxa"/>
            <w:tcBorders>
              <w:left w:val="single" w:color="auto" w:sz="4" w:space="0"/>
              <w:right w:val="single" w:color="auto" w:sz="4" w:space="0"/>
            </w:tcBorders>
            <w:vAlign w:val="center"/>
          </w:tcPr>
          <w:p w14:paraId="78CF0C82">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(11)</w:t>
            </w:r>
          </w:p>
        </w:tc>
        <w:tc>
          <w:tcPr>
            <w:tcW w:w="907" w:type="dxa"/>
            <w:tcBorders>
              <w:left w:val="single" w:color="auto" w:sz="4" w:space="0"/>
            </w:tcBorders>
            <w:vAlign w:val="center"/>
          </w:tcPr>
          <w:p w14:paraId="74A0E34E">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(12)</w:t>
            </w:r>
          </w:p>
        </w:tc>
      </w:tr>
      <w:tr w14:paraId="14A03515">
        <w:trPr>
          <w:cantSplit/>
          <w:trHeight w:val="397" w:hRule="atLeast"/>
          <w:jc w:val="center"/>
        </w:trPr>
        <w:tc>
          <w:tcPr>
            <w:tcW w:w="452" w:type="dxa"/>
            <w:vAlign w:val="center"/>
          </w:tcPr>
          <w:p w14:paraId="37C192DB">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2658" w:type="dxa"/>
            <w:vAlign w:val="center"/>
          </w:tcPr>
          <w:p w14:paraId="0D31EEDB">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单价10万元以下购置设备</w:t>
            </w:r>
          </w:p>
        </w:tc>
        <w:tc>
          <w:tcPr>
            <w:tcW w:w="567" w:type="dxa"/>
            <w:vAlign w:val="center"/>
          </w:tcPr>
          <w:p w14:paraId="7F2CBBBE">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318" w:type="dxa"/>
            <w:vAlign w:val="center"/>
          </w:tcPr>
          <w:p w14:paraId="519D5DFE">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087" w:type="dxa"/>
            <w:vAlign w:val="center"/>
          </w:tcPr>
          <w:p w14:paraId="5BBB6A10">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637" w:type="dxa"/>
            <w:vAlign w:val="center"/>
          </w:tcPr>
          <w:p w14:paraId="7132BEB1">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758" w:type="dxa"/>
            <w:vAlign w:val="center"/>
          </w:tcPr>
          <w:p w14:paraId="3593362A">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328" w:type="dxa"/>
            <w:vAlign w:val="center"/>
          </w:tcPr>
          <w:p w14:paraId="75579562">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604" w:type="dxa"/>
            <w:vAlign w:val="center"/>
          </w:tcPr>
          <w:p w14:paraId="0C4BC3A1">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134" w:type="dxa"/>
            <w:tcBorders>
              <w:right w:val="single" w:color="auto" w:sz="4" w:space="0"/>
            </w:tcBorders>
            <w:vAlign w:val="center"/>
          </w:tcPr>
          <w:p w14:paraId="108C7823">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2126" w:type="dxa"/>
            <w:tcBorders>
              <w:left w:val="single" w:color="auto" w:sz="4" w:space="0"/>
              <w:right w:val="single" w:color="auto" w:sz="4" w:space="0"/>
            </w:tcBorders>
            <w:vAlign w:val="center"/>
          </w:tcPr>
          <w:p w14:paraId="050CBEF2">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993" w:type="dxa"/>
            <w:tcBorders>
              <w:left w:val="single" w:color="auto" w:sz="4" w:space="0"/>
              <w:right w:val="single" w:color="auto" w:sz="4" w:space="0"/>
            </w:tcBorders>
            <w:vAlign w:val="center"/>
          </w:tcPr>
          <w:p w14:paraId="77718AFC">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color w:val="000000"/>
                <w:sz w:val="24"/>
                <w:szCs w:val="24"/>
              </w:rPr>
              <w:t>专项经费</w:t>
            </w:r>
          </w:p>
        </w:tc>
        <w:tc>
          <w:tcPr>
            <w:tcW w:w="907" w:type="dxa"/>
            <w:tcBorders>
              <w:left w:val="single" w:color="auto" w:sz="4" w:space="0"/>
            </w:tcBorders>
            <w:vAlign w:val="center"/>
          </w:tcPr>
          <w:p w14:paraId="4A6D5E71">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r>
      <w:tr w14:paraId="169446E6">
        <w:trPr>
          <w:cantSplit/>
          <w:trHeight w:val="397" w:hRule="atLeast"/>
          <w:jc w:val="center"/>
        </w:trPr>
        <w:tc>
          <w:tcPr>
            <w:tcW w:w="452" w:type="dxa"/>
            <w:vAlign w:val="center"/>
          </w:tcPr>
          <w:p w14:paraId="50288130">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2658" w:type="dxa"/>
            <w:vAlign w:val="center"/>
          </w:tcPr>
          <w:p w14:paraId="67FEF0D9">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单价10万元以下购置设备</w:t>
            </w:r>
          </w:p>
        </w:tc>
        <w:tc>
          <w:tcPr>
            <w:tcW w:w="567" w:type="dxa"/>
            <w:vAlign w:val="center"/>
          </w:tcPr>
          <w:p w14:paraId="0040D2AD">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318" w:type="dxa"/>
            <w:vAlign w:val="center"/>
          </w:tcPr>
          <w:p w14:paraId="77E563DC">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087" w:type="dxa"/>
            <w:vAlign w:val="center"/>
          </w:tcPr>
          <w:p w14:paraId="19B1043A">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637" w:type="dxa"/>
            <w:vAlign w:val="center"/>
          </w:tcPr>
          <w:p w14:paraId="7481FAF6">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758" w:type="dxa"/>
            <w:vAlign w:val="center"/>
          </w:tcPr>
          <w:p w14:paraId="4A5900AC">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328" w:type="dxa"/>
            <w:vAlign w:val="center"/>
          </w:tcPr>
          <w:p w14:paraId="7D0F7F7C">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604" w:type="dxa"/>
            <w:vAlign w:val="center"/>
          </w:tcPr>
          <w:p w14:paraId="4F340C96">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134" w:type="dxa"/>
            <w:tcBorders>
              <w:right w:val="single" w:color="auto" w:sz="4" w:space="0"/>
            </w:tcBorders>
            <w:vAlign w:val="center"/>
          </w:tcPr>
          <w:p w14:paraId="7F8D4722">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2126" w:type="dxa"/>
            <w:tcBorders>
              <w:left w:val="single" w:color="auto" w:sz="4" w:space="0"/>
              <w:right w:val="single" w:color="auto" w:sz="4" w:space="0"/>
            </w:tcBorders>
            <w:vAlign w:val="center"/>
          </w:tcPr>
          <w:p w14:paraId="43D54A07">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993" w:type="dxa"/>
            <w:tcBorders>
              <w:left w:val="single" w:color="auto" w:sz="4" w:space="0"/>
              <w:right w:val="single" w:color="auto" w:sz="4" w:space="0"/>
            </w:tcBorders>
            <w:vAlign w:val="center"/>
          </w:tcPr>
          <w:p w14:paraId="5450222B">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color w:val="000000"/>
                <w:sz w:val="24"/>
                <w:szCs w:val="24"/>
              </w:rPr>
              <w:t>自筹经费</w:t>
            </w:r>
          </w:p>
        </w:tc>
        <w:tc>
          <w:tcPr>
            <w:tcW w:w="907" w:type="dxa"/>
            <w:tcBorders>
              <w:left w:val="single" w:color="auto" w:sz="4" w:space="0"/>
            </w:tcBorders>
            <w:vAlign w:val="center"/>
          </w:tcPr>
          <w:p w14:paraId="367E8063">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r>
      <w:tr w14:paraId="3D9593B3">
        <w:trPr>
          <w:cantSplit/>
          <w:trHeight w:val="397" w:hRule="atLeast"/>
          <w:jc w:val="center"/>
        </w:trPr>
        <w:tc>
          <w:tcPr>
            <w:tcW w:w="452" w:type="dxa"/>
            <w:vAlign w:val="center"/>
          </w:tcPr>
          <w:p w14:paraId="4F86DF3B">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lang w:val="en-US" w:eastAsia="zh-CN"/>
              </w:rPr>
            </w:pPr>
            <w:r>
              <w:rPr>
                <w:rFonts w:hint="eastAsia" w:ascii="仿宋_GB2312" w:hAnsi="仿宋_GB2312" w:cs="仿宋_GB2312"/>
                <w:sz w:val="24"/>
                <w:szCs w:val="24"/>
                <w:lang w:val="en-US" w:eastAsia="zh-CN"/>
              </w:rPr>
              <w:t>1</w:t>
            </w:r>
          </w:p>
        </w:tc>
        <w:tc>
          <w:tcPr>
            <w:tcW w:w="2658" w:type="dxa"/>
            <w:vAlign w:val="center"/>
          </w:tcPr>
          <w:p w14:paraId="3303BE02">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567" w:type="dxa"/>
            <w:vAlign w:val="center"/>
          </w:tcPr>
          <w:p w14:paraId="26560639">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1318" w:type="dxa"/>
            <w:vAlign w:val="center"/>
          </w:tcPr>
          <w:p w14:paraId="5940B063">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1087" w:type="dxa"/>
            <w:vAlign w:val="center"/>
          </w:tcPr>
          <w:p w14:paraId="67283230">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637" w:type="dxa"/>
            <w:vAlign w:val="center"/>
          </w:tcPr>
          <w:p w14:paraId="1BC2A464">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758" w:type="dxa"/>
            <w:vAlign w:val="center"/>
          </w:tcPr>
          <w:p w14:paraId="6B10D61A">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1328" w:type="dxa"/>
            <w:vAlign w:val="center"/>
          </w:tcPr>
          <w:p w14:paraId="7EBCA203">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1604" w:type="dxa"/>
            <w:vAlign w:val="center"/>
          </w:tcPr>
          <w:p w14:paraId="1FADE5DC">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1134" w:type="dxa"/>
            <w:tcBorders>
              <w:right w:val="single" w:color="auto" w:sz="4" w:space="0"/>
            </w:tcBorders>
            <w:vAlign w:val="center"/>
          </w:tcPr>
          <w:p w14:paraId="64853F0A">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2126" w:type="dxa"/>
            <w:tcBorders>
              <w:left w:val="single" w:color="auto" w:sz="4" w:space="0"/>
              <w:right w:val="single" w:color="auto" w:sz="4" w:space="0"/>
            </w:tcBorders>
            <w:vAlign w:val="center"/>
          </w:tcPr>
          <w:p w14:paraId="250F2552">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993" w:type="dxa"/>
            <w:tcBorders>
              <w:left w:val="single" w:color="auto" w:sz="4" w:space="0"/>
              <w:right w:val="single" w:color="auto" w:sz="4" w:space="0"/>
            </w:tcBorders>
            <w:vAlign w:val="center"/>
          </w:tcPr>
          <w:p w14:paraId="4CFA8988">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color w:val="000000"/>
                <w:sz w:val="24"/>
                <w:szCs w:val="24"/>
              </w:rPr>
            </w:pPr>
          </w:p>
        </w:tc>
        <w:tc>
          <w:tcPr>
            <w:tcW w:w="907" w:type="dxa"/>
            <w:tcBorders>
              <w:left w:val="single" w:color="auto" w:sz="4" w:space="0"/>
            </w:tcBorders>
            <w:vAlign w:val="center"/>
          </w:tcPr>
          <w:p w14:paraId="076C9DCE">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r>
      <w:tr w14:paraId="002AF99E">
        <w:trPr>
          <w:cantSplit/>
          <w:trHeight w:val="397" w:hRule="atLeast"/>
          <w:jc w:val="center"/>
        </w:trPr>
        <w:tc>
          <w:tcPr>
            <w:tcW w:w="3110" w:type="dxa"/>
            <w:gridSpan w:val="2"/>
            <w:vAlign w:val="center"/>
          </w:tcPr>
          <w:p w14:paraId="0A8C0DD8">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单价10万元及以上购置设备合计</w:t>
            </w:r>
          </w:p>
        </w:tc>
        <w:tc>
          <w:tcPr>
            <w:tcW w:w="567" w:type="dxa"/>
            <w:vAlign w:val="center"/>
          </w:tcPr>
          <w:p w14:paraId="48362798">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318" w:type="dxa"/>
            <w:vAlign w:val="center"/>
          </w:tcPr>
          <w:p w14:paraId="17B0027F">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087" w:type="dxa"/>
            <w:vAlign w:val="center"/>
          </w:tcPr>
          <w:p w14:paraId="50E942B9">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637" w:type="dxa"/>
            <w:vAlign w:val="center"/>
          </w:tcPr>
          <w:p w14:paraId="02D3253B">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758" w:type="dxa"/>
            <w:vAlign w:val="center"/>
          </w:tcPr>
          <w:p w14:paraId="01FA12E8">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328" w:type="dxa"/>
            <w:vAlign w:val="center"/>
          </w:tcPr>
          <w:p w14:paraId="3EDB7E98">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604" w:type="dxa"/>
            <w:vAlign w:val="center"/>
          </w:tcPr>
          <w:p w14:paraId="04C6FBE3">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134" w:type="dxa"/>
            <w:tcBorders>
              <w:right w:val="single" w:color="auto" w:sz="4" w:space="0"/>
            </w:tcBorders>
            <w:vAlign w:val="center"/>
          </w:tcPr>
          <w:p w14:paraId="514B1D98">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2126" w:type="dxa"/>
            <w:tcBorders>
              <w:left w:val="single" w:color="auto" w:sz="4" w:space="0"/>
              <w:right w:val="single" w:color="auto" w:sz="4" w:space="0"/>
            </w:tcBorders>
            <w:vAlign w:val="center"/>
          </w:tcPr>
          <w:p w14:paraId="01D5D14E">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993" w:type="dxa"/>
            <w:tcBorders>
              <w:left w:val="single" w:color="auto" w:sz="4" w:space="0"/>
              <w:right w:val="single" w:color="auto" w:sz="4" w:space="0"/>
            </w:tcBorders>
            <w:vAlign w:val="center"/>
          </w:tcPr>
          <w:p w14:paraId="539A5DA9">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907" w:type="dxa"/>
            <w:tcBorders>
              <w:left w:val="single" w:color="auto" w:sz="4" w:space="0"/>
            </w:tcBorders>
            <w:vAlign w:val="center"/>
          </w:tcPr>
          <w:p w14:paraId="6552A885">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r>
      <w:tr w14:paraId="526EDFE2">
        <w:trPr>
          <w:cantSplit/>
          <w:trHeight w:val="397" w:hRule="atLeast"/>
          <w:jc w:val="center"/>
        </w:trPr>
        <w:tc>
          <w:tcPr>
            <w:tcW w:w="3110" w:type="dxa"/>
            <w:gridSpan w:val="2"/>
            <w:vAlign w:val="center"/>
          </w:tcPr>
          <w:p w14:paraId="02DFADE1">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单价10万元及以上试制设备合计</w:t>
            </w:r>
          </w:p>
        </w:tc>
        <w:tc>
          <w:tcPr>
            <w:tcW w:w="567" w:type="dxa"/>
            <w:vAlign w:val="center"/>
          </w:tcPr>
          <w:p w14:paraId="63CA4157">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318" w:type="dxa"/>
            <w:vAlign w:val="center"/>
          </w:tcPr>
          <w:p w14:paraId="158CC134">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087" w:type="dxa"/>
            <w:vAlign w:val="center"/>
          </w:tcPr>
          <w:p w14:paraId="48CAC452">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637" w:type="dxa"/>
            <w:vAlign w:val="center"/>
          </w:tcPr>
          <w:p w14:paraId="755B0E4E">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758" w:type="dxa"/>
            <w:vAlign w:val="center"/>
          </w:tcPr>
          <w:p w14:paraId="06FA4813">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328" w:type="dxa"/>
            <w:vAlign w:val="center"/>
          </w:tcPr>
          <w:p w14:paraId="257B8DFE">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604" w:type="dxa"/>
            <w:vAlign w:val="center"/>
          </w:tcPr>
          <w:p w14:paraId="7AD13997">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134" w:type="dxa"/>
            <w:tcBorders>
              <w:right w:val="single" w:color="auto" w:sz="4" w:space="0"/>
            </w:tcBorders>
            <w:vAlign w:val="center"/>
          </w:tcPr>
          <w:p w14:paraId="5E92C548">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2126" w:type="dxa"/>
            <w:tcBorders>
              <w:left w:val="single" w:color="auto" w:sz="4" w:space="0"/>
              <w:right w:val="single" w:color="auto" w:sz="4" w:space="0"/>
            </w:tcBorders>
            <w:vAlign w:val="center"/>
          </w:tcPr>
          <w:p w14:paraId="494F3AA6">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993" w:type="dxa"/>
            <w:tcBorders>
              <w:left w:val="single" w:color="auto" w:sz="4" w:space="0"/>
              <w:right w:val="single" w:color="auto" w:sz="4" w:space="0"/>
            </w:tcBorders>
            <w:vAlign w:val="center"/>
          </w:tcPr>
          <w:p w14:paraId="32EFC47B">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907" w:type="dxa"/>
            <w:tcBorders>
              <w:left w:val="single" w:color="auto" w:sz="4" w:space="0"/>
            </w:tcBorders>
            <w:vAlign w:val="center"/>
          </w:tcPr>
          <w:p w14:paraId="3F08426B">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r>
      <w:tr w14:paraId="7B9FF34F">
        <w:trPr>
          <w:cantSplit/>
          <w:trHeight w:val="397" w:hRule="atLeast"/>
          <w:jc w:val="center"/>
        </w:trPr>
        <w:tc>
          <w:tcPr>
            <w:tcW w:w="3110" w:type="dxa"/>
            <w:gridSpan w:val="2"/>
            <w:vAlign w:val="center"/>
          </w:tcPr>
          <w:p w14:paraId="31E66B67">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单价10万元以下购置设备</w:t>
            </w:r>
          </w:p>
        </w:tc>
        <w:tc>
          <w:tcPr>
            <w:tcW w:w="567" w:type="dxa"/>
            <w:vAlign w:val="center"/>
          </w:tcPr>
          <w:p w14:paraId="3CDBD952">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318" w:type="dxa"/>
            <w:vAlign w:val="center"/>
          </w:tcPr>
          <w:p w14:paraId="522EDEBD">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087" w:type="dxa"/>
            <w:vAlign w:val="center"/>
          </w:tcPr>
          <w:p w14:paraId="7BEB2AE7">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637" w:type="dxa"/>
            <w:vAlign w:val="center"/>
          </w:tcPr>
          <w:p w14:paraId="68934B73">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758" w:type="dxa"/>
            <w:vAlign w:val="center"/>
          </w:tcPr>
          <w:p w14:paraId="3F5A45F8">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328" w:type="dxa"/>
            <w:vAlign w:val="center"/>
          </w:tcPr>
          <w:p w14:paraId="53EEB06C">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604" w:type="dxa"/>
            <w:vAlign w:val="center"/>
          </w:tcPr>
          <w:p w14:paraId="030E61B4">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134" w:type="dxa"/>
            <w:tcBorders>
              <w:right w:val="single" w:color="auto" w:sz="4" w:space="0"/>
            </w:tcBorders>
            <w:vAlign w:val="center"/>
          </w:tcPr>
          <w:p w14:paraId="6F441C90">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2126" w:type="dxa"/>
            <w:tcBorders>
              <w:left w:val="single" w:color="auto" w:sz="4" w:space="0"/>
              <w:right w:val="single" w:color="auto" w:sz="4" w:space="0"/>
            </w:tcBorders>
            <w:vAlign w:val="center"/>
          </w:tcPr>
          <w:p w14:paraId="2C77FB01">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993" w:type="dxa"/>
            <w:tcBorders>
              <w:left w:val="single" w:color="auto" w:sz="4" w:space="0"/>
              <w:right w:val="single" w:color="auto" w:sz="4" w:space="0"/>
            </w:tcBorders>
            <w:vAlign w:val="center"/>
          </w:tcPr>
          <w:p w14:paraId="45259EDA">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907" w:type="dxa"/>
            <w:tcBorders>
              <w:left w:val="single" w:color="auto" w:sz="4" w:space="0"/>
            </w:tcBorders>
            <w:vAlign w:val="center"/>
          </w:tcPr>
          <w:p w14:paraId="5067FA1A">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r>
      <w:tr w14:paraId="1832C809">
        <w:trPr>
          <w:cantSplit/>
          <w:trHeight w:val="397" w:hRule="atLeast"/>
          <w:jc w:val="center"/>
        </w:trPr>
        <w:tc>
          <w:tcPr>
            <w:tcW w:w="3110" w:type="dxa"/>
            <w:gridSpan w:val="2"/>
            <w:vAlign w:val="center"/>
          </w:tcPr>
          <w:p w14:paraId="6AB25A1E">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单价10万元以下试制设备</w:t>
            </w:r>
          </w:p>
        </w:tc>
        <w:tc>
          <w:tcPr>
            <w:tcW w:w="567" w:type="dxa"/>
            <w:vAlign w:val="center"/>
          </w:tcPr>
          <w:p w14:paraId="6D780605">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318" w:type="dxa"/>
            <w:vAlign w:val="center"/>
          </w:tcPr>
          <w:p w14:paraId="326B23EC">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087" w:type="dxa"/>
            <w:vAlign w:val="center"/>
          </w:tcPr>
          <w:p w14:paraId="74FAD961">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637" w:type="dxa"/>
            <w:vAlign w:val="center"/>
          </w:tcPr>
          <w:p w14:paraId="32571177">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758" w:type="dxa"/>
            <w:vAlign w:val="center"/>
          </w:tcPr>
          <w:p w14:paraId="7E29DC8B">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328" w:type="dxa"/>
            <w:vAlign w:val="center"/>
          </w:tcPr>
          <w:p w14:paraId="45F6E5AC">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604" w:type="dxa"/>
            <w:vAlign w:val="center"/>
          </w:tcPr>
          <w:p w14:paraId="2F75F465">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134" w:type="dxa"/>
            <w:tcBorders>
              <w:right w:val="single" w:color="auto" w:sz="4" w:space="0"/>
            </w:tcBorders>
            <w:vAlign w:val="center"/>
          </w:tcPr>
          <w:p w14:paraId="1B1C8689">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2126" w:type="dxa"/>
            <w:tcBorders>
              <w:left w:val="single" w:color="auto" w:sz="4" w:space="0"/>
              <w:right w:val="single" w:color="auto" w:sz="4" w:space="0"/>
            </w:tcBorders>
            <w:vAlign w:val="center"/>
          </w:tcPr>
          <w:p w14:paraId="1ECE98CD">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993" w:type="dxa"/>
            <w:tcBorders>
              <w:left w:val="single" w:color="auto" w:sz="4" w:space="0"/>
              <w:right w:val="single" w:color="auto" w:sz="4" w:space="0"/>
            </w:tcBorders>
            <w:vAlign w:val="center"/>
          </w:tcPr>
          <w:p w14:paraId="4EFE7A0C">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907" w:type="dxa"/>
            <w:tcBorders>
              <w:left w:val="single" w:color="auto" w:sz="4" w:space="0"/>
            </w:tcBorders>
            <w:vAlign w:val="center"/>
          </w:tcPr>
          <w:p w14:paraId="1C841723">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r>
      <w:tr w14:paraId="74877697">
        <w:trPr>
          <w:cantSplit/>
          <w:trHeight w:val="397" w:hRule="atLeast"/>
          <w:jc w:val="center"/>
        </w:trPr>
        <w:tc>
          <w:tcPr>
            <w:tcW w:w="3110" w:type="dxa"/>
            <w:gridSpan w:val="2"/>
            <w:vAlign w:val="center"/>
          </w:tcPr>
          <w:p w14:paraId="6B5A719F">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累计</w:t>
            </w:r>
          </w:p>
        </w:tc>
        <w:tc>
          <w:tcPr>
            <w:tcW w:w="567" w:type="dxa"/>
            <w:vAlign w:val="center"/>
          </w:tcPr>
          <w:p w14:paraId="2068CBFE">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318" w:type="dxa"/>
            <w:vAlign w:val="center"/>
          </w:tcPr>
          <w:p w14:paraId="2BDB08A9">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087" w:type="dxa"/>
            <w:vAlign w:val="center"/>
          </w:tcPr>
          <w:p w14:paraId="7F3DB657">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637" w:type="dxa"/>
            <w:vAlign w:val="center"/>
          </w:tcPr>
          <w:p w14:paraId="26945158">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758" w:type="dxa"/>
            <w:vAlign w:val="center"/>
          </w:tcPr>
          <w:p w14:paraId="5613B2B7">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328" w:type="dxa"/>
            <w:vAlign w:val="center"/>
          </w:tcPr>
          <w:p w14:paraId="5B5E77C5">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604" w:type="dxa"/>
            <w:vAlign w:val="center"/>
          </w:tcPr>
          <w:p w14:paraId="19EC8A69">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134" w:type="dxa"/>
            <w:tcBorders>
              <w:right w:val="single" w:color="auto" w:sz="4" w:space="0"/>
            </w:tcBorders>
            <w:vAlign w:val="center"/>
          </w:tcPr>
          <w:p w14:paraId="2688052F">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2126" w:type="dxa"/>
            <w:tcBorders>
              <w:left w:val="single" w:color="auto" w:sz="4" w:space="0"/>
              <w:right w:val="single" w:color="auto" w:sz="4" w:space="0"/>
            </w:tcBorders>
            <w:vAlign w:val="center"/>
          </w:tcPr>
          <w:p w14:paraId="02B0CAEF">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993" w:type="dxa"/>
            <w:tcBorders>
              <w:left w:val="single" w:color="auto" w:sz="4" w:space="0"/>
              <w:right w:val="single" w:color="auto" w:sz="4" w:space="0"/>
            </w:tcBorders>
            <w:vAlign w:val="center"/>
          </w:tcPr>
          <w:p w14:paraId="646A70B5">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907" w:type="dxa"/>
            <w:tcBorders>
              <w:left w:val="single" w:color="auto" w:sz="4" w:space="0"/>
            </w:tcBorders>
            <w:vAlign w:val="center"/>
          </w:tcPr>
          <w:p w14:paraId="437BE91A">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r>
    </w:tbl>
    <w:p w14:paraId="56FEB046">
      <w:pPr>
        <w:pageBreakBefore w:val="0"/>
        <w:kinsoku/>
        <w:overflowPunct/>
        <w:topLinePunct w:val="0"/>
        <w:autoSpaceDE w:val="0"/>
        <w:autoSpaceDN w:val="0"/>
        <w:bidi w:val="0"/>
        <w:adjustRightInd/>
        <w:spacing w:beforeAutospacing="0" w:afterAutospacing="0" w:line="560" w:lineRule="exact"/>
        <w:ind w:left="0" w:leftChars="0" w:right="0"/>
        <w:textAlignment w:val="auto"/>
        <w:rPr>
          <w:sz w:val="18"/>
        </w:rPr>
        <w:sectPr>
          <w:pgSz w:w="16838" w:h="11906" w:orient="landscape"/>
          <w:pgMar w:top="1531" w:right="1361" w:bottom="1361" w:left="1361" w:header="851" w:footer="992" w:gutter="0"/>
          <w:pgNumType w:fmt="decimal"/>
          <w:cols w:space="720" w:num="1"/>
          <w:docGrid w:type="linesAndChars" w:linePitch="312" w:charSpace="0"/>
        </w:sectPr>
      </w:pPr>
    </w:p>
    <w:p w14:paraId="2F8A886C">
      <w:pPr>
        <w:pageBreakBefore w:val="0"/>
        <w:widowControl w:val="0"/>
        <w:kinsoku/>
        <w:overflowPunct/>
        <w:topLinePunct w:val="0"/>
        <w:autoSpaceDE w:val="0"/>
        <w:autoSpaceDN w:val="0"/>
        <w:bidi w:val="0"/>
        <w:adjustRightInd/>
        <w:spacing w:line="560" w:lineRule="exact"/>
        <w:ind w:left="0" w:firstLine="640" w:firstLineChars="200"/>
        <w:jc w:val="both"/>
        <w:textAlignment w:val="auto"/>
        <w:outlineLvl w:val="0"/>
        <w:rPr>
          <w:rFonts w:hint="eastAsia" w:ascii="黑体" w:hAnsi="黑体" w:eastAsia="黑体" w:cs="Times New Roman"/>
          <w:kern w:val="2"/>
          <w:sz w:val="32"/>
          <w:szCs w:val="24"/>
          <w:lang w:val="en-US" w:eastAsia="zh-CN" w:bidi="ar-SA"/>
        </w:rPr>
      </w:pPr>
      <w:r>
        <w:rPr>
          <w:rFonts w:hint="eastAsia" w:ascii="黑体" w:hAnsi="黑体" w:eastAsia="黑体" w:cs="Times New Roman"/>
          <w:kern w:val="2"/>
          <w:sz w:val="32"/>
          <w:szCs w:val="24"/>
          <w:lang w:val="en-US" w:eastAsia="zh-CN" w:bidi="ar-SA"/>
        </w:rPr>
        <w:t>附表4 设备改造与租赁费预算明细表</w:t>
      </w:r>
    </w:p>
    <w:tbl>
      <w:tblPr>
        <w:tblStyle w:val="18"/>
        <w:tblW w:w="15791" w:type="dxa"/>
        <w:jc w:val="center"/>
        <w:tblLayout w:type="fixed"/>
        <w:tblCellMar>
          <w:top w:w="0" w:type="dxa"/>
          <w:left w:w="108" w:type="dxa"/>
          <w:bottom w:w="0" w:type="dxa"/>
          <w:right w:w="108" w:type="dxa"/>
        </w:tblCellMar>
      </w:tblPr>
      <w:tblGrid>
        <w:gridCol w:w="719"/>
        <w:gridCol w:w="2238"/>
        <w:gridCol w:w="1661"/>
        <w:gridCol w:w="2194"/>
        <w:gridCol w:w="1693"/>
        <w:gridCol w:w="1290"/>
        <w:gridCol w:w="553"/>
        <w:gridCol w:w="1124"/>
        <w:gridCol w:w="1750"/>
        <w:gridCol w:w="1326"/>
        <w:gridCol w:w="1243"/>
      </w:tblGrid>
      <w:tr w14:paraId="2BE7FEC8">
        <w:trPr>
          <w:trHeight w:val="305" w:hRule="atLeast"/>
          <w:jc w:val="center"/>
        </w:trPr>
        <w:tc>
          <w:tcPr>
            <w:tcW w:w="2957" w:type="dxa"/>
            <w:gridSpan w:val="2"/>
            <w:tcBorders>
              <w:top w:val="nil"/>
              <w:left w:val="nil"/>
              <w:bottom w:val="single" w:color="auto" w:sz="4" w:space="0"/>
              <w:right w:val="nil"/>
            </w:tcBorders>
            <w:shd w:val="clear" w:color="auto" w:fill="auto"/>
            <w:noWrap/>
            <w:vAlign w:val="center"/>
          </w:tcPr>
          <w:p w14:paraId="4F0896C9">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lef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1661" w:type="dxa"/>
            <w:tcBorders>
              <w:top w:val="nil"/>
              <w:left w:val="nil"/>
              <w:bottom w:val="single" w:color="auto" w:sz="4" w:space="0"/>
              <w:right w:val="nil"/>
            </w:tcBorders>
            <w:shd w:val="clear" w:color="auto" w:fill="auto"/>
            <w:noWrap/>
            <w:vAlign w:val="center"/>
          </w:tcPr>
          <w:p w14:paraId="34733034">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left"/>
              <w:textAlignment w:val="auto"/>
              <w:rPr>
                <w:rFonts w:hint="eastAsia" w:ascii="仿宋_GB2312" w:hAnsi="仿宋_GB2312" w:eastAsia="仿宋_GB2312" w:cs="仿宋_GB2312"/>
                <w:kern w:val="0"/>
                <w:sz w:val="24"/>
                <w:szCs w:val="24"/>
              </w:rPr>
            </w:pPr>
          </w:p>
        </w:tc>
        <w:tc>
          <w:tcPr>
            <w:tcW w:w="2194" w:type="dxa"/>
            <w:tcBorders>
              <w:top w:val="nil"/>
              <w:left w:val="nil"/>
              <w:bottom w:val="single" w:color="auto" w:sz="4" w:space="0"/>
              <w:right w:val="nil"/>
            </w:tcBorders>
            <w:shd w:val="clear" w:color="auto" w:fill="auto"/>
            <w:noWrap/>
            <w:vAlign w:val="center"/>
          </w:tcPr>
          <w:p w14:paraId="7948060A">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left"/>
              <w:textAlignment w:val="auto"/>
              <w:rPr>
                <w:rFonts w:hint="eastAsia" w:ascii="仿宋_GB2312" w:hAnsi="仿宋_GB2312" w:eastAsia="仿宋_GB2312" w:cs="仿宋_GB2312"/>
                <w:kern w:val="0"/>
                <w:sz w:val="24"/>
                <w:szCs w:val="24"/>
              </w:rPr>
            </w:pPr>
          </w:p>
        </w:tc>
        <w:tc>
          <w:tcPr>
            <w:tcW w:w="1693" w:type="dxa"/>
            <w:tcBorders>
              <w:top w:val="nil"/>
              <w:left w:val="nil"/>
              <w:bottom w:val="single" w:color="auto" w:sz="4" w:space="0"/>
              <w:right w:val="nil"/>
            </w:tcBorders>
            <w:shd w:val="clear" w:color="auto" w:fill="auto"/>
            <w:noWrap/>
            <w:vAlign w:val="center"/>
          </w:tcPr>
          <w:p w14:paraId="63258688">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left"/>
              <w:textAlignment w:val="auto"/>
              <w:rPr>
                <w:rFonts w:hint="eastAsia" w:ascii="仿宋_GB2312" w:hAnsi="仿宋_GB2312" w:eastAsia="仿宋_GB2312" w:cs="仿宋_GB2312"/>
                <w:kern w:val="0"/>
                <w:sz w:val="24"/>
                <w:szCs w:val="24"/>
              </w:rPr>
            </w:pPr>
          </w:p>
        </w:tc>
        <w:tc>
          <w:tcPr>
            <w:tcW w:w="1290" w:type="dxa"/>
            <w:tcBorders>
              <w:top w:val="nil"/>
              <w:left w:val="nil"/>
              <w:bottom w:val="single" w:color="auto" w:sz="4" w:space="0"/>
              <w:right w:val="nil"/>
            </w:tcBorders>
            <w:shd w:val="clear" w:color="auto" w:fill="auto"/>
            <w:noWrap/>
            <w:vAlign w:val="center"/>
          </w:tcPr>
          <w:p w14:paraId="6A305C7B">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left"/>
              <w:textAlignment w:val="auto"/>
              <w:rPr>
                <w:rFonts w:hint="eastAsia" w:ascii="仿宋_GB2312" w:hAnsi="仿宋_GB2312" w:eastAsia="仿宋_GB2312" w:cs="仿宋_GB2312"/>
                <w:kern w:val="0"/>
                <w:sz w:val="24"/>
                <w:szCs w:val="24"/>
              </w:rPr>
            </w:pPr>
          </w:p>
        </w:tc>
        <w:tc>
          <w:tcPr>
            <w:tcW w:w="1677" w:type="dxa"/>
            <w:gridSpan w:val="2"/>
            <w:tcBorders>
              <w:top w:val="nil"/>
              <w:left w:val="nil"/>
              <w:bottom w:val="single" w:color="auto" w:sz="4" w:space="0"/>
              <w:right w:val="nil"/>
            </w:tcBorders>
            <w:shd w:val="clear" w:color="auto" w:fill="auto"/>
            <w:noWrap/>
            <w:vAlign w:val="center"/>
          </w:tcPr>
          <w:p w14:paraId="6819192A">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left"/>
              <w:textAlignment w:val="auto"/>
              <w:rPr>
                <w:rFonts w:hint="eastAsia" w:ascii="仿宋_GB2312" w:hAnsi="仿宋_GB2312" w:eastAsia="仿宋_GB2312" w:cs="仿宋_GB2312"/>
                <w:kern w:val="0"/>
                <w:sz w:val="24"/>
                <w:szCs w:val="24"/>
              </w:rPr>
            </w:pPr>
          </w:p>
        </w:tc>
        <w:tc>
          <w:tcPr>
            <w:tcW w:w="1750" w:type="dxa"/>
            <w:tcBorders>
              <w:top w:val="nil"/>
              <w:left w:val="nil"/>
              <w:bottom w:val="single" w:color="auto" w:sz="4" w:space="0"/>
              <w:right w:val="nil"/>
            </w:tcBorders>
            <w:shd w:val="clear" w:color="auto" w:fill="auto"/>
            <w:noWrap/>
            <w:vAlign w:val="center"/>
          </w:tcPr>
          <w:p w14:paraId="18AA70F2">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left"/>
              <w:textAlignment w:val="auto"/>
              <w:rPr>
                <w:rFonts w:hint="eastAsia" w:ascii="仿宋_GB2312" w:hAnsi="仿宋_GB2312" w:eastAsia="仿宋_GB2312" w:cs="仿宋_GB2312"/>
                <w:kern w:val="0"/>
                <w:sz w:val="24"/>
                <w:szCs w:val="24"/>
              </w:rPr>
            </w:pPr>
          </w:p>
        </w:tc>
        <w:tc>
          <w:tcPr>
            <w:tcW w:w="2569" w:type="dxa"/>
            <w:gridSpan w:val="2"/>
            <w:tcBorders>
              <w:top w:val="nil"/>
              <w:left w:val="nil"/>
              <w:bottom w:val="single" w:color="auto" w:sz="4" w:space="0"/>
              <w:right w:val="nil"/>
            </w:tcBorders>
            <w:shd w:val="clear" w:color="auto" w:fill="auto"/>
            <w:noWrap/>
            <w:vAlign w:val="center"/>
          </w:tcPr>
          <w:p w14:paraId="284F19A9">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right"/>
              <w:textAlignment w:val="auto"/>
              <w:rPr>
                <w:rFonts w:hint="eastAsia" w:ascii="仿宋_GB2312" w:hAnsi="仿宋_GB2312" w:eastAsia="仿宋_GB2312" w:cs="仿宋_GB2312"/>
                <w:kern w:val="0"/>
                <w:sz w:val="24"/>
                <w:szCs w:val="24"/>
                <w:lang w:eastAsia="zh-CN"/>
              </w:rPr>
            </w:pPr>
            <w:r>
              <w:rPr>
                <w:rFonts w:hint="eastAsia" w:ascii="仿宋_GB2312" w:hAnsi="仿宋_GB2312" w:cs="仿宋_GB2312"/>
                <w:kern w:val="0"/>
                <w:sz w:val="24"/>
                <w:szCs w:val="24"/>
                <w:lang w:eastAsia="zh-CN"/>
              </w:rPr>
              <w:t>金额单位：万元</w:t>
            </w:r>
          </w:p>
        </w:tc>
      </w:tr>
      <w:tr w14:paraId="4DAF669D">
        <w:trPr>
          <w:trHeight w:val="687" w:hRule="atLeast"/>
          <w:jc w:val="center"/>
        </w:trPr>
        <w:tc>
          <w:tcPr>
            <w:tcW w:w="15791" w:type="dxa"/>
            <w:gridSpan w:val="11"/>
            <w:tcBorders>
              <w:top w:val="single" w:color="auto" w:sz="4" w:space="0"/>
              <w:left w:val="single" w:color="auto" w:sz="8" w:space="0"/>
              <w:bottom w:val="single" w:color="auto" w:sz="4" w:space="0"/>
              <w:right w:val="single" w:color="auto" w:sz="8" w:space="0"/>
            </w:tcBorders>
            <w:shd w:val="clear" w:color="auto" w:fill="auto"/>
            <w:vAlign w:val="center"/>
          </w:tcPr>
          <w:p w14:paraId="39D762BD">
            <w:pPr>
              <w:keepNext w:val="0"/>
              <w:keepLines w:val="0"/>
              <w:pageBreakBefore w:val="0"/>
              <w:widowControl w:val="0"/>
              <w:kinsoku/>
              <w:wordWrap/>
              <w:overflowPunct/>
              <w:topLinePunct w:val="0"/>
              <w:autoSpaceDE w:val="0"/>
              <w:autoSpaceDN w:val="0"/>
              <w:bidi w:val="0"/>
              <w:adjustRightInd/>
              <w:snapToGrid w:val="0"/>
              <w:spacing w:beforeAutospacing="0" w:afterAutospacing="0" w:line="320" w:lineRule="exact"/>
              <w:ind w:right="0" w:firstLine="0" w:firstLineChars="0"/>
              <w:textAlignment w:val="auto"/>
              <w:rPr>
                <w:rFonts w:hint="eastAsia" w:ascii="仿宋_GB2312" w:hAnsi="仿宋_GB2312" w:eastAsia="仿宋_GB2312" w:cs="仿宋_GB2312"/>
                <w:color w:val="2D00C7"/>
                <w:sz w:val="24"/>
                <w:szCs w:val="24"/>
              </w:rPr>
            </w:pPr>
            <w:r>
              <w:rPr>
                <w:rFonts w:hint="eastAsia" w:ascii="仿宋_GB2312" w:hAnsi="仿宋_GB2312" w:eastAsia="仿宋_GB2312" w:cs="仿宋_GB2312"/>
                <w:color w:val="2D00C7"/>
                <w:sz w:val="24"/>
                <w:szCs w:val="24"/>
              </w:rPr>
              <w:t>填表说明：1.设备改造与</w:t>
            </w:r>
            <w:r>
              <w:rPr>
                <w:rFonts w:hint="eastAsia" w:ascii="仿宋_GB2312" w:hAnsi="仿宋_GB2312" w:cs="仿宋_GB2312"/>
                <w:color w:val="2D00C7"/>
                <w:sz w:val="24"/>
                <w:szCs w:val="24"/>
                <w:lang w:eastAsia="zh-CN"/>
              </w:rPr>
              <w:t>租赁费</w:t>
            </w:r>
            <w:r>
              <w:rPr>
                <w:rFonts w:hint="eastAsia" w:ascii="仿宋_GB2312" w:hAnsi="仿宋_GB2312" w:eastAsia="仿宋_GB2312" w:cs="仿宋_GB2312"/>
                <w:color w:val="2D00C7"/>
                <w:sz w:val="24"/>
                <w:szCs w:val="24"/>
              </w:rPr>
              <w:t>需填写明细；</w:t>
            </w:r>
          </w:p>
          <w:p w14:paraId="334E71EF">
            <w:pPr>
              <w:keepNext w:val="0"/>
              <w:keepLines w:val="0"/>
              <w:pageBreakBefore w:val="0"/>
              <w:widowControl w:val="0"/>
              <w:kinsoku/>
              <w:wordWrap/>
              <w:overflowPunct/>
              <w:topLinePunct w:val="0"/>
              <w:autoSpaceDE w:val="0"/>
              <w:autoSpaceDN w:val="0"/>
              <w:bidi w:val="0"/>
              <w:adjustRightInd/>
              <w:snapToGrid w:val="0"/>
              <w:spacing w:beforeAutospacing="0" w:afterAutospacing="0" w:line="320" w:lineRule="exact"/>
              <w:ind w:left="0" w:leftChars="0" w:right="0" w:firstLine="1200" w:firstLineChars="500"/>
              <w:textAlignment w:val="auto"/>
              <w:rPr>
                <w:rFonts w:hint="eastAsia" w:ascii="仿宋_GB2312" w:hAnsi="仿宋_GB2312" w:eastAsia="仿宋_GB2312" w:cs="仿宋_GB2312"/>
                <w:color w:val="2D00C7"/>
                <w:sz w:val="24"/>
                <w:szCs w:val="24"/>
              </w:rPr>
            </w:pPr>
            <w:r>
              <w:rPr>
                <w:rFonts w:hint="eastAsia" w:ascii="仿宋_GB2312" w:hAnsi="仿宋_GB2312" w:eastAsia="仿宋_GB2312" w:cs="仿宋_GB2312"/>
                <w:color w:val="2D00C7"/>
                <w:sz w:val="24"/>
                <w:szCs w:val="24"/>
              </w:rPr>
              <w:t>2.资金来源：A.专项经费、B.自筹经费；</w:t>
            </w:r>
          </w:p>
          <w:p w14:paraId="4A36B0AC">
            <w:pPr>
              <w:keepNext w:val="0"/>
              <w:keepLines w:val="0"/>
              <w:pageBreakBefore w:val="0"/>
              <w:widowControl w:val="0"/>
              <w:kinsoku/>
              <w:wordWrap/>
              <w:overflowPunct/>
              <w:topLinePunct w:val="0"/>
              <w:autoSpaceDE w:val="0"/>
              <w:autoSpaceDN w:val="0"/>
              <w:bidi w:val="0"/>
              <w:adjustRightInd/>
              <w:snapToGrid w:val="0"/>
              <w:spacing w:beforeAutospacing="0" w:afterAutospacing="0" w:line="320" w:lineRule="exact"/>
              <w:ind w:left="0" w:leftChars="0" w:right="0" w:firstLine="1200" w:firstLineChars="500"/>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color w:val="2D00C7"/>
                <w:sz w:val="24"/>
                <w:szCs w:val="24"/>
              </w:rPr>
              <w:t>3.申请专项经费在20万元及以下时，毋须填写本表。</w:t>
            </w:r>
          </w:p>
        </w:tc>
      </w:tr>
      <w:tr w14:paraId="2594A770">
        <w:trPr>
          <w:trHeight w:val="687" w:hRule="atLeast"/>
          <w:jc w:val="center"/>
        </w:trPr>
        <w:tc>
          <w:tcPr>
            <w:tcW w:w="719" w:type="dxa"/>
            <w:vMerge w:val="restart"/>
            <w:tcBorders>
              <w:top w:val="single" w:color="auto" w:sz="4" w:space="0"/>
              <w:left w:val="single" w:color="auto" w:sz="8" w:space="0"/>
              <w:bottom w:val="single" w:color="000000" w:sz="8" w:space="0"/>
              <w:right w:val="single" w:color="auto" w:sz="4" w:space="0"/>
            </w:tcBorders>
            <w:shd w:val="clear" w:color="auto" w:fill="auto"/>
            <w:vAlign w:val="center"/>
          </w:tcPr>
          <w:p w14:paraId="33333282">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序号</w:t>
            </w:r>
          </w:p>
        </w:tc>
        <w:tc>
          <w:tcPr>
            <w:tcW w:w="2238" w:type="dxa"/>
            <w:tcBorders>
              <w:top w:val="nil"/>
              <w:left w:val="nil"/>
              <w:bottom w:val="single" w:color="auto" w:sz="4" w:space="0"/>
              <w:right w:val="single" w:color="auto" w:sz="4" w:space="0"/>
            </w:tcBorders>
            <w:shd w:val="clear" w:color="auto" w:fill="auto"/>
            <w:vAlign w:val="center"/>
          </w:tcPr>
          <w:p w14:paraId="21F9AC18">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设备名称</w:t>
            </w:r>
          </w:p>
        </w:tc>
        <w:tc>
          <w:tcPr>
            <w:tcW w:w="1661" w:type="dxa"/>
            <w:tcBorders>
              <w:top w:val="single" w:color="auto" w:sz="8" w:space="0"/>
              <w:left w:val="nil"/>
              <w:bottom w:val="single" w:color="auto" w:sz="4" w:space="0"/>
              <w:right w:val="single" w:color="auto" w:sz="4" w:space="0"/>
            </w:tcBorders>
            <w:shd w:val="clear" w:color="auto" w:fill="auto"/>
            <w:vAlign w:val="center"/>
          </w:tcPr>
          <w:p w14:paraId="0D32BDFA">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设备型号</w:t>
            </w:r>
          </w:p>
        </w:tc>
        <w:tc>
          <w:tcPr>
            <w:tcW w:w="2194" w:type="dxa"/>
            <w:tcBorders>
              <w:top w:val="single" w:color="auto" w:sz="8" w:space="0"/>
              <w:left w:val="nil"/>
              <w:bottom w:val="single" w:color="auto" w:sz="4" w:space="0"/>
              <w:right w:val="single" w:color="auto" w:sz="4" w:space="0"/>
            </w:tcBorders>
            <w:shd w:val="clear" w:color="auto" w:fill="auto"/>
            <w:vAlign w:val="center"/>
          </w:tcPr>
          <w:p w14:paraId="19B89BB9">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隶属单位</w:t>
            </w:r>
          </w:p>
        </w:tc>
        <w:tc>
          <w:tcPr>
            <w:tcW w:w="1693" w:type="dxa"/>
            <w:tcBorders>
              <w:top w:val="single" w:color="auto" w:sz="8" w:space="0"/>
              <w:left w:val="nil"/>
              <w:bottom w:val="single" w:color="auto" w:sz="4" w:space="0"/>
              <w:right w:val="single" w:color="auto" w:sz="4" w:space="0"/>
            </w:tcBorders>
            <w:shd w:val="clear" w:color="auto" w:fill="auto"/>
            <w:vAlign w:val="center"/>
          </w:tcPr>
          <w:p w14:paraId="7E776840">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单价</w:t>
            </w:r>
          </w:p>
          <w:p w14:paraId="791E1D8C">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（元/台件）</w:t>
            </w:r>
          </w:p>
        </w:tc>
        <w:tc>
          <w:tcPr>
            <w:tcW w:w="1843" w:type="dxa"/>
            <w:gridSpan w:val="2"/>
            <w:tcBorders>
              <w:top w:val="single" w:color="auto" w:sz="8" w:space="0"/>
              <w:left w:val="nil"/>
              <w:bottom w:val="single" w:color="auto" w:sz="4" w:space="0"/>
              <w:right w:val="single" w:color="auto" w:sz="4" w:space="0"/>
            </w:tcBorders>
            <w:shd w:val="clear" w:color="auto" w:fill="auto"/>
            <w:vAlign w:val="center"/>
          </w:tcPr>
          <w:p w14:paraId="23C14ED2">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数量</w:t>
            </w:r>
          </w:p>
          <w:p w14:paraId="3B146E8D">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（台件）</w:t>
            </w:r>
          </w:p>
        </w:tc>
        <w:tc>
          <w:tcPr>
            <w:tcW w:w="2874" w:type="dxa"/>
            <w:gridSpan w:val="2"/>
            <w:tcBorders>
              <w:top w:val="single" w:color="auto" w:sz="8" w:space="0"/>
              <w:left w:val="nil"/>
              <w:bottom w:val="single" w:color="auto" w:sz="4" w:space="0"/>
              <w:right w:val="single" w:color="auto" w:sz="4" w:space="0"/>
            </w:tcBorders>
            <w:shd w:val="clear" w:color="auto" w:fill="auto"/>
            <w:vAlign w:val="center"/>
          </w:tcPr>
          <w:p w14:paraId="330D5542">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设备改造（租赁）费</w:t>
            </w:r>
          </w:p>
        </w:tc>
        <w:tc>
          <w:tcPr>
            <w:tcW w:w="1326" w:type="dxa"/>
            <w:tcBorders>
              <w:top w:val="single" w:color="auto" w:sz="8" w:space="0"/>
              <w:left w:val="nil"/>
              <w:bottom w:val="single" w:color="auto" w:sz="4" w:space="0"/>
              <w:right w:val="single" w:color="auto" w:sz="4" w:space="0"/>
            </w:tcBorders>
            <w:shd w:val="clear" w:color="auto" w:fill="auto"/>
            <w:vAlign w:val="center"/>
          </w:tcPr>
          <w:p w14:paraId="2475D668">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资金来源</w:t>
            </w:r>
          </w:p>
        </w:tc>
        <w:tc>
          <w:tcPr>
            <w:tcW w:w="1243" w:type="dxa"/>
            <w:tcBorders>
              <w:top w:val="single" w:color="auto" w:sz="8" w:space="0"/>
              <w:left w:val="single" w:color="auto" w:sz="4" w:space="0"/>
              <w:bottom w:val="single" w:color="auto" w:sz="4" w:space="0"/>
              <w:right w:val="single" w:color="auto" w:sz="8" w:space="0"/>
            </w:tcBorders>
            <w:shd w:val="clear" w:color="auto" w:fill="auto"/>
            <w:vAlign w:val="center"/>
          </w:tcPr>
          <w:p w14:paraId="5CE71A48">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计算依据</w:t>
            </w:r>
          </w:p>
        </w:tc>
      </w:tr>
      <w:tr w14:paraId="3D50869B">
        <w:trPr>
          <w:trHeight w:val="672" w:hRule="atLeast"/>
          <w:jc w:val="center"/>
        </w:trPr>
        <w:tc>
          <w:tcPr>
            <w:tcW w:w="719" w:type="dxa"/>
            <w:vMerge w:val="continue"/>
            <w:tcBorders>
              <w:top w:val="nil"/>
              <w:left w:val="single" w:color="auto" w:sz="8" w:space="0"/>
              <w:bottom w:val="single" w:color="000000" w:sz="8" w:space="0"/>
              <w:right w:val="single" w:color="auto" w:sz="4" w:space="0"/>
            </w:tcBorders>
            <w:shd w:val="clear" w:color="auto" w:fill="auto"/>
            <w:vAlign w:val="center"/>
          </w:tcPr>
          <w:p w14:paraId="547783BB">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left"/>
              <w:textAlignment w:val="auto"/>
              <w:rPr>
                <w:rFonts w:hint="eastAsia" w:ascii="仿宋_GB2312" w:hAnsi="仿宋_GB2312" w:eastAsia="仿宋_GB2312" w:cs="仿宋_GB2312"/>
                <w:kern w:val="0"/>
                <w:sz w:val="24"/>
                <w:szCs w:val="24"/>
              </w:rPr>
            </w:pPr>
          </w:p>
        </w:tc>
        <w:tc>
          <w:tcPr>
            <w:tcW w:w="2238" w:type="dxa"/>
            <w:tcBorders>
              <w:top w:val="nil"/>
              <w:left w:val="nil"/>
              <w:bottom w:val="single" w:color="auto" w:sz="8" w:space="0"/>
              <w:right w:val="single" w:color="auto" w:sz="4" w:space="0"/>
            </w:tcBorders>
            <w:shd w:val="clear" w:color="auto" w:fill="auto"/>
            <w:vAlign w:val="center"/>
          </w:tcPr>
          <w:p w14:paraId="3A3C7AED">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（1）</w:t>
            </w:r>
          </w:p>
        </w:tc>
        <w:tc>
          <w:tcPr>
            <w:tcW w:w="1661" w:type="dxa"/>
            <w:tcBorders>
              <w:top w:val="nil"/>
              <w:left w:val="nil"/>
              <w:bottom w:val="single" w:color="auto" w:sz="8" w:space="0"/>
              <w:right w:val="single" w:color="auto" w:sz="4" w:space="0"/>
            </w:tcBorders>
            <w:shd w:val="clear" w:color="auto" w:fill="auto"/>
            <w:vAlign w:val="center"/>
          </w:tcPr>
          <w:p w14:paraId="67F3CD89">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（2）</w:t>
            </w:r>
          </w:p>
        </w:tc>
        <w:tc>
          <w:tcPr>
            <w:tcW w:w="2194" w:type="dxa"/>
            <w:tcBorders>
              <w:top w:val="nil"/>
              <w:left w:val="nil"/>
              <w:bottom w:val="single" w:color="auto" w:sz="8" w:space="0"/>
              <w:right w:val="single" w:color="auto" w:sz="4" w:space="0"/>
            </w:tcBorders>
            <w:shd w:val="clear" w:color="auto" w:fill="auto"/>
            <w:vAlign w:val="center"/>
          </w:tcPr>
          <w:p w14:paraId="5160B49F">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（3）</w:t>
            </w:r>
          </w:p>
        </w:tc>
        <w:tc>
          <w:tcPr>
            <w:tcW w:w="1693" w:type="dxa"/>
            <w:tcBorders>
              <w:top w:val="nil"/>
              <w:left w:val="nil"/>
              <w:bottom w:val="single" w:color="auto" w:sz="8" w:space="0"/>
              <w:right w:val="single" w:color="auto" w:sz="4" w:space="0"/>
            </w:tcBorders>
            <w:shd w:val="clear" w:color="auto" w:fill="auto"/>
            <w:vAlign w:val="center"/>
          </w:tcPr>
          <w:p w14:paraId="030544B3">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（4）</w:t>
            </w:r>
          </w:p>
        </w:tc>
        <w:tc>
          <w:tcPr>
            <w:tcW w:w="1843" w:type="dxa"/>
            <w:gridSpan w:val="2"/>
            <w:tcBorders>
              <w:top w:val="nil"/>
              <w:left w:val="nil"/>
              <w:bottom w:val="single" w:color="auto" w:sz="8" w:space="0"/>
              <w:right w:val="single" w:color="auto" w:sz="4" w:space="0"/>
            </w:tcBorders>
            <w:shd w:val="clear" w:color="auto" w:fill="auto"/>
            <w:vAlign w:val="center"/>
          </w:tcPr>
          <w:p w14:paraId="41405156">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（5）</w:t>
            </w:r>
          </w:p>
        </w:tc>
        <w:tc>
          <w:tcPr>
            <w:tcW w:w="2874" w:type="dxa"/>
            <w:gridSpan w:val="2"/>
            <w:tcBorders>
              <w:top w:val="nil"/>
              <w:left w:val="nil"/>
              <w:bottom w:val="single" w:color="auto" w:sz="8" w:space="0"/>
              <w:right w:val="single" w:color="auto" w:sz="4" w:space="0"/>
            </w:tcBorders>
            <w:shd w:val="clear" w:color="auto" w:fill="auto"/>
            <w:vAlign w:val="center"/>
          </w:tcPr>
          <w:p w14:paraId="51CC1B2A">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（6）=（4）×（5）/1000</w:t>
            </w:r>
          </w:p>
        </w:tc>
        <w:tc>
          <w:tcPr>
            <w:tcW w:w="1326" w:type="dxa"/>
            <w:tcBorders>
              <w:top w:val="nil"/>
              <w:left w:val="nil"/>
              <w:bottom w:val="single" w:color="auto" w:sz="8" w:space="0"/>
              <w:right w:val="single" w:color="auto" w:sz="4" w:space="0"/>
            </w:tcBorders>
            <w:shd w:val="clear" w:color="auto" w:fill="auto"/>
            <w:vAlign w:val="center"/>
          </w:tcPr>
          <w:p w14:paraId="5300950F">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（7）</w:t>
            </w:r>
          </w:p>
        </w:tc>
        <w:tc>
          <w:tcPr>
            <w:tcW w:w="1243" w:type="dxa"/>
            <w:tcBorders>
              <w:top w:val="nil"/>
              <w:left w:val="single" w:color="auto" w:sz="4" w:space="0"/>
              <w:bottom w:val="single" w:color="auto" w:sz="8" w:space="0"/>
              <w:right w:val="single" w:color="auto" w:sz="8" w:space="0"/>
            </w:tcBorders>
            <w:shd w:val="clear" w:color="auto" w:fill="auto"/>
            <w:vAlign w:val="center"/>
          </w:tcPr>
          <w:p w14:paraId="11C28E5B">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（8）</w:t>
            </w:r>
          </w:p>
        </w:tc>
      </w:tr>
      <w:tr w14:paraId="7C136B01">
        <w:trPr>
          <w:trHeight w:val="531" w:hRule="atLeast"/>
          <w:jc w:val="center"/>
        </w:trPr>
        <w:tc>
          <w:tcPr>
            <w:tcW w:w="719" w:type="dxa"/>
            <w:tcBorders>
              <w:top w:val="nil"/>
              <w:left w:val="single" w:color="auto" w:sz="8" w:space="0"/>
              <w:bottom w:val="single" w:color="auto" w:sz="4" w:space="0"/>
              <w:right w:val="single" w:color="auto" w:sz="4" w:space="0"/>
            </w:tcBorders>
            <w:shd w:val="clear" w:color="auto" w:fill="auto"/>
            <w:vAlign w:val="center"/>
          </w:tcPr>
          <w:p w14:paraId="114E84DE">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lef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2238" w:type="dxa"/>
            <w:tcBorders>
              <w:top w:val="nil"/>
              <w:left w:val="nil"/>
              <w:bottom w:val="single" w:color="auto" w:sz="4" w:space="0"/>
              <w:right w:val="single" w:color="auto" w:sz="4" w:space="0"/>
            </w:tcBorders>
            <w:shd w:val="clear" w:color="auto" w:fill="auto"/>
            <w:vAlign w:val="center"/>
          </w:tcPr>
          <w:p w14:paraId="00124BE5">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lef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1661" w:type="dxa"/>
            <w:tcBorders>
              <w:top w:val="nil"/>
              <w:left w:val="nil"/>
              <w:bottom w:val="single" w:color="auto" w:sz="4" w:space="0"/>
              <w:right w:val="single" w:color="auto" w:sz="4" w:space="0"/>
            </w:tcBorders>
            <w:shd w:val="clear" w:color="auto" w:fill="auto"/>
            <w:vAlign w:val="center"/>
          </w:tcPr>
          <w:p w14:paraId="5E13D911">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lef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2194" w:type="dxa"/>
            <w:tcBorders>
              <w:top w:val="nil"/>
              <w:left w:val="nil"/>
              <w:bottom w:val="single" w:color="auto" w:sz="4" w:space="0"/>
              <w:right w:val="single" w:color="auto" w:sz="4" w:space="0"/>
            </w:tcBorders>
            <w:shd w:val="clear" w:color="auto" w:fill="auto"/>
            <w:vAlign w:val="center"/>
          </w:tcPr>
          <w:p w14:paraId="5E3392DC">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lef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1693" w:type="dxa"/>
            <w:tcBorders>
              <w:top w:val="nil"/>
              <w:left w:val="nil"/>
              <w:bottom w:val="single" w:color="auto" w:sz="4" w:space="0"/>
              <w:right w:val="single" w:color="auto" w:sz="4" w:space="0"/>
            </w:tcBorders>
            <w:shd w:val="clear" w:color="auto" w:fill="auto"/>
            <w:vAlign w:val="center"/>
          </w:tcPr>
          <w:p w14:paraId="2FAAE26E">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righ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1843" w:type="dxa"/>
            <w:gridSpan w:val="2"/>
            <w:tcBorders>
              <w:top w:val="nil"/>
              <w:left w:val="nil"/>
              <w:bottom w:val="single" w:color="auto" w:sz="4" w:space="0"/>
              <w:right w:val="single" w:color="auto" w:sz="4" w:space="0"/>
            </w:tcBorders>
            <w:shd w:val="clear" w:color="auto" w:fill="auto"/>
            <w:vAlign w:val="center"/>
          </w:tcPr>
          <w:p w14:paraId="7A3A6076">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righ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2874" w:type="dxa"/>
            <w:gridSpan w:val="2"/>
            <w:tcBorders>
              <w:top w:val="nil"/>
              <w:left w:val="nil"/>
              <w:bottom w:val="single" w:color="auto" w:sz="4" w:space="0"/>
              <w:right w:val="single" w:color="auto" w:sz="4" w:space="0"/>
            </w:tcBorders>
            <w:shd w:val="clear" w:color="auto" w:fill="auto"/>
            <w:vAlign w:val="center"/>
          </w:tcPr>
          <w:p w14:paraId="1666ADCD">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righ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1326" w:type="dxa"/>
            <w:tcBorders>
              <w:top w:val="nil"/>
              <w:left w:val="nil"/>
              <w:bottom w:val="single" w:color="auto" w:sz="4" w:space="0"/>
              <w:right w:val="single" w:color="auto" w:sz="4" w:space="0"/>
            </w:tcBorders>
            <w:shd w:val="clear" w:color="auto" w:fill="auto"/>
            <w:vAlign w:val="center"/>
          </w:tcPr>
          <w:p w14:paraId="60322753">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right"/>
              <w:textAlignment w:val="auto"/>
              <w:rPr>
                <w:rFonts w:hint="eastAsia" w:ascii="仿宋_GB2312" w:hAnsi="仿宋_GB2312" w:eastAsia="仿宋_GB2312" w:cs="仿宋_GB2312"/>
                <w:kern w:val="0"/>
                <w:sz w:val="24"/>
                <w:szCs w:val="24"/>
              </w:rPr>
            </w:pPr>
          </w:p>
        </w:tc>
        <w:tc>
          <w:tcPr>
            <w:tcW w:w="1243" w:type="dxa"/>
            <w:tcBorders>
              <w:top w:val="nil"/>
              <w:left w:val="single" w:color="auto" w:sz="4" w:space="0"/>
              <w:bottom w:val="single" w:color="auto" w:sz="4" w:space="0"/>
              <w:right w:val="single" w:color="auto" w:sz="8" w:space="0"/>
            </w:tcBorders>
            <w:shd w:val="clear" w:color="auto" w:fill="auto"/>
            <w:vAlign w:val="center"/>
          </w:tcPr>
          <w:p w14:paraId="13792D31">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jc w:val="righ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r>
      <w:tr w14:paraId="18E639A7">
        <w:trPr>
          <w:trHeight w:val="531" w:hRule="atLeast"/>
          <w:jc w:val="center"/>
        </w:trPr>
        <w:tc>
          <w:tcPr>
            <w:tcW w:w="719" w:type="dxa"/>
            <w:tcBorders>
              <w:top w:val="nil"/>
              <w:left w:val="single" w:color="auto" w:sz="8" w:space="0"/>
              <w:bottom w:val="single" w:color="auto" w:sz="4" w:space="0"/>
              <w:right w:val="single" w:color="auto" w:sz="4" w:space="0"/>
            </w:tcBorders>
            <w:shd w:val="clear" w:color="auto" w:fill="auto"/>
            <w:vAlign w:val="center"/>
          </w:tcPr>
          <w:p w14:paraId="5CEB4683">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lef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2238" w:type="dxa"/>
            <w:tcBorders>
              <w:top w:val="nil"/>
              <w:left w:val="nil"/>
              <w:bottom w:val="single" w:color="auto" w:sz="4" w:space="0"/>
              <w:right w:val="single" w:color="auto" w:sz="4" w:space="0"/>
            </w:tcBorders>
            <w:shd w:val="clear" w:color="auto" w:fill="auto"/>
            <w:vAlign w:val="center"/>
          </w:tcPr>
          <w:p w14:paraId="2F2EA9C2">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lef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1661" w:type="dxa"/>
            <w:tcBorders>
              <w:top w:val="nil"/>
              <w:left w:val="nil"/>
              <w:bottom w:val="single" w:color="auto" w:sz="4" w:space="0"/>
              <w:right w:val="single" w:color="auto" w:sz="4" w:space="0"/>
            </w:tcBorders>
            <w:shd w:val="clear" w:color="auto" w:fill="auto"/>
            <w:vAlign w:val="center"/>
          </w:tcPr>
          <w:p w14:paraId="5FD953FA">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lef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2194" w:type="dxa"/>
            <w:tcBorders>
              <w:top w:val="nil"/>
              <w:left w:val="nil"/>
              <w:bottom w:val="single" w:color="auto" w:sz="4" w:space="0"/>
              <w:right w:val="single" w:color="auto" w:sz="4" w:space="0"/>
            </w:tcBorders>
            <w:shd w:val="clear" w:color="auto" w:fill="auto"/>
            <w:vAlign w:val="center"/>
          </w:tcPr>
          <w:p w14:paraId="63987CCE">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lef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1693" w:type="dxa"/>
            <w:tcBorders>
              <w:top w:val="nil"/>
              <w:left w:val="nil"/>
              <w:bottom w:val="single" w:color="auto" w:sz="4" w:space="0"/>
              <w:right w:val="single" w:color="auto" w:sz="4" w:space="0"/>
            </w:tcBorders>
            <w:shd w:val="clear" w:color="auto" w:fill="auto"/>
            <w:vAlign w:val="center"/>
          </w:tcPr>
          <w:p w14:paraId="6F8B28B9">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righ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1843" w:type="dxa"/>
            <w:gridSpan w:val="2"/>
            <w:tcBorders>
              <w:top w:val="nil"/>
              <w:left w:val="nil"/>
              <w:bottom w:val="single" w:color="auto" w:sz="4" w:space="0"/>
              <w:right w:val="single" w:color="auto" w:sz="4" w:space="0"/>
            </w:tcBorders>
            <w:shd w:val="clear" w:color="auto" w:fill="auto"/>
            <w:vAlign w:val="center"/>
          </w:tcPr>
          <w:p w14:paraId="4C57CF99">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righ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2874" w:type="dxa"/>
            <w:gridSpan w:val="2"/>
            <w:tcBorders>
              <w:top w:val="nil"/>
              <w:left w:val="nil"/>
              <w:bottom w:val="single" w:color="auto" w:sz="4" w:space="0"/>
              <w:right w:val="single" w:color="auto" w:sz="4" w:space="0"/>
            </w:tcBorders>
            <w:shd w:val="clear" w:color="auto" w:fill="auto"/>
            <w:vAlign w:val="center"/>
          </w:tcPr>
          <w:p w14:paraId="72D39CA0">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righ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1326" w:type="dxa"/>
            <w:tcBorders>
              <w:top w:val="nil"/>
              <w:left w:val="nil"/>
              <w:bottom w:val="single" w:color="auto" w:sz="4" w:space="0"/>
              <w:right w:val="single" w:color="auto" w:sz="4" w:space="0"/>
            </w:tcBorders>
            <w:shd w:val="clear" w:color="auto" w:fill="auto"/>
            <w:vAlign w:val="center"/>
          </w:tcPr>
          <w:p w14:paraId="2A7F3EFF">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right"/>
              <w:textAlignment w:val="auto"/>
              <w:rPr>
                <w:rFonts w:hint="eastAsia" w:ascii="仿宋_GB2312" w:hAnsi="仿宋_GB2312" w:eastAsia="仿宋_GB2312" w:cs="仿宋_GB2312"/>
                <w:kern w:val="0"/>
                <w:sz w:val="24"/>
                <w:szCs w:val="24"/>
              </w:rPr>
            </w:pPr>
          </w:p>
        </w:tc>
        <w:tc>
          <w:tcPr>
            <w:tcW w:w="1243" w:type="dxa"/>
            <w:tcBorders>
              <w:top w:val="nil"/>
              <w:left w:val="single" w:color="auto" w:sz="4" w:space="0"/>
              <w:bottom w:val="single" w:color="auto" w:sz="4" w:space="0"/>
              <w:right w:val="single" w:color="auto" w:sz="8" w:space="0"/>
            </w:tcBorders>
            <w:shd w:val="clear" w:color="auto" w:fill="auto"/>
            <w:vAlign w:val="center"/>
          </w:tcPr>
          <w:p w14:paraId="66AC8A62">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jc w:val="righ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r>
      <w:tr w14:paraId="3B924AB8">
        <w:trPr>
          <w:trHeight w:val="531" w:hRule="atLeast"/>
          <w:jc w:val="center"/>
        </w:trPr>
        <w:tc>
          <w:tcPr>
            <w:tcW w:w="719" w:type="dxa"/>
            <w:tcBorders>
              <w:top w:val="nil"/>
              <w:left w:val="single" w:color="auto" w:sz="8" w:space="0"/>
              <w:bottom w:val="single" w:color="auto" w:sz="4" w:space="0"/>
              <w:right w:val="single" w:color="auto" w:sz="4" w:space="0"/>
            </w:tcBorders>
            <w:shd w:val="clear" w:color="auto" w:fill="auto"/>
            <w:vAlign w:val="center"/>
          </w:tcPr>
          <w:p w14:paraId="4B7314EC">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lef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2238" w:type="dxa"/>
            <w:tcBorders>
              <w:top w:val="nil"/>
              <w:left w:val="nil"/>
              <w:bottom w:val="single" w:color="auto" w:sz="4" w:space="0"/>
              <w:right w:val="single" w:color="auto" w:sz="4" w:space="0"/>
            </w:tcBorders>
            <w:shd w:val="clear" w:color="auto" w:fill="auto"/>
            <w:vAlign w:val="center"/>
          </w:tcPr>
          <w:p w14:paraId="57AE82CA">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lef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1661" w:type="dxa"/>
            <w:tcBorders>
              <w:top w:val="nil"/>
              <w:left w:val="nil"/>
              <w:bottom w:val="single" w:color="auto" w:sz="4" w:space="0"/>
              <w:right w:val="single" w:color="auto" w:sz="4" w:space="0"/>
            </w:tcBorders>
            <w:shd w:val="clear" w:color="auto" w:fill="auto"/>
            <w:vAlign w:val="center"/>
          </w:tcPr>
          <w:p w14:paraId="6C1431D5">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lef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2194" w:type="dxa"/>
            <w:tcBorders>
              <w:top w:val="nil"/>
              <w:left w:val="nil"/>
              <w:bottom w:val="single" w:color="auto" w:sz="4" w:space="0"/>
              <w:right w:val="single" w:color="auto" w:sz="4" w:space="0"/>
            </w:tcBorders>
            <w:shd w:val="clear" w:color="auto" w:fill="auto"/>
            <w:vAlign w:val="center"/>
          </w:tcPr>
          <w:p w14:paraId="2896E251">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lef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1693" w:type="dxa"/>
            <w:tcBorders>
              <w:top w:val="nil"/>
              <w:left w:val="nil"/>
              <w:bottom w:val="single" w:color="auto" w:sz="4" w:space="0"/>
              <w:right w:val="single" w:color="auto" w:sz="4" w:space="0"/>
            </w:tcBorders>
            <w:shd w:val="clear" w:color="auto" w:fill="auto"/>
            <w:vAlign w:val="center"/>
          </w:tcPr>
          <w:p w14:paraId="316A0D72">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righ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1843" w:type="dxa"/>
            <w:gridSpan w:val="2"/>
            <w:tcBorders>
              <w:top w:val="nil"/>
              <w:left w:val="nil"/>
              <w:bottom w:val="single" w:color="auto" w:sz="4" w:space="0"/>
              <w:right w:val="single" w:color="auto" w:sz="4" w:space="0"/>
            </w:tcBorders>
            <w:shd w:val="clear" w:color="auto" w:fill="auto"/>
            <w:vAlign w:val="center"/>
          </w:tcPr>
          <w:p w14:paraId="45F98DB4">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righ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2874" w:type="dxa"/>
            <w:gridSpan w:val="2"/>
            <w:tcBorders>
              <w:top w:val="nil"/>
              <w:left w:val="nil"/>
              <w:bottom w:val="single" w:color="auto" w:sz="4" w:space="0"/>
              <w:right w:val="single" w:color="auto" w:sz="4" w:space="0"/>
            </w:tcBorders>
            <w:shd w:val="clear" w:color="auto" w:fill="auto"/>
            <w:vAlign w:val="center"/>
          </w:tcPr>
          <w:p w14:paraId="650150B5">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righ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1326" w:type="dxa"/>
            <w:tcBorders>
              <w:top w:val="nil"/>
              <w:left w:val="nil"/>
              <w:bottom w:val="single" w:color="auto" w:sz="4" w:space="0"/>
              <w:right w:val="single" w:color="auto" w:sz="4" w:space="0"/>
            </w:tcBorders>
            <w:shd w:val="clear" w:color="auto" w:fill="auto"/>
            <w:vAlign w:val="center"/>
          </w:tcPr>
          <w:p w14:paraId="3BFC82EC">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right"/>
              <w:textAlignment w:val="auto"/>
              <w:rPr>
                <w:rFonts w:hint="eastAsia" w:ascii="仿宋_GB2312" w:hAnsi="仿宋_GB2312" w:eastAsia="仿宋_GB2312" w:cs="仿宋_GB2312"/>
                <w:kern w:val="0"/>
                <w:sz w:val="24"/>
                <w:szCs w:val="24"/>
              </w:rPr>
            </w:pPr>
          </w:p>
        </w:tc>
        <w:tc>
          <w:tcPr>
            <w:tcW w:w="1243" w:type="dxa"/>
            <w:tcBorders>
              <w:top w:val="nil"/>
              <w:left w:val="single" w:color="auto" w:sz="4" w:space="0"/>
              <w:bottom w:val="single" w:color="auto" w:sz="4" w:space="0"/>
              <w:right w:val="single" w:color="auto" w:sz="8" w:space="0"/>
            </w:tcBorders>
            <w:shd w:val="clear" w:color="auto" w:fill="auto"/>
            <w:vAlign w:val="center"/>
          </w:tcPr>
          <w:p w14:paraId="68A12019">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jc w:val="righ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r>
      <w:tr w14:paraId="74B41528">
        <w:trPr>
          <w:trHeight w:val="531" w:hRule="atLeast"/>
          <w:jc w:val="center"/>
        </w:trPr>
        <w:tc>
          <w:tcPr>
            <w:tcW w:w="719" w:type="dxa"/>
            <w:tcBorders>
              <w:top w:val="nil"/>
              <w:left w:val="single" w:color="auto" w:sz="8" w:space="0"/>
              <w:bottom w:val="single" w:color="auto" w:sz="8" w:space="0"/>
              <w:right w:val="single" w:color="auto" w:sz="4" w:space="0"/>
            </w:tcBorders>
            <w:shd w:val="clear" w:color="auto" w:fill="auto"/>
            <w:vAlign w:val="center"/>
          </w:tcPr>
          <w:p w14:paraId="07E4481C">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lef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2238" w:type="dxa"/>
            <w:tcBorders>
              <w:top w:val="nil"/>
              <w:left w:val="nil"/>
              <w:bottom w:val="single" w:color="auto" w:sz="8" w:space="0"/>
              <w:right w:val="single" w:color="auto" w:sz="4" w:space="0"/>
            </w:tcBorders>
            <w:shd w:val="clear" w:color="auto" w:fill="auto"/>
            <w:vAlign w:val="center"/>
          </w:tcPr>
          <w:p w14:paraId="378E70BF">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lef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1661" w:type="dxa"/>
            <w:tcBorders>
              <w:top w:val="nil"/>
              <w:left w:val="nil"/>
              <w:bottom w:val="single" w:color="auto" w:sz="8" w:space="0"/>
              <w:right w:val="single" w:color="auto" w:sz="4" w:space="0"/>
            </w:tcBorders>
            <w:shd w:val="clear" w:color="auto" w:fill="auto"/>
            <w:vAlign w:val="center"/>
          </w:tcPr>
          <w:p w14:paraId="640CE417">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lef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2194" w:type="dxa"/>
            <w:tcBorders>
              <w:top w:val="nil"/>
              <w:left w:val="nil"/>
              <w:bottom w:val="single" w:color="auto" w:sz="8" w:space="0"/>
              <w:right w:val="single" w:color="auto" w:sz="4" w:space="0"/>
            </w:tcBorders>
            <w:shd w:val="clear" w:color="auto" w:fill="auto"/>
            <w:vAlign w:val="center"/>
          </w:tcPr>
          <w:p w14:paraId="65912A03">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lef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1693" w:type="dxa"/>
            <w:tcBorders>
              <w:top w:val="nil"/>
              <w:left w:val="nil"/>
              <w:bottom w:val="single" w:color="auto" w:sz="8" w:space="0"/>
              <w:right w:val="single" w:color="auto" w:sz="4" w:space="0"/>
            </w:tcBorders>
            <w:shd w:val="clear" w:color="auto" w:fill="auto"/>
            <w:vAlign w:val="center"/>
          </w:tcPr>
          <w:p w14:paraId="2C817905">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righ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1843" w:type="dxa"/>
            <w:gridSpan w:val="2"/>
            <w:tcBorders>
              <w:top w:val="nil"/>
              <w:left w:val="nil"/>
              <w:bottom w:val="single" w:color="auto" w:sz="8" w:space="0"/>
              <w:right w:val="single" w:color="auto" w:sz="4" w:space="0"/>
            </w:tcBorders>
            <w:shd w:val="clear" w:color="auto" w:fill="auto"/>
            <w:vAlign w:val="center"/>
          </w:tcPr>
          <w:p w14:paraId="21624983">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righ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2874" w:type="dxa"/>
            <w:gridSpan w:val="2"/>
            <w:tcBorders>
              <w:top w:val="nil"/>
              <w:left w:val="nil"/>
              <w:bottom w:val="single" w:color="auto" w:sz="8" w:space="0"/>
              <w:right w:val="single" w:color="auto" w:sz="4" w:space="0"/>
            </w:tcBorders>
            <w:shd w:val="clear" w:color="auto" w:fill="auto"/>
            <w:vAlign w:val="center"/>
          </w:tcPr>
          <w:p w14:paraId="573595EA">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righ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1326" w:type="dxa"/>
            <w:tcBorders>
              <w:top w:val="nil"/>
              <w:left w:val="nil"/>
              <w:bottom w:val="single" w:color="auto" w:sz="8" w:space="0"/>
              <w:right w:val="single" w:color="auto" w:sz="4" w:space="0"/>
            </w:tcBorders>
            <w:shd w:val="clear" w:color="auto" w:fill="auto"/>
            <w:vAlign w:val="center"/>
          </w:tcPr>
          <w:p w14:paraId="41DC6CD5">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right"/>
              <w:textAlignment w:val="auto"/>
              <w:rPr>
                <w:rFonts w:hint="eastAsia" w:ascii="仿宋_GB2312" w:hAnsi="仿宋_GB2312" w:eastAsia="仿宋_GB2312" w:cs="仿宋_GB2312"/>
                <w:kern w:val="0"/>
                <w:sz w:val="24"/>
                <w:szCs w:val="24"/>
              </w:rPr>
            </w:pPr>
          </w:p>
        </w:tc>
        <w:tc>
          <w:tcPr>
            <w:tcW w:w="1243" w:type="dxa"/>
            <w:tcBorders>
              <w:top w:val="nil"/>
              <w:left w:val="single" w:color="auto" w:sz="4" w:space="0"/>
              <w:bottom w:val="single" w:color="auto" w:sz="8" w:space="0"/>
              <w:right w:val="single" w:color="auto" w:sz="8" w:space="0"/>
            </w:tcBorders>
            <w:shd w:val="clear" w:color="auto" w:fill="auto"/>
            <w:vAlign w:val="center"/>
          </w:tcPr>
          <w:p w14:paraId="67FA34BB">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jc w:val="righ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r>
      <w:tr w14:paraId="495DAD8A">
        <w:trPr>
          <w:trHeight w:val="531" w:hRule="atLeast"/>
          <w:jc w:val="center"/>
        </w:trPr>
        <w:tc>
          <w:tcPr>
            <w:tcW w:w="10348" w:type="dxa"/>
            <w:gridSpan w:val="7"/>
            <w:tcBorders>
              <w:top w:val="nil"/>
              <w:left w:val="single" w:color="auto" w:sz="8" w:space="0"/>
              <w:bottom w:val="single" w:color="auto" w:sz="8" w:space="0"/>
              <w:right w:val="single" w:color="auto" w:sz="4" w:space="0"/>
            </w:tcBorders>
            <w:shd w:val="clear" w:color="auto" w:fill="auto"/>
            <w:vAlign w:val="center"/>
          </w:tcPr>
          <w:p w14:paraId="350C5CAE">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累计</w:t>
            </w:r>
          </w:p>
        </w:tc>
        <w:tc>
          <w:tcPr>
            <w:tcW w:w="2874" w:type="dxa"/>
            <w:gridSpan w:val="2"/>
            <w:tcBorders>
              <w:top w:val="nil"/>
              <w:left w:val="nil"/>
              <w:bottom w:val="single" w:color="auto" w:sz="8" w:space="0"/>
              <w:right w:val="single" w:color="auto" w:sz="4" w:space="0"/>
            </w:tcBorders>
            <w:shd w:val="clear" w:color="auto" w:fill="auto"/>
            <w:vAlign w:val="center"/>
          </w:tcPr>
          <w:p w14:paraId="1F4864E1">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right"/>
              <w:textAlignment w:val="auto"/>
              <w:rPr>
                <w:rFonts w:hint="eastAsia" w:ascii="仿宋_GB2312" w:hAnsi="仿宋_GB2312" w:eastAsia="仿宋_GB2312" w:cs="仿宋_GB2312"/>
                <w:kern w:val="0"/>
                <w:sz w:val="24"/>
                <w:szCs w:val="24"/>
              </w:rPr>
            </w:pPr>
          </w:p>
        </w:tc>
        <w:tc>
          <w:tcPr>
            <w:tcW w:w="1326" w:type="dxa"/>
            <w:tcBorders>
              <w:top w:val="nil"/>
              <w:left w:val="nil"/>
              <w:bottom w:val="single" w:color="auto" w:sz="8" w:space="0"/>
              <w:right w:val="single" w:color="auto" w:sz="4" w:space="0"/>
            </w:tcBorders>
            <w:shd w:val="clear" w:color="auto" w:fill="auto"/>
            <w:vAlign w:val="center"/>
          </w:tcPr>
          <w:p w14:paraId="6628813B">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right"/>
              <w:textAlignment w:val="auto"/>
              <w:rPr>
                <w:rFonts w:hint="eastAsia" w:ascii="仿宋_GB2312" w:hAnsi="仿宋_GB2312" w:eastAsia="仿宋_GB2312" w:cs="仿宋_GB2312"/>
                <w:kern w:val="0"/>
                <w:sz w:val="24"/>
                <w:szCs w:val="24"/>
              </w:rPr>
            </w:pPr>
          </w:p>
        </w:tc>
        <w:tc>
          <w:tcPr>
            <w:tcW w:w="1243" w:type="dxa"/>
            <w:tcBorders>
              <w:top w:val="nil"/>
              <w:left w:val="nil"/>
              <w:bottom w:val="single" w:color="auto" w:sz="8" w:space="0"/>
              <w:right w:val="single" w:color="auto" w:sz="4" w:space="0"/>
            </w:tcBorders>
            <w:shd w:val="clear" w:color="auto" w:fill="auto"/>
            <w:vAlign w:val="center"/>
          </w:tcPr>
          <w:p w14:paraId="27912258">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right"/>
              <w:textAlignment w:val="auto"/>
              <w:rPr>
                <w:rFonts w:hint="eastAsia" w:ascii="仿宋_GB2312" w:hAnsi="仿宋_GB2312" w:eastAsia="仿宋_GB2312" w:cs="仿宋_GB2312"/>
                <w:kern w:val="0"/>
                <w:sz w:val="24"/>
                <w:szCs w:val="24"/>
              </w:rPr>
            </w:pPr>
          </w:p>
        </w:tc>
      </w:tr>
    </w:tbl>
    <w:p w14:paraId="24D0E77D">
      <w:pPr>
        <w:pageBreakBefore w:val="0"/>
        <w:kinsoku/>
        <w:wordWrap/>
        <w:overflowPunct/>
        <w:topLinePunct w:val="0"/>
        <w:autoSpaceDE w:val="0"/>
        <w:autoSpaceDN w:val="0"/>
        <w:bidi w:val="0"/>
        <w:adjustRightInd/>
        <w:spacing w:line="560" w:lineRule="exact"/>
        <w:ind w:left="0" w:firstLine="0" w:firstLineChars="0"/>
        <w:textAlignment w:val="auto"/>
        <w:rPr>
          <w:rFonts w:hint="eastAsia" w:cs="Times New Roman"/>
        </w:rPr>
      </w:pPr>
      <w:r>
        <w:rPr>
          <w:rFonts w:hint="eastAsia" w:cs="Times New Roman"/>
        </w:rPr>
        <w:br w:type="page"/>
      </w:r>
    </w:p>
    <w:p w14:paraId="502D11D3">
      <w:pPr>
        <w:pageBreakBefore w:val="0"/>
        <w:widowControl w:val="0"/>
        <w:kinsoku/>
        <w:overflowPunct/>
        <w:topLinePunct w:val="0"/>
        <w:autoSpaceDE w:val="0"/>
        <w:autoSpaceDN w:val="0"/>
        <w:bidi w:val="0"/>
        <w:adjustRightInd/>
        <w:spacing w:line="560" w:lineRule="exact"/>
        <w:ind w:left="0" w:leftChars="0" w:firstLine="0" w:firstLineChars="0"/>
        <w:jc w:val="both"/>
        <w:textAlignment w:val="auto"/>
        <w:outlineLvl w:val="0"/>
        <w:rPr>
          <w:rFonts w:hint="eastAsia" w:ascii="黑体" w:hAnsi="黑体" w:eastAsia="黑体" w:cs="Times New Roman"/>
          <w:kern w:val="2"/>
          <w:sz w:val="32"/>
          <w:szCs w:val="24"/>
          <w:lang w:val="en-US" w:eastAsia="zh-CN" w:bidi="ar-SA"/>
        </w:rPr>
      </w:pPr>
      <w:r>
        <w:rPr>
          <w:rFonts w:hint="eastAsia" w:ascii="黑体" w:hAnsi="黑体" w:eastAsia="黑体" w:cs="Times New Roman"/>
          <w:kern w:val="2"/>
          <w:sz w:val="32"/>
          <w:szCs w:val="24"/>
          <w:lang w:val="en-US" w:eastAsia="zh-CN" w:bidi="ar-SA"/>
        </w:rPr>
        <w:t>附表5 材料费预算明细表</w:t>
      </w:r>
    </w:p>
    <w:tbl>
      <w:tblPr>
        <w:tblStyle w:val="18"/>
        <w:tblW w:w="14880" w:type="dxa"/>
        <w:jc w:val="center"/>
        <w:tblLayout w:type="fixed"/>
        <w:tblCellMar>
          <w:top w:w="0" w:type="dxa"/>
          <w:left w:w="108" w:type="dxa"/>
          <w:bottom w:w="0" w:type="dxa"/>
          <w:right w:w="108" w:type="dxa"/>
        </w:tblCellMar>
      </w:tblPr>
      <w:tblGrid>
        <w:gridCol w:w="710"/>
        <w:gridCol w:w="3437"/>
        <w:gridCol w:w="1264"/>
        <w:gridCol w:w="1243"/>
        <w:gridCol w:w="2353"/>
        <w:gridCol w:w="2556"/>
        <w:gridCol w:w="1667"/>
        <w:gridCol w:w="1650"/>
      </w:tblGrid>
      <w:tr w14:paraId="7639A934">
        <w:trPr>
          <w:trHeight w:val="305" w:hRule="atLeast"/>
          <w:jc w:val="center"/>
        </w:trPr>
        <w:tc>
          <w:tcPr>
            <w:tcW w:w="5411" w:type="dxa"/>
            <w:gridSpan w:val="3"/>
            <w:tcBorders>
              <w:top w:val="nil"/>
              <w:left w:val="nil"/>
              <w:bottom w:val="single" w:color="auto" w:sz="8" w:space="0"/>
              <w:right w:val="nil"/>
            </w:tcBorders>
            <w:shd w:val="clear" w:color="auto" w:fill="auto"/>
            <w:noWrap/>
            <w:vAlign w:val="center"/>
          </w:tcPr>
          <w:p w14:paraId="017DC46F">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1243" w:type="dxa"/>
            <w:tcBorders>
              <w:top w:val="nil"/>
              <w:left w:val="nil"/>
              <w:bottom w:val="nil"/>
              <w:right w:val="nil"/>
            </w:tcBorders>
            <w:shd w:val="clear" w:color="auto" w:fill="auto"/>
            <w:noWrap/>
            <w:vAlign w:val="center"/>
          </w:tcPr>
          <w:p w14:paraId="56BE66F6">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4"/>
                <w:szCs w:val="24"/>
              </w:rPr>
            </w:pPr>
          </w:p>
        </w:tc>
        <w:tc>
          <w:tcPr>
            <w:tcW w:w="2353" w:type="dxa"/>
            <w:tcBorders>
              <w:top w:val="nil"/>
              <w:left w:val="nil"/>
              <w:bottom w:val="nil"/>
              <w:right w:val="nil"/>
            </w:tcBorders>
            <w:shd w:val="clear" w:color="auto" w:fill="auto"/>
            <w:noWrap/>
            <w:vAlign w:val="center"/>
          </w:tcPr>
          <w:p w14:paraId="679FB54E">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4"/>
                <w:szCs w:val="24"/>
              </w:rPr>
            </w:pPr>
          </w:p>
        </w:tc>
        <w:tc>
          <w:tcPr>
            <w:tcW w:w="2556" w:type="dxa"/>
            <w:tcBorders>
              <w:top w:val="nil"/>
              <w:left w:val="nil"/>
              <w:bottom w:val="nil"/>
              <w:right w:val="nil"/>
            </w:tcBorders>
            <w:shd w:val="clear" w:color="auto" w:fill="auto"/>
            <w:noWrap/>
            <w:vAlign w:val="center"/>
          </w:tcPr>
          <w:p w14:paraId="0F51F199">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4"/>
                <w:szCs w:val="24"/>
              </w:rPr>
            </w:pPr>
          </w:p>
        </w:tc>
        <w:tc>
          <w:tcPr>
            <w:tcW w:w="3317" w:type="dxa"/>
            <w:gridSpan w:val="2"/>
            <w:tcBorders>
              <w:top w:val="nil"/>
              <w:left w:val="nil"/>
              <w:bottom w:val="nil"/>
              <w:right w:val="nil"/>
            </w:tcBorders>
            <w:shd w:val="clear" w:color="auto" w:fill="auto"/>
            <w:noWrap/>
            <w:vAlign w:val="center"/>
          </w:tcPr>
          <w:p w14:paraId="3BAF54CA">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right"/>
              <w:textAlignment w:val="auto"/>
              <w:rPr>
                <w:rFonts w:hint="eastAsia" w:ascii="仿宋_GB2312" w:hAnsi="仿宋_GB2312" w:eastAsia="仿宋_GB2312" w:cs="仿宋_GB2312"/>
                <w:kern w:val="0"/>
                <w:sz w:val="24"/>
                <w:szCs w:val="24"/>
                <w:lang w:eastAsia="zh-CN"/>
              </w:rPr>
            </w:pPr>
            <w:r>
              <w:rPr>
                <w:rFonts w:hint="eastAsia" w:ascii="仿宋_GB2312" w:hAnsi="仿宋_GB2312" w:cs="仿宋_GB2312"/>
                <w:kern w:val="0"/>
                <w:sz w:val="24"/>
                <w:szCs w:val="24"/>
                <w:lang w:eastAsia="zh-CN"/>
              </w:rPr>
              <w:t>金额单位：万元</w:t>
            </w:r>
          </w:p>
        </w:tc>
      </w:tr>
      <w:tr w14:paraId="17418B73">
        <w:trPr>
          <w:trHeight w:val="443" w:hRule="atLeast"/>
          <w:jc w:val="center"/>
        </w:trPr>
        <w:tc>
          <w:tcPr>
            <w:tcW w:w="14880" w:type="dxa"/>
            <w:gridSpan w:val="8"/>
            <w:tcBorders>
              <w:top w:val="single" w:color="auto" w:sz="4" w:space="0"/>
              <w:left w:val="single" w:color="auto" w:sz="4" w:space="0"/>
              <w:bottom w:val="single" w:color="auto" w:sz="4" w:space="0"/>
              <w:right w:val="single" w:color="auto" w:sz="8" w:space="0"/>
            </w:tcBorders>
            <w:shd w:val="clear" w:color="auto" w:fill="auto"/>
            <w:vAlign w:val="center"/>
          </w:tcPr>
          <w:p w14:paraId="7D43A736">
            <w:pPr>
              <w:keepNext w:val="0"/>
              <w:keepLines w:val="0"/>
              <w:pageBreakBefore w:val="0"/>
              <w:kinsoku/>
              <w:wordWrap/>
              <w:overflowPunct/>
              <w:topLinePunct w:val="0"/>
              <w:autoSpaceDE w:val="0"/>
              <w:autoSpaceDN w:val="0"/>
              <w:bidi w:val="0"/>
              <w:adjustRightIn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color w:val="2D00C7"/>
                <w:sz w:val="24"/>
                <w:szCs w:val="24"/>
              </w:rPr>
            </w:pPr>
            <w:r>
              <w:rPr>
                <w:rFonts w:hint="eastAsia" w:ascii="仿宋_GB2312" w:hAnsi="仿宋_GB2312" w:eastAsia="仿宋_GB2312" w:cs="仿宋_GB2312"/>
                <w:bCs/>
                <w:color w:val="2D00C7"/>
                <w:sz w:val="24"/>
                <w:szCs w:val="24"/>
              </w:rPr>
              <w:t>填表说明：1.所购置的各项材料费需填写明细；</w:t>
            </w:r>
          </w:p>
          <w:p w14:paraId="3B34AD7B">
            <w:pPr>
              <w:keepNext w:val="0"/>
              <w:keepLines w:val="0"/>
              <w:pageBreakBefore w:val="0"/>
              <w:kinsoku/>
              <w:wordWrap/>
              <w:overflowPunct/>
              <w:topLinePunct w:val="0"/>
              <w:autoSpaceDE w:val="0"/>
              <w:autoSpaceDN w:val="0"/>
              <w:bidi w:val="0"/>
              <w:adjustRightInd/>
              <w:snapToGrid w:val="0"/>
              <w:spacing w:beforeAutospacing="0" w:afterAutospacing="0" w:line="320" w:lineRule="exact"/>
              <w:ind w:left="0" w:leftChars="0" w:right="0" w:firstLine="1200" w:firstLineChars="500"/>
              <w:textAlignment w:val="auto"/>
              <w:rPr>
                <w:rFonts w:hint="eastAsia" w:ascii="仿宋_GB2312" w:hAnsi="仿宋_GB2312" w:eastAsia="仿宋_GB2312" w:cs="仿宋_GB2312"/>
                <w:color w:val="2D00C7"/>
                <w:sz w:val="24"/>
                <w:szCs w:val="24"/>
              </w:rPr>
            </w:pPr>
            <w:r>
              <w:rPr>
                <w:rFonts w:hint="eastAsia" w:ascii="仿宋_GB2312" w:hAnsi="仿宋_GB2312" w:eastAsia="仿宋_GB2312" w:cs="仿宋_GB2312"/>
                <w:color w:val="2D00C7"/>
                <w:sz w:val="24"/>
                <w:szCs w:val="24"/>
              </w:rPr>
              <w:t>2.资金来源：A.专项经费、B.自筹经费；</w:t>
            </w:r>
          </w:p>
          <w:p w14:paraId="335D2B88">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1200" w:firstLineChars="500"/>
              <w:jc w:val="lef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color w:val="2D00C7"/>
                <w:sz w:val="24"/>
                <w:szCs w:val="24"/>
              </w:rPr>
              <w:t>3.申请专项经费在20万元及以下时，毋须填写本表。</w:t>
            </w:r>
          </w:p>
        </w:tc>
      </w:tr>
      <w:tr w14:paraId="123487D6">
        <w:trPr>
          <w:trHeight w:val="443" w:hRule="atLeast"/>
          <w:jc w:val="center"/>
        </w:trPr>
        <w:tc>
          <w:tcPr>
            <w:tcW w:w="710"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63924AE4">
            <w:pPr>
              <w:keepNext w:val="0"/>
              <w:keepLines w:val="0"/>
              <w:pageBreakBefore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序号</w:t>
            </w:r>
          </w:p>
        </w:tc>
        <w:tc>
          <w:tcPr>
            <w:tcW w:w="3437" w:type="dxa"/>
            <w:tcBorders>
              <w:top w:val="single" w:color="auto" w:sz="4" w:space="0"/>
              <w:left w:val="nil"/>
              <w:bottom w:val="single" w:color="auto" w:sz="4" w:space="0"/>
              <w:right w:val="single" w:color="auto" w:sz="4" w:space="0"/>
            </w:tcBorders>
            <w:shd w:val="clear" w:color="auto" w:fill="auto"/>
            <w:vAlign w:val="center"/>
          </w:tcPr>
          <w:p w14:paraId="1ADE2AC2">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材料名称</w:t>
            </w:r>
          </w:p>
        </w:tc>
        <w:tc>
          <w:tcPr>
            <w:tcW w:w="1264" w:type="dxa"/>
            <w:tcBorders>
              <w:top w:val="nil"/>
              <w:left w:val="nil"/>
              <w:bottom w:val="single" w:color="auto" w:sz="4" w:space="0"/>
              <w:right w:val="single" w:color="auto" w:sz="4" w:space="0"/>
            </w:tcBorders>
            <w:shd w:val="clear" w:color="auto" w:fill="auto"/>
            <w:vAlign w:val="center"/>
          </w:tcPr>
          <w:p w14:paraId="5837FA81">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计量单位</w:t>
            </w:r>
          </w:p>
        </w:tc>
        <w:tc>
          <w:tcPr>
            <w:tcW w:w="1243" w:type="dxa"/>
            <w:tcBorders>
              <w:top w:val="single" w:color="auto" w:sz="8" w:space="0"/>
              <w:left w:val="nil"/>
              <w:bottom w:val="single" w:color="auto" w:sz="4" w:space="0"/>
              <w:right w:val="single" w:color="auto" w:sz="4" w:space="0"/>
            </w:tcBorders>
            <w:shd w:val="clear" w:color="auto" w:fill="auto"/>
            <w:vAlign w:val="center"/>
          </w:tcPr>
          <w:p w14:paraId="73502078">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购置数量</w:t>
            </w:r>
          </w:p>
        </w:tc>
        <w:tc>
          <w:tcPr>
            <w:tcW w:w="2353" w:type="dxa"/>
            <w:tcBorders>
              <w:top w:val="single" w:color="auto" w:sz="8" w:space="0"/>
              <w:left w:val="nil"/>
              <w:bottom w:val="single" w:color="auto" w:sz="4" w:space="0"/>
              <w:right w:val="single" w:color="auto" w:sz="4" w:space="0"/>
            </w:tcBorders>
            <w:shd w:val="clear" w:color="auto" w:fill="auto"/>
            <w:vAlign w:val="center"/>
          </w:tcPr>
          <w:p w14:paraId="651C243D">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单价（元/单位数量）</w:t>
            </w:r>
          </w:p>
        </w:tc>
        <w:tc>
          <w:tcPr>
            <w:tcW w:w="2556" w:type="dxa"/>
            <w:tcBorders>
              <w:top w:val="single" w:color="auto" w:sz="8" w:space="0"/>
              <w:left w:val="nil"/>
              <w:bottom w:val="single" w:color="auto" w:sz="4" w:space="0"/>
              <w:right w:val="single" w:color="auto" w:sz="4" w:space="0"/>
            </w:tcBorders>
            <w:shd w:val="clear" w:color="auto" w:fill="auto"/>
            <w:vAlign w:val="center"/>
          </w:tcPr>
          <w:p w14:paraId="2B9687C9">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材料费用</w:t>
            </w:r>
          </w:p>
        </w:tc>
        <w:tc>
          <w:tcPr>
            <w:tcW w:w="1667" w:type="dxa"/>
            <w:tcBorders>
              <w:top w:val="single" w:color="auto" w:sz="8" w:space="0"/>
              <w:left w:val="nil"/>
              <w:bottom w:val="single" w:color="auto" w:sz="4" w:space="0"/>
              <w:right w:val="single" w:color="auto" w:sz="4" w:space="0"/>
            </w:tcBorders>
            <w:shd w:val="clear" w:color="auto" w:fill="auto"/>
            <w:vAlign w:val="center"/>
          </w:tcPr>
          <w:p w14:paraId="6BE4F3F0">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资金来源</w:t>
            </w:r>
          </w:p>
        </w:tc>
        <w:tc>
          <w:tcPr>
            <w:tcW w:w="1650" w:type="dxa"/>
            <w:tcBorders>
              <w:top w:val="single" w:color="auto" w:sz="8" w:space="0"/>
              <w:left w:val="single" w:color="auto" w:sz="4" w:space="0"/>
              <w:bottom w:val="single" w:color="auto" w:sz="4" w:space="0"/>
              <w:right w:val="single" w:color="auto" w:sz="8" w:space="0"/>
            </w:tcBorders>
            <w:shd w:val="clear" w:color="auto" w:fill="auto"/>
            <w:vAlign w:val="center"/>
          </w:tcPr>
          <w:p w14:paraId="56C47B29">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计算依据</w:t>
            </w:r>
          </w:p>
        </w:tc>
      </w:tr>
      <w:tr w14:paraId="0898FF3E">
        <w:trPr>
          <w:trHeight w:val="473" w:hRule="atLeast"/>
          <w:jc w:val="center"/>
        </w:trPr>
        <w:tc>
          <w:tcPr>
            <w:tcW w:w="710"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3F1D3533">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4"/>
                <w:szCs w:val="24"/>
              </w:rPr>
            </w:pPr>
          </w:p>
        </w:tc>
        <w:tc>
          <w:tcPr>
            <w:tcW w:w="3437" w:type="dxa"/>
            <w:tcBorders>
              <w:top w:val="nil"/>
              <w:left w:val="nil"/>
              <w:bottom w:val="single" w:color="auto" w:sz="8" w:space="0"/>
              <w:right w:val="single" w:color="auto" w:sz="4" w:space="0"/>
            </w:tcBorders>
            <w:shd w:val="clear" w:color="auto" w:fill="auto"/>
            <w:vAlign w:val="center"/>
          </w:tcPr>
          <w:p w14:paraId="319DBE47">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（1）</w:t>
            </w:r>
          </w:p>
        </w:tc>
        <w:tc>
          <w:tcPr>
            <w:tcW w:w="1264" w:type="dxa"/>
            <w:tcBorders>
              <w:top w:val="nil"/>
              <w:left w:val="nil"/>
              <w:bottom w:val="single" w:color="auto" w:sz="8" w:space="0"/>
              <w:right w:val="single" w:color="auto" w:sz="4" w:space="0"/>
            </w:tcBorders>
            <w:shd w:val="clear" w:color="auto" w:fill="auto"/>
            <w:vAlign w:val="center"/>
          </w:tcPr>
          <w:p w14:paraId="0C78A973">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（2）</w:t>
            </w:r>
          </w:p>
        </w:tc>
        <w:tc>
          <w:tcPr>
            <w:tcW w:w="1243" w:type="dxa"/>
            <w:tcBorders>
              <w:top w:val="nil"/>
              <w:left w:val="nil"/>
              <w:bottom w:val="single" w:color="auto" w:sz="8" w:space="0"/>
              <w:right w:val="single" w:color="auto" w:sz="4" w:space="0"/>
            </w:tcBorders>
            <w:shd w:val="clear" w:color="auto" w:fill="auto"/>
            <w:vAlign w:val="center"/>
          </w:tcPr>
          <w:p w14:paraId="7406BD2D">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（3）</w:t>
            </w:r>
          </w:p>
        </w:tc>
        <w:tc>
          <w:tcPr>
            <w:tcW w:w="2353" w:type="dxa"/>
            <w:tcBorders>
              <w:top w:val="nil"/>
              <w:left w:val="nil"/>
              <w:bottom w:val="single" w:color="auto" w:sz="8" w:space="0"/>
              <w:right w:val="single" w:color="auto" w:sz="4" w:space="0"/>
            </w:tcBorders>
            <w:shd w:val="clear" w:color="auto" w:fill="auto"/>
            <w:vAlign w:val="center"/>
          </w:tcPr>
          <w:p w14:paraId="4C96A709">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（4）</w:t>
            </w:r>
          </w:p>
        </w:tc>
        <w:tc>
          <w:tcPr>
            <w:tcW w:w="2556" w:type="dxa"/>
            <w:tcBorders>
              <w:top w:val="nil"/>
              <w:left w:val="nil"/>
              <w:bottom w:val="single" w:color="auto" w:sz="8" w:space="0"/>
              <w:right w:val="single" w:color="auto" w:sz="4" w:space="0"/>
            </w:tcBorders>
            <w:shd w:val="clear" w:color="auto" w:fill="auto"/>
            <w:vAlign w:val="center"/>
          </w:tcPr>
          <w:p w14:paraId="55E059FE">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（5）=（3）×（4）/1000</w:t>
            </w:r>
          </w:p>
        </w:tc>
        <w:tc>
          <w:tcPr>
            <w:tcW w:w="1667" w:type="dxa"/>
            <w:tcBorders>
              <w:top w:val="nil"/>
              <w:left w:val="nil"/>
              <w:bottom w:val="single" w:color="auto" w:sz="8" w:space="0"/>
              <w:right w:val="single" w:color="auto" w:sz="4" w:space="0"/>
            </w:tcBorders>
            <w:shd w:val="clear" w:color="auto" w:fill="auto"/>
            <w:vAlign w:val="center"/>
          </w:tcPr>
          <w:p w14:paraId="38CF110D">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（6）</w:t>
            </w:r>
          </w:p>
        </w:tc>
        <w:tc>
          <w:tcPr>
            <w:tcW w:w="1650" w:type="dxa"/>
            <w:tcBorders>
              <w:top w:val="nil"/>
              <w:left w:val="single" w:color="auto" w:sz="4" w:space="0"/>
              <w:bottom w:val="single" w:color="auto" w:sz="8" w:space="0"/>
              <w:right w:val="single" w:color="auto" w:sz="8" w:space="0"/>
            </w:tcBorders>
            <w:shd w:val="clear" w:color="auto" w:fill="auto"/>
            <w:vAlign w:val="center"/>
          </w:tcPr>
          <w:p w14:paraId="778B3B25">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（7）</w:t>
            </w:r>
          </w:p>
        </w:tc>
      </w:tr>
      <w:tr w14:paraId="43D1AC04">
        <w:trPr>
          <w:trHeight w:val="488" w:hRule="atLeast"/>
          <w:jc w:val="center"/>
        </w:trPr>
        <w:tc>
          <w:tcPr>
            <w:tcW w:w="710" w:type="dxa"/>
            <w:tcBorders>
              <w:top w:val="single" w:color="auto" w:sz="4" w:space="0"/>
              <w:left w:val="single" w:color="auto" w:sz="8" w:space="0"/>
              <w:bottom w:val="single" w:color="auto" w:sz="4" w:space="0"/>
              <w:right w:val="single" w:color="auto" w:sz="4" w:space="0"/>
            </w:tcBorders>
            <w:shd w:val="clear" w:color="auto" w:fill="auto"/>
            <w:vAlign w:val="center"/>
          </w:tcPr>
          <w:p w14:paraId="310A8A20">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3437" w:type="dxa"/>
            <w:tcBorders>
              <w:top w:val="nil"/>
              <w:left w:val="nil"/>
              <w:bottom w:val="single" w:color="auto" w:sz="4" w:space="0"/>
              <w:right w:val="single" w:color="auto" w:sz="4" w:space="0"/>
            </w:tcBorders>
            <w:shd w:val="clear" w:color="auto" w:fill="auto"/>
            <w:vAlign w:val="center"/>
          </w:tcPr>
          <w:p w14:paraId="27323CEC">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1264" w:type="dxa"/>
            <w:tcBorders>
              <w:top w:val="nil"/>
              <w:left w:val="nil"/>
              <w:bottom w:val="single" w:color="auto" w:sz="4" w:space="0"/>
              <w:right w:val="single" w:color="auto" w:sz="4" w:space="0"/>
            </w:tcBorders>
            <w:shd w:val="clear" w:color="auto" w:fill="auto"/>
            <w:vAlign w:val="center"/>
          </w:tcPr>
          <w:p w14:paraId="086833B0">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4"/>
                <w:szCs w:val="24"/>
              </w:rPr>
            </w:pPr>
          </w:p>
        </w:tc>
        <w:tc>
          <w:tcPr>
            <w:tcW w:w="1243" w:type="dxa"/>
            <w:tcBorders>
              <w:top w:val="nil"/>
              <w:left w:val="nil"/>
              <w:bottom w:val="single" w:color="auto" w:sz="4" w:space="0"/>
              <w:right w:val="single" w:color="auto" w:sz="4" w:space="0"/>
            </w:tcBorders>
            <w:shd w:val="clear" w:color="auto" w:fill="auto"/>
            <w:vAlign w:val="center"/>
          </w:tcPr>
          <w:p w14:paraId="0FCFD55A">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righ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2353" w:type="dxa"/>
            <w:tcBorders>
              <w:top w:val="nil"/>
              <w:left w:val="nil"/>
              <w:bottom w:val="single" w:color="auto" w:sz="4" w:space="0"/>
              <w:right w:val="single" w:color="auto" w:sz="4" w:space="0"/>
            </w:tcBorders>
            <w:shd w:val="clear" w:color="auto" w:fill="auto"/>
            <w:vAlign w:val="center"/>
          </w:tcPr>
          <w:p w14:paraId="3A949D0E">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righ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2556" w:type="dxa"/>
            <w:tcBorders>
              <w:top w:val="nil"/>
              <w:left w:val="nil"/>
              <w:bottom w:val="single" w:color="auto" w:sz="4" w:space="0"/>
              <w:right w:val="single" w:color="auto" w:sz="4" w:space="0"/>
            </w:tcBorders>
            <w:shd w:val="clear" w:color="auto" w:fill="auto"/>
            <w:vAlign w:val="center"/>
          </w:tcPr>
          <w:p w14:paraId="3E18C223">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right"/>
              <w:textAlignment w:val="auto"/>
              <w:rPr>
                <w:rFonts w:hint="eastAsia" w:ascii="仿宋_GB2312" w:hAnsi="仿宋_GB2312" w:eastAsia="仿宋_GB2312" w:cs="仿宋_GB2312"/>
                <w:kern w:val="0"/>
                <w:sz w:val="24"/>
                <w:szCs w:val="24"/>
              </w:rPr>
            </w:pPr>
          </w:p>
        </w:tc>
        <w:tc>
          <w:tcPr>
            <w:tcW w:w="1667" w:type="dxa"/>
            <w:tcBorders>
              <w:top w:val="nil"/>
              <w:left w:val="nil"/>
              <w:bottom w:val="single" w:color="auto" w:sz="4" w:space="0"/>
              <w:right w:val="single" w:color="auto" w:sz="4" w:space="0"/>
            </w:tcBorders>
            <w:shd w:val="clear" w:color="auto" w:fill="auto"/>
            <w:vAlign w:val="center"/>
          </w:tcPr>
          <w:p w14:paraId="19DB4D4F">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right"/>
              <w:textAlignment w:val="auto"/>
              <w:rPr>
                <w:rFonts w:hint="eastAsia" w:ascii="仿宋_GB2312" w:hAnsi="仿宋_GB2312" w:eastAsia="仿宋_GB2312" w:cs="仿宋_GB2312"/>
                <w:kern w:val="0"/>
                <w:sz w:val="24"/>
                <w:szCs w:val="24"/>
              </w:rPr>
            </w:pPr>
          </w:p>
        </w:tc>
        <w:tc>
          <w:tcPr>
            <w:tcW w:w="1650" w:type="dxa"/>
            <w:tcBorders>
              <w:top w:val="nil"/>
              <w:left w:val="single" w:color="auto" w:sz="4" w:space="0"/>
              <w:bottom w:val="single" w:color="auto" w:sz="4" w:space="0"/>
              <w:right w:val="single" w:color="auto" w:sz="8" w:space="0"/>
            </w:tcBorders>
            <w:shd w:val="clear" w:color="auto" w:fill="auto"/>
            <w:vAlign w:val="center"/>
          </w:tcPr>
          <w:p w14:paraId="424C98C2">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right"/>
              <w:textAlignment w:val="auto"/>
              <w:rPr>
                <w:rFonts w:hint="eastAsia" w:ascii="仿宋_GB2312" w:hAnsi="仿宋_GB2312" w:eastAsia="仿宋_GB2312" w:cs="仿宋_GB2312"/>
                <w:kern w:val="0"/>
                <w:sz w:val="24"/>
                <w:szCs w:val="24"/>
              </w:rPr>
            </w:pPr>
          </w:p>
        </w:tc>
      </w:tr>
      <w:tr w14:paraId="7C80E89F">
        <w:trPr>
          <w:trHeight w:val="488" w:hRule="atLeast"/>
          <w:jc w:val="center"/>
        </w:trPr>
        <w:tc>
          <w:tcPr>
            <w:tcW w:w="710" w:type="dxa"/>
            <w:tcBorders>
              <w:top w:val="nil"/>
              <w:left w:val="single" w:color="auto" w:sz="8" w:space="0"/>
              <w:bottom w:val="single" w:color="auto" w:sz="4" w:space="0"/>
              <w:right w:val="single" w:color="auto" w:sz="4" w:space="0"/>
            </w:tcBorders>
            <w:shd w:val="clear" w:color="auto" w:fill="auto"/>
            <w:vAlign w:val="center"/>
          </w:tcPr>
          <w:p w14:paraId="0E95A484">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3437" w:type="dxa"/>
            <w:tcBorders>
              <w:top w:val="nil"/>
              <w:left w:val="nil"/>
              <w:bottom w:val="single" w:color="auto" w:sz="4" w:space="0"/>
              <w:right w:val="single" w:color="auto" w:sz="4" w:space="0"/>
            </w:tcBorders>
            <w:shd w:val="clear" w:color="auto" w:fill="auto"/>
            <w:vAlign w:val="center"/>
          </w:tcPr>
          <w:p w14:paraId="7A957CC4">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1264" w:type="dxa"/>
            <w:tcBorders>
              <w:top w:val="nil"/>
              <w:left w:val="nil"/>
              <w:bottom w:val="single" w:color="auto" w:sz="4" w:space="0"/>
              <w:right w:val="single" w:color="auto" w:sz="4" w:space="0"/>
            </w:tcBorders>
            <w:shd w:val="clear" w:color="auto" w:fill="auto"/>
            <w:vAlign w:val="center"/>
          </w:tcPr>
          <w:p w14:paraId="4AC84229">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4"/>
                <w:szCs w:val="24"/>
              </w:rPr>
            </w:pPr>
          </w:p>
        </w:tc>
        <w:tc>
          <w:tcPr>
            <w:tcW w:w="1243" w:type="dxa"/>
            <w:tcBorders>
              <w:top w:val="nil"/>
              <w:left w:val="nil"/>
              <w:bottom w:val="single" w:color="auto" w:sz="4" w:space="0"/>
              <w:right w:val="single" w:color="auto" w:sz="4" w:space="0"/>
            </w:tcBorders>
            <w:shd w:val="clear" w:color="auto" w:fill="auto"/>
            <w:vAlign w:val="center"/>
          </w:tcPr>
          <w:p w14:paraId="31745ADF">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righ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2353" w:type="dxa"/>
            <w:tcBorders>
              <w:top w:val="nil"/>
              <w:left w:val="nil"/>
              <w:bottom w:val="single" w:color="auto" w:sz="4" w:space="0"/>
              <w:right w:val="single" w:color="auto" w:sz="4" w:space="0"/>
            </w:tcBorders>
            <w:shd w:val="clear" w:color="auto" w:fill="auto"/>
            <w:vAlign w:val="center"/>
          </w:tcPr>
          <w:p w14:paraId="7E75345E">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righ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2556" w:type="dxa"/>
            <w:tcBorders>
              <w:top w:val="nil"/>
              <w:left w:val="nil"/>
              <w:bottom w:val="single" w:color="auto" w:sz="4" w:space="0"/>
              <w:right w:val="single" w:color="auto" w:sz="4" w:space="0"/>
            </w:tcBorders>
            <w:shd w:val="clear" w:color="auto" w:fill="auto"/>
            <w:vAlign w:val="center"/>
          </w:tcPr>
          <w:p w14:paraId="663F3ABD">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right"/>
              <w:textAlignment w:val="auto"/>
              <w:rPr>
                <w:rFonts w:hint="eastAsia" w:ascii="仿宋_GB2312" w:hAnsi="仿宋_GB2312" w:eastAsia="仿宋_GB2312" w:cs="仿宋_GB2312"/>
                <w:kern w:val="0"/>
                <w:sz w:val="24"/>
                <w:szCs w:val="24"/>
              </w:rPr>
            </w:pPr>
          </w:p>
        </w:tc>
        <w:tc>
          <w:tcPr>
            <w:tcW w:w="1667" w:type="dxa"/>
            <w:tcBorders>
              <w:top w:val="nil"/>
              <w:left w:val="nil"/>
              <w:bottom w:val="single" w:color="auto" w:sz="4" w:space="0"/>
              <w:right w:val="single" w:color="auto" w:sz="4" w:space="0"/>
            </w:tcBorders>
            <w:shd w:val="clear" w:color="auto" w:fill="auto"/>
            <w:vAlign w:val="center"/>
          </w:tcPr>
          <w:p w14:paraId="6F9FE99B">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right"/>
              <w:textAlignment w:val="auto"/>
              <w:rPr>
                <w:rFonts w:hint="eastAsia" w:ascii="仿宋_GB2312" w:hAnsi="仿宋_GB2312" w:eastAsia="仿宋_GB2312" w:cs="仿宋_GB2312"/>
                <w:kern w:val="0"/>
                <w:sz w:val="24"/>
                <w:szCs w:val="24"/>
              </w:rPr>
            </w:pPr>
          </w:p>
        </w:tc>
        <w:tc>
          <w:tcPr>
            <w:tcW w:w="1650" w:type="dxa"/>
            <w:tcBorders>
              <w:top w:val="nil"/>
              <w:left w:val="single" w:color="auto" w:sz="4" w:space="0"/>
              <w:bottom w:val="single" w:color="auto" w:sz="4" w:space="0"/>
              <w:right w:val="single" w:color="auto" w:sz="8" w:space="0"/>
            </w:tcBorders>
            <w:shd w:val="clear" w:color="auto" w:fill="auto"/>
            <w:vAlign w:val="center"/>
          </w:tcPr>
          <w:p w14:paraId="3DD58E09">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right"/>
              <w:textAlignment w:val="auto"/>
              <w:rPr>
                <w:rFonts w:hint="eastAsia" w:ascii="仿宋_GB2312" w:hAnsi="仿宋_GB2312" w:eastAsia="仿宋_GB2312" w:cs="仿宋_GB2312"/>
                <w:kern w:val="0"/>
                <w:sz w:val="24"/>
                <w:szCs w:val="24"/>
              </w:rPr>
            </w:pPr>
          </w:p>
        </w:tc>
      </w:tr>
      <w:tr w14:paraId="5AF5BB2F">
        <w:trPr>
          <w:trHeight w:val="488" w:hRule="atLeast"/>
          <w:jc w:val="center"/>
        </w:trPr>
        <w:tc>
          <w:tcPr>
            <w:tcW w:w="710" w:type="dxa"/>
            <w:tcBorders>
              <w:top w:val="nil"/>
              <w:left w:val="single" w:color="auto" w:sz="8" w:space="0"/>
              <w:bottom w:val="single" w:color="auto" w:sz="4" w:space="0"/>
              <w:right w:val="single" w:color="auto" w:sz="4" w:space="0"/>
            </w:tcBorders>
            <w:shd w:val="clear" w:color="auto" w:fill="auto"/>
            <w:vAlign w:val="center"/>
          </w:tcPr>
          <w:p w14:paraId="53D652E4">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3437" w:type="dxa"/>
            <w:tcBorders>
              <w:top w:val="nil"/>
              <w:left w:val="nil"/>
              <w:bottom w:val="single" w:color="auto" w:sz="4" w:space="0"/>
              <w:right w:val="single" w:color="auto" w:sz="4" w:space="0"/>
            </w:tcBorders>
            <w:shd w:val="clear" w:color="auto" w:fill="auto"/>
            <w:vAlign w:val="center"/>
          </w:tcPr>
          <w:p w14:paraId="31A918EC">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1264" w:type="dxa"/>
            <w:tcBorders>
              <w:top w:val="nil"/>
              <w:left w:val="nil"/>
              <w:bottom w:val="single" w:color="auto" w:sz="4" w:space="0"/>
              <w:right w:val="single" w:color="auto" w:sz="4" w:space="0"/>
            </w:tcBorders>
            <w:shd w:val="clear" w:color="auto" w:fill="auto"/>
            <w:vAlign w:val="center"/>
          </w:tcPr>
          <w:p w14:paraId="5DFC906E">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4"/>
                <w:szCs w:val="24"/>
              </w:rPr>
            </w:pPr>
          </w:p>
        </w:tc>
        <w:tc>
          <w:tcPr>
            <w:tcW w:w="1243" w:type="dxa"/>
            <w:tcBorders>
              <w:top w:val="nil"/>
              <w:left w:val="nil"/>
              <w:bottom w:val="single" w:color="auto" w:sz="4" w:space="0"/>
              <w:right w:val="single" w:color="auto" w:sz="4" w:space="0"/>
            </w:tcBorders>
            <w:shd w:val="clear" w:color="auto" w:fill="auto"/>
            <w:vAlign w:val="center"/>
          </w:tcPr>
          <w:p w14:paraId="14352193">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righ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2353" w:type="dxa"/>
            <w:tcBorders>
              <w:top w:val="nil"/>
              <w:left w:val="nil"/>
              <w:bottom w:val="single" w:color="auto" w:sz="4" w:space="0"/>
              <w:right w:val="single" w:color="auto" w:sz="4" w:space="0"/>
            </w:tcBorders>
            <w:shd w:val="clear" w:color="auto" w:fill="auto"/>
            <w:vAlign w:val="center"/>
          </w:tcPr>
          <w:p w14:paraId="26E0EE85">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righ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2556" w:type="dxa"/>
            <w:tcBorders>
              <w:top w:val="nil"/>
              <w:left w:val="nil"/>
              <w:bottom w:val="single" w:color="auto" w:sz="4" w:space="0"/>
              <w:right w:val="single" w:color="auto" w:sz="4" w:space="0"/>
            </w:tcBorders>
            <w:shd w:val="clear" w:color="auto" w:fill="auto"/>
            <w:vAlign w:val="center"/>
          </w:tcPr>
          <w:p w14:paraId="18D19356">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right"/>
              <w:textAlignment w:val="auto"/>
              <w:rPr>
                <w:rFonts w:hint="eastAsia" w:ascii="仿宋_GB2312" w:hAnsi="仿宋_GB2312" w:eastAsia="仿宋_GB2312" w:cs="仿宋_GB2312"/>
                <w:kern w:val="0"/>
                <w:sz w:val="24"/>
                <w:szCs w:val="24"/>
              </w:rPr>
            </w:pPr>
          </w:p>
        </w:tc>
        <w:tc>
          <w:tcPr>
            <w:tcW w:w="1667" w:type="dxa"/>
            <w:tcBorders>
              <w:top w:val="nil"/>
              <w:left w:val="nil"/>
              <w:bottom w:val="single" w:color="auto" w:sz="4" w:space="0"/>
              <w:right w:val="single" w:color="auto" w:sz="4" w:space="0"/>
            </w:tcBorders>
            <w:shd w:val="clear" w:color="auto" w:fill="auto"/>
            <w:vAlign w:val="center"/>
          </w:tcPr>
          <w:p w14:paraId="005EA871">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right"/>
              <w:textAlignment w:val="auto"/>
              <w:rPr>
                <w:rFonts w:hint="eastAsia" w:ascii="仿宋_GB2312" w:hAnsi="仿宋_GB2312" w:eastAsia="仿宋_GB2312" w:cs="仿宋_GB2312"/>
                <w:kern w:val="0"/>
                <w:sz w:val="24"/>
                <w:szCs w:val="24"/>
              </w:rPr>
            </w:pPr>
          </w:p>
        </w:tc>
        <w:tc>
          <w:tcPr>
            <w:tcW w:w="1650" w:type="dxa"/>
            <w:tcBorders>
              <w:top w:val="nil"/>
              <w:left w:val="single" w:color="auto" w:sz="4" w:space="0"/>
              <w:bottom w:val="single" w:color="auto" w:sz="4" w:space="0"/>
              <w:right w:val="single" w:color="auto" w:sz="8" w:space="0"/>
            </w:tcBorders>
            <w:shd w:val="clear" w:color="auto" w:fill="auto"/>
            <w:vAlign w:val="center"/>
          </w:tcPr>
          <w:p w14:paraId="44BAAA50">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right"/>
              <w:textAlignment w:val="auto"/>
              <w:rPr>
                <w:rFonts w:hint="eastAsia" w:ascii="仿宋_GB2312" w:hAnsi="仿宋_GB2312" w:eastAsia="仿宋_GB2312" w:cs="仿宋_GB2312"/>
                <w:kern w:val="0"/>
                <w:sz w:val="24"/>
                <w:szCs w:val="24"/>
              </w:rPr>
            </w:pPr>
          </w:p>
        </w:tc>
      </w:tr>
      <w:tr w14:paraId="70AAA192">
        <w:trPr>
          <w:trHeight w:val="488" w:hRule="atLeast"/>
          <w:jc w:val="center"/>
        </w:trPr>
        <w:tc>
          <w:tcPr>
            <w:tcW w:w="710" w:type="dxa"/>
            <w:tcBorders>
              <w:top w:val="nil"/>
              <w:left w:val="single" w:color="auto" w:sz="8" w:space="0"/>
              <w:bottom w:val="single" w:color="auto" w:sz="4" w:space="0"/>
              <w:right w:val="single" w:color="auto" w:sz="4" w:space="0"/>
            </w:tcBorders>
            <w:shd w:val="clear" w:color="auto" w:fill="auto"/>
            <w:vAlign w:val="center"/>
          </w:tcPr>
          <w:p w14:paraId="4FB9C601">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3437" w:type="dxa"/>
            <w:tcBorders>
              <w:top w:val="nil"/>
              <w:left w:val="nil"/>
              <w:bottom w:val="single" w:color="auto" w:sz="4" w:space="0"/>
              <w:right w:val="single" w:color="auto" w:sz="4" w:space="0"/>
            </w:tcBorders>
            <w:shd w:val="clear" w:color="auto" w:fill="auto"/>
            <w:vAlign w:val="center"/>
          </w:tcPr>
          <w:p w14:paraId="79EF7909">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1264" w:type="dxa"/>
            <w:tcBorders>
              <w:top w:val="nil"/>
              <w:left w:val="nil"/>
              <w:bottom w:val="single" w:color="auto" w:sz="4" w:space="0"/>
              <w:right w:val="single" w:color="auto" w:sz="4" w:space="0"/>
            </w:tcBorders>
            <w:shd w:val="clear" w:color="auto" w:fill="auto"/>
            <w:vAlign w:val="center"/>
          </w:tcPr>
          <w:p w14:paraId="0B619659">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4"/>
                <w:szCs w:val="24"/>
              </w:rPr>
            </w:pPr>
          </w:p>
        </w:tc>
        <w:tc>
          <w:tcPr>
            <w:tcW w:w="1243" w:type="dxa"/>
            <w:tcBorders>
              <w:top w:val="nil"/>
              <w:left w:val="nil"/>
              <w:bottom w:val="single" w:color="auto" w:sz="4" w:space="0"/>
              <w:right w:val="single" w:color="auto" w:sz="4" w:space="0"/>
            </w:tcBorders>
            <w:shd w:val="clear" w:color="auto" w:fill="auto"/>
            <w:vAlign w:val="center"/>
          </w:tcPr>
          <w:p w14:paraId="6F3F666E">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righ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2353" w:type="dxa"/>
            <w:tcBorders>
              <w:top w:val="nil"/>
              <w:left w:val="nil"/>
              <w:bottom w:val="single" w:color="auto" w:sz="4" w:space="0"/>
              <w:right w:val="single" w:color="auto" w:sz="4" w:space="0"/>
            </w:tcBorders>
            <w:shd w:val="clear" w:color="auto" w:fill="auto"/>
            <w:vAlign w:val="center"/>
          </w:tcPr>
          <w:p w14:paraId="6A5C2B80">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righ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2556" w:type="dxa"/>
            <w:tcBorders>
              <w:top w:val="nil"/>
              <w:left w:val="nil"/>
              <w:bottom w:val="single" w:color="auto" w:sz="4" w:space="0"/>
              <w:right w:val="single" w:color="auto" w:sz="4" w:space="0"/>
            </w:tcBorders>
            <w:shd w:val="clear" w:color="auto" w:fill="auto"/>
            <w:vAlign w:val="center"/>
          </w:tcPr>
          <w:p w14:paraId="222F77BF">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right"/>
              <w:textAlignment w:val="auto"/>
              <w:rPr>
                <w:rFonts w:hint="eastAsia" w:ascii="仿宋_GB2312" w:hAnsi="仿宋_GB2312" w:eastAsia="仿宋_GB2312" w:cs="仿宋_GB2312"/>
                <w:kern w:val="0"/>
                <w:sz w:val="24"/>
                <w:szCs w:val="24"/>
              </w:rPr>
            </w:pPr>
          </w:p>
        </w:tc>
        <w:tc>
          <w:tcPr>
            <w:tcW w:w="1667" w:type="dxa"/>
            <w:tcBorders>
              <w:top w:val="nil"/>
              <w:left w:val="nil"/>
              <w:bottom w:val="single" w:color="auto" w:sz="4" w:space="0"/>
              <w:right w:val="single" w:color="auto" w:sz="4" w:space="0"/>
            </w:tcBorders>
            <w:shd w:val="clear" w:color="auto" w:fill="auto"/>
            <w:vAlign w:val="center"/>
          </w:tcPr>
          <w:p w14:paraId="4975D9DF">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right"/>
              <w:textAlignment w:val="auto"/>
              <w:rPr>
                <w:rFonts w:hint="eastAsia" w:ascii="仿宋_GB2312" w:hAnsi="仿宋_GB2312" w:eastAsia="仿宋_GB2312" w:cs="仿宋_GB2312"/>
                <w:kern w:val="0"/>
                <w:sz w:val="24"/>
                <w:szCs w:val="24"/>
              </w:rPr>
            </w:pPr>
          </w:p>
        </w:tc>
        <w:tc>
          <w:tcPr>
            <w:tcW w:w="1650" w:type="dxa"/>
            <w:tcBorders>
              <w:top w:val="nil"/>
              <w:left w:val="single" w:color="auto" w:sz="4" w:space="0"/>
              <w:bottom w:val="single" w:color="auto" w:sz="4" w:space="0"/>
              <w:right w:val="single" w:color="auto" w:sz="8" w:space="0"/>
            </w:tcBorders>
            <w:shd w:val="clear" w:color="auto" w:fill="auto"/>
            <w:vAlign w:val="center"/>
          </w:tcPr>
          <w:p w14:paraId="26606D19">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right"/>
              <w:textAlignment w:val="auto"/>
              <w:rPr>
                <w:rFonts w:hint="eastAsia" w:ascii="仿宋_GB2312" w:hAnsi="仿宋_GB2312" w:eastAsia="仿宋_GB2312" w:cs="仿宋_GB2312"/>
                <w:kern w:val="0"/>
                <w:sz w:val="24"/>
                <w:szCs w:val="24"/>
              </w:rPr>
            </w:pPr>
          </w:p>
        </w:tc>
      </w:tr>
      <w:tr w14:paraId="1DE323F7">
        <w:trPr>
          <w:trHeight w:val="488" w:hRule="atLeast"/>
          <w:jc w:val="center"/>
        </w:trPr>
        <w:tc>
          <w:tcPr>
            <w:tcW w:w="9007" w:type="dxa"/>
            <w:gridSpan w:val="5"/>
            <w:tcBorders>
              <w:top w:val="single" w:color="auto" w:sz="8" w:space="0"/>
              <w:left w:val="single" w:color="auto" w:sz="8" w:space="0"/>
              <w:bottom w:val="single" w:color="auto" w:sz="8" w:space="0"/>
              <w:right w:val="single" w:color="auto" w:sz="4" w:space="0"/>
            </w:tcBorders>
            <w:shd w:val="clear" w:color="auto" w:fill="auto"/>
            <w:vAlign w:val="center"/>
          </w:tcPr>
          <w:p w14:paraId="549BAF86">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累计</w:t>
            </w:r>
          </w:p>
        </w:tc>
        <w:tc>
          <w:tcPr>
            <w:tcW w:w="2556" w:type="dxa"/>
            <w:tcBorders>
              <w:top w:val="single" w:color="auto" w:sz="8" w:space="0"/>
              <w:left w:val="nil"/>
              <w:bottom w:val="single" w:color="auto" w:sz="8" w:space="0"/>
              <w:right w:val="single" w:color="auto" w:sz="4" w:space="0"/>
            </w:tcBorders>
            <w:shd w:val="clear" w:color="auto" w:fill="auto"/>
            <w:vAlign w:val="center"/>
          </w:tcPr>
          <w:p w14:paraId="1592AEB3">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right"/>
              <w:textAlignment w:val="auto"/>
              <w:rPr>
                <w:rFonts w:hint="eastAsia" w:ascii="仿宋_GB2312" w:hAnsi="仿宋_GB2312" w:eastAsia="仿宋_GB2312" w:cs="仿宋_GB2312"/>
                <w:kern w:val="0"/>
                <w:sz w:val="24"/>
                <w:szCs w:val="24"/>
              </w:rPr>
            </w:pPr>
          </w:p>
        </w:tc>
        <w:tc>
          <w:tcPr>
            <w:tcW w:w="1667" w:type="dxa"/>
            <w:tcBorders>
              <w:top w:val="single" w:color="auto" w:sz="8" w:space="0"/>
              <w:left w:val="nil"/>
              <w:bottom w:val="single" w:color="auto" w:sz="8" w:space="0"/>
              <w:right w:val="single" w:color="auto" w:sz="4" w:space="0"/>
            </w:tcBorders>
            <w:shd w:val="clear" w:color="auto" w:fill="auto"/>
            <w:vAlign w:val="center"/>
          </w:tcPr>
          <w:p w14:paraId="1C245415">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right"/>
              <w:textAlignment w:val="auto"/>
              <w:rPr>
                <w:rFonts w:hint="eastAsia" w:ascii="仿宋_GB2312" w:hAnsi="仿宋_GB2312" w:eastAsia="仿宋_GB2312" w:cs="仿宋_GB2312"/>
                <w:kern w:val="0"/>
                <w:sz w:val="24"/>
                <w:szCs w:val="24"/>
              </w:rPr>
            </w:pPr>
          </w:p>
        </w:tc>
        <w:tc>
          <w:tcPr>
            <w:tcW w:w="1650" w:type="dxa"/>
            <w:tcBorders>
              <w:top w:val="single" w:color="auto" w:sz="8" w:space="0"/>
              <w:left w:val="single" w:color="auto" w:sz="4" w:space="0"/>
              <w:bottom w:val="single" w:color="auto" w:sz="8" w:space="0"/>
              <w:right w:val="single" w:color="auto" w:sz="8" w:space="0"/>
            </w:tcBorders>
            <w:shd w:val="clear" w:color="auto" w:fill="auto"/>
            <w:vAlign w:val="center"/>
          </w:tcPr>
          <w:p w14:paraId="18ADF84C">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right"/>
              <w:textAlignment w:val="auto"/>
              <w:rPr>
                <w:rFonts w:hint="eastAsia" w:ascii="仿宋_GB2312" w:hAnsi="仿宋_GB2312" w:eastAsia="仿宋_GB2312" w:cs="仿宋_GB2312"/>
                <w:kern w:val="0"/>
                <w:sz w:val="24"/>
                <w:szCs w:val="24"/>
              </w:rPr>
            </w:pPr>
          </w:p>
        </w:tc>
      </w:tr>
    </w:tbl>
    <w:p w14:paraId="2BFADC94">
      <w:pPr>
        <w:pageBreakBefore w:val="0"/>
        <w:kinsoku/>
        <w:wordWrap/>
        <w:overflowPunct/>
        <w:topLinePunct w:val="0"/>
        <w:autoSpaceDE w:val="0"/>
        <w:autoSpaceDN w:val="0"/>
        <w:bidi w:val="0"/>
        <w:adjustRightInd/>
        <w:spacing w:line="560" w:lineRule="exact"/>
        <w:ind w:left="0" w:firstLine="0" w:firstLineChars="0"/>
        <w:textAlignment w:val="auto"/>
        <w:rPr>
          <w:rFonts w:hint="eastAsia" w:cs="Times New Roman"/>
        </w:rPr>
      </w:pPr>
    </w:p>
    <w:p w14:paraId="07E922B0">
      <w:pPr>
        <w:pageBreakBefore w:val="0"/>
        <w:kinsoku/>
        <w:wordWrap/>
        <w:overflowPunct/>
        <w:topLinePunct w:val="0"/>
        <w:autoSpaceDE w:val="0"/>
        <w:autoSpaceDN w:val="0"/>
        <w:bidi w:val="0"/>
        <w:adjustRightInd/>
        <w:spacing w:line="560" w:lineRule="exact"/>
        <w:ind w:left="0" w:firstLine="0" w:firstLineChars="0"/>
        <w:textAlignment w:val="auto"/>
        <w:rPr>
          <w:rFonts w:hint="eastAsia" w:cs="Times New Roman"/>
        </w:rPr>
      </w:pPr>
      <w:r>
        <w:rPr>
          <w:rFonts w:hint="eastAsia" w:cs="Times New Roman"/>
        </w:rPr>
        <w:br w:type="page"/>
      </w:r>
    </w:p>
    <w:p w14:paraId="2A539A5F">
      <w:pPr>
        <w:pageBreakBefore w:val="0"/>
        <w:widowControl w:val="0"/>
        <w:kinsoku/>
        <w:overflowPunct/>
        <w:topLinePunct w:val="0"/>
        <w:autoSpaceDE w:val="0"/>
        <w:autoSpaceDN w:val="0"/>
        <w:bidi w:val="0"/>
        <w:adjustRightInd/>
        <w:spacing w:line="560" w:lineRule="exact"/>
        <w:ind w:left="0" w:firstLine="640" w:firstLineChars="200"/>
        <w:jc w:val="both"/>
        <w:textAlignment w:val="auto"/>
        <w:outlineLvl w:val="0"/>
        <w:rPr>
          <w:rFonts w:ascii="黑体" w:hAnsi="黑体" w:eastAsia="黑体" w:cs="Times New Roman"/>
          <w:kern w:val="2"/>
          <w:sz w:val="32"/>
          <w:szCs w:val="24"/>
          <w:lang w:val="en-US" w:eastAsia="zh-CN" w:bidi="ar-SA"/>
        </w:rPr>
      </w:pPr>
      <w:r>
        <w:rPr>
          <w:rFonts w:hint="eastAsia" w:ascii="黑体" w:hAnsi="黑体" w:eastAsia="黑体" w:cs="Times New Roman"/>
          <w:kern w:val="2"/>
          <w:sz w:val="32"/>
          <w:szCs w:val="24"/>
          <w:lang w:val="en-US" w:eastAsia="zh-CN" w:bidi="ar-SA"/>
        </w:rPr>
        <w:t>附表6 测试化验加工费预算明细表</w:t>
      </w:r>
    </w:p>
    <w:p w14:paraId="5130212C">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jc w:val="right"/>
        <w:textAlignment w:val="auto"/>
        <w:rPr>
          <w:rFonts w:hint="eastAsia" w:ascii="黑体" w:hAnsi="黑体" w:eastAsia="黑体" w:cs="Times New Roman"/>
          <w:sz w:val="21"/>
          <w:szCs w:val="21"/>
          <w:lang w:eastAsia="zh-CN"/>
        </w:rPr>
      </w:pPr>
      <w:r>
        <w:rPr>
          <w:rFonts w:hint="eastAsia" w:ascii="黑体" w:eastAsia="黑体" w:cs="Times New Roman"/>
          <w:sz w:val="21"/>
          <w:szCs w:val="21"/>
        </w:rPr>
        <w:t xml:space="preserve">                                                                                                                     </w:t>
      </w:r>
      <w:r>
        <w:rPr>
          <w:rFonts w:hint="eastAsia" w:ascii="黑体" w:hAnsi="黑体" w:eastAsia="黑体" w:cs="Times New Roman"/>
          <w:sz w:val="21"/>
          <w:szCs w:val="21"/>
          <w:lang w:eastAsia="zh-CN"/>
        </w:rPr>
        <w:t>金额单位：万元</w:t>
      </w:r>
    </w:p>
    <w:tbl>
      <w:tblPr>
        <w:tblStyle w:val="18"/>
        <w:tblW w:w="14193"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30" w:type="dxa"/>
          <w:bottom w:w="0" w:type="dxa"/>
          <w:right w:w="30" w:type="dxa"/>
        </w:tblCellMar>
      </w:tblPr>
      <w:tblGrid>
        <w:gridCol w:w="555"/>
        <w:gridCol w:w="4969"/>
        <w:gridCol w:w="1559"/>
        <w:gridCol w:w="1984"/>
        <w:gridCol w:w="1560"/>
        <w:gridCol w:w="1275"/>
        <w:gridCol w:w="1560"/>
        <w:gridCol w:w="731"/>
      </w:tblGrid>
      <w:tr w14:paraId="0990E55E">
        <w:trPr>
          <w:cantSplit/>
          <w:trHeight w:val="558" w:hRule="atLeast"/>
          <w:jc w:val="center"/>
        </w:trPr>
        <w:tc>
          <w:tcPr>
            <w:tcW w:w="14193" w:type="dxa"/>
            <w:gridSpan w:val="8"/>
            <w:vAlign w:val="center"/>
          </w:tcPr>
          <w:p w14:paraId="6AC60B3C">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1440" w:leftChars="0" w:right="0" w:hanging="1440" w:hangingChars="600"/>
              <w:jc w:val="left"/>
              <w:textAlignment w:val="auto"/>
              <w:rPr>
                <w:rFonts w:hint="eastAsia" w:ascii="仿宋_GB2312" w:hAnsi="仿宋_GB2312" w:eastAsia="仿宋_GB2312" w:cs="仿宋_GB2312"/>
                <w:bCs/>
                <w:color w:val="2D00C7"/>
                <w:sz w:val="24"/>
                <w:szCs w:val="24"/>
              </w:rPr>
            </w:pPr>
            <w:r>
              <w:rPr>
                <w:rFonts w:hint="eastAsia" w:ascii="仿宋_GB2312" w:hAnsi="仿宋_GB2312" w:eastAsia="仿宋_GB2312" w:cs="仿宋_GB2312"/>
                <w:bCs/>
                <w:color w:val="2D00C7"/>
                <w:sz w:val="24"/>
                <w:szCs w:val="24"/>
              </w:rPr>
              <w:t>填表说明：1.量大及价高测试化验加工费，是指项目研究过程中需测试化验加工的数量过多或单位价格较高、总费用在5万元及以上的测试化验加工，需填写明细；</w:t>
            </w:r>
          </w:p>
          <w:p w14:paraId="609C7EBA">
            <w:pPr>
              <w:keepNext w:val="0"/>
              <w:keepLines w:val="0"/>
              <w:pageBreakBefore w:val="0"/>
              <w:widowControl w:val="0"/>
              <w:kinsoku/>
              <w:wordWrap/>
              <w:overflowPunct/>
              <w:topLinePunct w:val="0"/>
              <w:autoSpaceDE w:val="0"/>
              <w:autoSpaceDN w:val="0"/>
              <w:bidi w:val="0"/>
              <w:adjustRightInd/>
              <w:snapToGrid w:val="0"/>
              <w:spacing w:beforeAutospacing="0" w:afterAutospacing="0" w:line="320" w:lineRule="exact"/>
              <w:ind w:left="0" w:leftChars="0" w:right="0" w:firstLine="1200" w:firstLineChars="500"/>
              <w:textAlignment w:val="auto"/>
              <w:rPr>
                <w:rFonts w:hint="eastAsia" w:ascii="仿宋_GB2312" w:hAnsi="仿宋_GB2312" w:eastAsia="仿宋_GB2312" w:cs="仿宋_GB2312"/>
                <w:color w:val="2D00C7"/>
                <w:sz w:val="24"/>
                <w:szCs w:val="24"/>
              </w:rPr>
            </w:pPr>
            <w:r>
              <w:rPr>
                <w:rFonts w:hint="eastAsia" w:ascii="仿宋_GB2312" w:hAnsi="仿宋_GB2312" w:eastAsia="仿宋_GB2312" w:cs="仿宋_GB2312"/>
                <w:color w:val="2D00C7"/>
                <w:sz w:val="24"/>
                <w:szCs w:val="24"/>
              </w:rPr>
              <w:t>2.资金来源：A.专项经费、B.自筹经费；</w:t>
            </w:r>
          </w:p>
          <w:p w14:paraId="6C247D56">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1200" w:firstLineChars="500"/>
              <w:jc w:val="left"/>
              <w:textAlignment w:val="auto"/>
              <w:rPr>
                <w:rFonts w:hint="eastAsia" w:ascii="仿宋_GB2312" w:hAnsi="仿宋_GB2312" w:eastAsia="仿宋_GB2312" w:cs="仿宋_GB2312"/>
                <w:bCs/>
                <w:color w:val="2D00C7"/>
                <w:sz w:val="24"/>
                <w:szCs w:val="24"/>
              </w:rPr>
            </w:pPr>
            <w:r>
              <w:rPr>
                <w:rFonts w:hint="eastAsia" w:ascii="仿宋_GB2312" w:hAnsi="仿宋_GB2312" w:eastAsia="仿宋_GB2312" w:cs="仿宋_GB2312"/>
                <w:color w:val="2D00C7"/>
                <w:sz w:val="24"/>
                <w:szCs w:val="24"/>
              </w:rPr>
              <w:t>3.申请专项经费在20万元及以下时，毋须填写本表。</w:t>
            </w:r>
            <w:r>
              <w:rPr>
                <w:rFonts w:hint="eastAsia" w:ascii="仿宋_GB2312" w:hAnsi="仿宋_GB2312" w:eastAsia="仿宋_GB2312" w:cs="仿宋_GB2312"/>
                <w:bCs/>
                <w:color w:val="2D00C7"/>
                <w:sz w:val="24"/>
                <w:szCs w:val="24"/>
              </w:rPr>
              <w:t xml:space="preserve"> </w:t>
            </w:r>
          </w:p>
          <w:p w14:paraId="18C0606A">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1200" w:firstLineChars="500"/>
              <w:jc w:val="left"/>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color w:val="2D00C7"/>
                <w:sz w:val="24"/>
                <w:szCs w:val="24"/>
              </w:rPr>
              <w:t>4.测试化验加工单位在填报阶段不需填写，测试化验加工单位的确定依据你单位经费使用管理办法确定。</w:t>
            </w:r>
          </w:p>
        </w:tc>
      </w:tr>
      <w:tr w14:paraId="7B82B0F5">
        <w:trPr>
          <w:cantSplit/>
          <w:trHeight w:val="705" w:hRule="atLeast"/>
          <w:jc w:val="center"/>
        </w:trPr>
        <w:tc>
          <w:tcPr>
            <w:tcW w:w="555" w:type="dxa"/>
            <w:tcBorders>
              <w:bottom w:val="single" w:color="auto" w:sz="6" w:space="0"/>
            </w:tcBorders>
            <w:vAlign w:val="center"/>
          </w:tcPr>
          <w:p w14:paraId="4FF85881">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序号</w:t>
            </w:r>
          </w:p>
        </w:tc>
        <w:tc>
          <w:tcPr>
            <w:tcW w:w="4969" w:type="dxa"/>
            <w:tcBorders>
              <w:bottom w:val="single" w:color="auto" w:sz="6" w:space="0"/>
            </w:tcBorders>
            <w:vAlign w:val="center"/>
          </w:tcPr>
          <w:p w14:paraId="2192436E">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测试化验加工的内容</w:t>
            </w:r>
          </w:p>
        </w:tc>
        <w:tc>
          <w:tcPr>
            <w:tcW w:w="1559" w:type="dxa"/>
            <w:tcBorders>
              <w:bottom w:val="single" w:color="auto" w:sz="6" w:space="0"/>
            </w:tcBorders>
            <w:vAlign w:val="center"/>
          </w:tcPr>
          <w:p w14:paraId="736F78B5">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计量单位</w:t>
            </w:r>
          </w:p>
        </w:tc>
        <w:tc>
          <w:tcPr>
            <w:tcW w:w="1984" w:type="dxa"/>
            <w:tcBorders>
              <w:bottom w:val="single" w:color="auto" w:sz="6" w:space="0"/>
            </w:tcBorders>
            <w:vAlign w:val="center"/>
          </w:tcPr>
          <w:p w14:paraId="7989E054">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单价</w:t>
            </w:r>
          </w:p>
          <w:p w14:paraId="1ADF54C1">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（元/单位数量）</w:t>
            </w:r>
          </w:p>
        </w:tc>
        <w:tc>
          <w:tcPr>
            <w:tcW w:w="1560" w:type="dxa"/>
            <w:tcBorders>
              <w:bottom w:val="single" w:color="auto" w:sz="6" w:space="0"/>
            </w:tcBorders>
            <w:vAlign w:val="center"/>
          </w:tcPr>
          <w:p w14:paraId="7D7C6F28">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数量</w:t>
            </w:r>
          </w:p>
        </w:tc>
        <w:tc>
          <w:tcPr>
            <w:tcW w:w="1275" w:type="dxa"/>
            <w:tcBorders>
              <w:bottom w:val="single" w:color="auto" w:sz="6" w:space="0"/>
            </w:tcBorders>
            <w:vAlign w:val="center"/>
          </w:tcPr>
          <w:p w14:paraId="3F4A65F9">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金额</w:t>
            </w:r>
          </w:p>
        </w:tc>
        <w:tc>
          <w:tcPr>
            <w:tcW w:w="1560" w:type="dxa"/>
            <w:tcBorders>
              <w:bottom w:val="single" w:color="auto" w:sz="6" w:space="0"/>
              <w:right w:val="single" w:color="auto" w:sz="4" w:space="0"/>
            </w:tcBorders>
            <w:vAlign w:val="center"/>
          </w:tcPr>
          <w:p w14:paraId="6E57A11E">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资金来源</w:t>
            </w:r>
          </w:p>
        </w:tc>
        <w:tc>
          <w:tcPr>
            <w:tcW w:w="731" w:type="dxa"/>
            <w:tcBorders>
              <w:left w:val="single" w:color="auto" w:sz="4" w:space="0"/>
              <w:bottom w:val="single" w:color="auto" w:sz="6" w:space="0"/>
            </w:tcBorders>
            <w:vAlign w:val="center"/>
          </w:tcPr>
          <w:p w14:paraId="11B59710">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计算依据</w:t>
            </w:r>
          </w:p>
        </w:tc>
      </w:tr>
      <w:tr w14:paraId="612EE270">
        <w:trPr>
          <w:cantSplit/>
          <w:trHeight w:val="397" w:hRule="atLeast"/>
          <w:jc w:val="center"/>
        </w:trPr>
        <w:tc>
          <w:tcPr>
            <w:tcW w:w="555" w:type="dxa"/>
            <w:vAlign w:val="center"/>
          </w:tcPr>
          <w:p w14:paraId="686E1DF4">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4969" w:type="dxa"/>
            <w:vAlign w:val="center"/>
          </w:tcPr>
          <w:p w14:paraId="4236A86E">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其他测试化验加工费</w:t>
            </w:r>
          </w:p>
        </w:tc>
        <w:tc>
          <w:tcPr>
            <w:tcW w:w="1559" w:type="dxa"/>
            <w:vAlign w:val="center"/>
          </w:tcPr>
          <w:p w14:paraId="2CF6351B">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984" w:type="dxa"/>
            <w:vAlign w:val="center"/>
          </w:tcPr>
          <w:p w14:paraId="439B0E3B">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560" w:type="dxa"/>
            <w:vAlign w:val="center"/>
          </w:tcPr>
          <w:p w14:paraId="4B39A4C8">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275" w:type="dxa"/>
            <w:vAlign w:val="center"/>
          </w:tcPr>
          <w:p w14:paraId="7D892EBB">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1560" w:type="dxa"/>
            <w:tcBorders>
              <w:right w:val="single" w:color="auto" w:sz="4" w:space="0"/>
            </w:tcBorders>
            <w:vAlign w:val="center"/>
          </w:tcPr>
          <w:p w14:paraId="3541880F">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color w:val="000000"/>
                <w:sz w:val="24"/>
                <w:szCs w:val="24"/>
              </w:rPr>
              <w:t>专项经费</w:t>
            </w:r>
          </w:p>
        </w:tc>
        <w:tc>
          <w:tcPr>
            <w:tcW w:w="731" w:type="dxa"/>
            <w:tcBorders>
              <w:left w:val="single" w:color="auto" w:sz="4" w:space="0"/>
            </w:tcBorders>
            <w:vAlign w:val="center"/>
          </w:tcPr>
          <w:p w14:paraId="40D21010">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r>
      <w:tr w14:paraId="7F7468FA">
        <w:trPr>
          <w:cantSplit/>
          <w:trHeight w:val="397" w:hRule="atLeast"/>
          <w:jc w:val="center"/>
        </w:trPr>
        <w:tc>
          <w:tcPr>
            <w:tcW w:w="555" w:type="dxa"/>
            <w:vAlign w:val="center"/>
          </w:tcPr>
          <w:p w14:paraId="3255587B">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4969" w:type="dxa"/>
            <w:vAlign w:val="center"/>
          </w:tcPr>
          <w:p w14:paraId="51BAD7A9">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其他测试化验加工费</w:t>
            </w:r>
          </w:p>
        </w:tc>
        <w:tc>
          <w:tcPr>
            <w:tcW w:w="1559" w:type="dxa"/>
            <w:vAlign w:val="center"/>
          </w:tcPr>
          <w:p w14:paraId="268EA66C">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984" w:type="dxa"/>
            <w:vAlign w:val="center"/>
          </w:tcPr>
          <w:p w14:paraId="47F4C824">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560" w:type="dxa"/>
            <w:vAlign w:val="center"/>
          </w:tcPr>
          <w:p w14:paraId="709DA62D">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275" w:type="dxa"/>
            <w:vAlign w:val="center"/>
          </w:tcPr>
          <w:p w14:paraId="65B89111">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1560" w:type="dxa"/>
            <w:tcBorders>
              <w:right w:val="single" w:color="auto" w:sz="4" w:space="0"/>
            </w:tcBorders>
            <w:vAlign w:val="center"/>
          </w:tcPr>
          <w:p w14:paraId="06C3265D">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color w:val="000000"/>
                <w:sz w:val="24"/>
                <w:szCs w:val="24"/>
              </w:rPr>
              <w:t>自筹经费</w:t>
            </w:r>
          </w:p>
        </w:tc>
        <w:tc>
          <w:tcPr>
            <w:tcW w:w="731" w:type="dxa"/>
            <w:tcBorders>
              <w:left w:val="single" w:color="auto" w:sz="4" w:space="0"/>
            </w:tcBorders>
            <w:vAlign w:val="center"/>
          </w:tcPr>
          <w:p w14:paraId="6258ABCB">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r>
      <w:tr w14:paraId="1214FD53">
        <w:trPr>
          <w:cantSplit/>
          <w:trHeight w:val="397" w:hRule="atLeast"/>
          <w:jc w:val="center"/>
        </w:trPr>
        <w:tc>
          <w:tcPr>
            <w:tcW w:w="555" w:type="dxa"/>
            <w:vAlign w:val="center"/>
          </w:tcPr>
          <w:p w14:paraId="4FF25F17">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lang w:val="en-US" w:eastAsia="zh-CN"/>
              </w:rPr>
            </w:pPr>
            <w:r>
              <w:rPr>
                <w:rFonts w:hint="eastAsia" w:ascii="仿宋_GB2312" w:hAnsi="仿宋_GB2312" w:cs="仿宋_GB2312"/>
                <w:sz w:val="24"/>
                <w:szCs w:val="24"/>
                <w:lang w:val="en-US" w:eastAsia="zh-CN"/>
              </w:rPr>
              <w:t>1</w:t>
            </w:r>
          </w:p>
        </w:tc>
        <w:tc>
          <w:tcPr>
            <w:tcW w:w="4969" w:type="dxa"/>
            <w:vAlign w:val="center"/>
          </w:tcPr>
          <w:p w14:paraId="364F06DE">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1559" w:type="dxa"/>
            <w:vAlign w:val="center"/>
          </w:tcPr>
          <w:p w14:paraId="58F776F0">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1984" w:type="dxa"/>
            <w:vAlign w:val="center"/>
          </w:tcPr>
          <w:p w14:paraId="3CD28B0B">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1560" w:type="dxa"/>
            <w:vAlign w:val="center"/>
          </w:tcPr>
          <w:p w14:paraId="7A047085">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1275" w:type="dxa"/>
            <w:vAlign w:val="center"/>
          </w:tcPr>
          <w:p w14:paraId="4B44DD42">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1560" w:type="dxa"/>
            <w:tcBorders>
              <w:right w:val="single" w:color="auto" w:sz="4" w:space="0"/>
            </w:tcBorders>
            <w:vAlign w:val="center"/>
          </w:tcPr>
          <w:p w14:paraId="1AAD304C">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color w:val="000000"/>
                <w:sz w:val="24"/>
                <w:szCs w:val="24"/>
              </w:rPr>
            </w:pPr>
          </w:p>
        </w:tc>
        <w:tc>
          <w:tcPr>
            <w:tcW w:w="731" w:type="dxa"/>
            <w:tcBorders>
              <w:left w:val="single" w:color="auto" w:sz="4" w:space="0"/>
            </w:tcBorders>
            <w:vAlign w:val="center"/>
          </w:tcPr>
          <w:p w14:paraId="39256AD0">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r>
      <w:tr w14:paraId="16005F4B">
        <w:trPr>
          <w:cantSplit/>
          <w:trHeight w:val="397" w:hRule="atLeast"/>
          <w:jc w:val="center"/>
        </w:trPr>
        <w:tc>
          <w:tcPr>
            <w:tcW w:w="555" w:type="dxa"/>
            <w:vAlign w:val="center"/>
          </w:tcPr>
          <w:p w14:paraId="318555CA">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default" w:ascii="仿宋_GB2312" w:hAnsi="仿宋_GB2312" w:cs="仿宋_GB2312"/>
                <w:sz w:val="24"/>
                <w:szCs w:val="24"/>
                <w:lang w:val="en-US" w:eastAsia="zh-CN"/>
              </w:rPr>
            </w:pPr>
            <w:r>
              <w:rPr>
                <w:rFonts w:hint="eastAsia" w:ascii="仿宋_GB2312" w:hAnsi="仿宋_GB2312" w:cs="仿宋_GB2312"/>
                <w:sz w:val="24"/>
                <w:szCs w:val="24"/>
                <w:lang w:val="en-US" w:eastAsia="zh-CN"/>
              </w:rPr>
              <w:t>2</w:t>
            </w:r>
          </w:p>
        </w:tc>
        <w:tc>
          <w:tcPr>
            <w:tcW w:w="4969" w:type="dxa"/>
            <w:vAlign w:val="center"/>
          </w:tcPr>
          <w:p w14:paraId="24A97332">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1559" w:type="dxa"/>
            <w:vAlign w:val="center"/>
          </w:tcPr>
          <w:p w14:paraId="6C9F78EB">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1984" w:type="dxa"/>
            <w:vAlign w:val="center"/>
          </w:tcPr>
          <w:p w14:paraId="032E15EE">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1560" w:type="dxa"/>
            <w:vAlign w:val="center"/>
          </w:tcPr>
          <w:p w14:paraId="1371DA04">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1275" w:type="dxa"/>
            <w:vAlign w:val="center"/>
          </w:tcPr>
          <w:p w14:paraId="13B67DB9">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1560" w:type="dxa"/>
            <w:tcBorders>
              <w:right w:val="single" w:color="auto" w:sz="4" w:space="0"/>
            </w:tcBorders>
            <w:vAlign w:val="center"/>
          </w:tcPr>
          <w:p w14:paraId="406C4960">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color w:val="000000"/>
                <w:sz w:val="24"/>
                <w:szCs w:val="24"/>
              </w:rPr>
            </w:pPr>
          </w:p>
        </w:tc>
        <w:tc>
          <w:tcPr>
            <w:tcW w:w="731" w:type="dxa"/>
            <w:tcBorders>
              <w:left w:val="single" w:color="auto" w:sz="4" w:space="0"/>
            </w:tcBorders>
            <w:vAlign w:val="center"/>
          </w:tcPr>
          <w:p w14:paraId="47B34D61">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r>
      <w:tr w14:paraId="6A2D1654">
        <w:trPr>
          <w:cantSplit/>
          <w:trHeight w:val="397" w:hRule="atLeast"/>
          <w:jc w:val="center"/>
        </w:trPr>
        <w:tc>
          <w:tcPr>
            <w:tcW w:w="5524" w:type="dxa"/>
            <w:gridSpan w:val="2"/>
            <w:vAlign w:val="center"/>
          </w:tcPr>
          <w:p w14:paraId="7F532598">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量大及价高测试化验加工费合计</w:t>
            </w:r>
          </w:p>
        </w:tc>
        <w:tc>
          <w:tcPr>
            <w:tcW w:w="1559" w:type="dxa"/>
            <w:vAlign w:val="center"/>
          </w:tcPr>
          <w:p w14:paraId="065AA8DB">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984" w:type="dxa"/>
            <w:vAlign w:val="center"/>
          </w:tcPr>
          <w:p w14:paraId="15A3C07B">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560" w:type="dxa"/>
            <w:vAlign w:val="center"/>
          </w:tcPr>
          <w:p w14:paraId="7483E065">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275" w:type="dxa"/>
            <w:vAlign w:val="center"/>
          </w:tcPr>
          <w:p w14:paraId="69D031D7">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1560" w:type="dxa"/>
            <w:tcBorders>
              <w:right w:val="single" w:color="auto" w:sz="4" w:space="0"/>
            </w:tcBorders>
            <w:vAlign w:val="center"/>
          </w:tcPr>
          <w:p w14:paraId="1C2D6A26">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731" w:type="dxa"/>
            <w:tcBorders>
              <w:left w:val="single" w:color="auto" w:sz="4" w:space="0"/>
            </w:tcBorders>
            <w:vAlign w:val="center"/>
          </w:tcPr>
          <w:p w14:paraId="7F2FD5AF">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r>
      <w:tr w14:paraId="02B1E003">
        <w:trPr>
          <w:cantSplit/>
          <w:trHeight w:val="397" w:hRule="atLeast"/>
          <w:jc w:val="center"/>
        </w:trPr>
        <w:tc>
          <w:tcPr>
            <w:tcW w:w="5524" w:type="dxa"/>
            <w:gridSpan w:val="2"/>
            <w:vAlign w:val="center"/>
          </w:tcPr>
          <w:p w14:paraId="342F4906">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其他测试化验加工费</w:t>
            </w:r>
          </w:p>
        </w:tc>
        <w:tc>
          <w:tcPr>
            <w:tcW w:w="1559" w:type="dxa"/>
            <w:vAlign w:val="center"/>
          </w:tcPr>
          <w:p w14:paraId="539EF32F">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984" w:type="dxa"/>
            <w:vAlign w:val="center"/>
          </w:tcPr>
          <w:p w14:paraId="5C4C2DAE">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560" w:type="dxa"/>
            <w:vAlign w:val="center"/>
          </w:tcPr>
          <w:p w14:paraId="42019C07">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275" w:type="dxa"/>
            <w:vAlign w:val="center"/>
          </w:tcPr>
          <w:p w14:paraId="079FF7D3">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1560" w:type="dxa"/>
            <w:tcBorders>
              <w:right w:val="single" w:color="auto" w:sz="4" w:space="0"/>
            </w:tcBorders>
            <w:vAlign w:val="center"/>
          </w:tcPr>
          <w:p w14:paraId="7DCD20CE">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731" w:type="dxa"/>
            <w:tcBorders>
              <w:left w:val="single" w:color="auto" w:sz="4" w:space="0"/>
            </w:tcBorders>
            <w:vAlign w:val="center"/>
          </w:tcPr>
          <w:p w14:paraId="7FF1D27B">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r>
      <w:tr w14:paraId="1C04A233">
        <w:trPr>
          <w:cantSplit/>
          <w:trHeight w:val="397" w:hRule="atLeast"/>
          <w:jc w:val="center"/>
        </w:trPr>
        <w:tc>
          <w:tcPr>
            <w:tcW w:w="5524" w:type="dxa"/>
            <w:gridSpan w:val="2"/>
            <w:vAlign w:val="center"/>
          </w:tcPr>
          <w:p w14:paraId="75DC0121">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累计</w:t>
            </w:r>
          </w:p>
        </w:tc>
        <w:tc>
          <w:tcPr>
            <w:tcW w:w="1559" w:type="dxa"/>
            <w:vAlign w:val="center"/>
          </w:tcPr>
          <w:p w14:paraId="5404B8E3">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984" w:type="dxa"/>
            <w:vAlign w:val="center"/>
          </w:tcPr>
          <w:p w14:paraId="7CE90213">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560" w:type="dxa"/>
            <w:vAlign w:val="center"/>
          </w:tcPr>
          <w:p w14:paraId="34B15149">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275" w:type="dxa"/>
            <w:vAlign w:val="center"/>
          </w:tcPr>
          <w:p w14:paraId="40EB7F57">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1560" w:type="dxa"/>
            <w:tcBorders>
              <w:right w:val="single" w:color="auto" w:sz="4" w:space="0"/>
            </w:tcBorders>
          </w:tcPr>
          <w:p w14:paraId="6480ABCA">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731" w:type="dxa"/>
            <w:tcBorders>
              <w:left w:val="single" w:color="auto" w:sz="4" w:space="0"/>
            </w:tcBorders>
          </w:tcPr>
          <w:p w14:paraId="062DBCDC">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r>
    </w:tbl>
    <w:p w14:paraId="7D716171">
      <w:pPr>
        <w:pageBreakBefore w:val="0"/>
        <w:kinsoku/>
        <w:wordWrap/>
        <w:overflowPunct/>
        <w:topLinePunct w:val="0"/>
        <w:autoSpaceDE w:val="0"/>
        <w:autoSpaceDN w:val="0"/>
        <w:bidi w:val="0"/>
        <w:adjustRightInd/>
        <w:spacing w:line="560" w:lineRule="exact"/>
        <w:ind w:left="0" w:firstLine="0" w:firstLineChars="0"/>
        <w:textAlignment w:val="auto"/>
        <w:rPr>
          <w:rFonts w:hint="eastAsia" w:ascii="黑体" w:eastAsia="黑体" w:cs="Times New Roman"/>
          <w:b/>
        </w:rPr>
      </w:pPr>
      <w:r>
        <w:rPr>
          <w:rFonts w:hint="eastAsia" w:ascii="黑体" w:eastAsia="黑体" w:cs="Times New Roman"/>
          <w:b/>
        </w:rPr>
        <w:br w:type="page"/>
      </w:r>
    </w:p>
    <w:p w14:paraId="24F981EE">
      <w:pPr>
        <w:pageBreakBefore w:val="0"/>
        <w:widowControl w:val="0"/>
        <w:kinsoku/>
        <w:overflowPunct/>
        <w:topLinePunct w:val="0"/>
        <w:autoSpaceDE w:val="0"/>
        <w:autoSpaceDN w:val="0"/>
        <w:bidi w:val="0"/>
        <w:adjustRightInd/>
        <w:spacing w:line="560" w:lineRule="exact"/>
        <w:ind w:left="0" w:firstLine="640" w:firstLineChars="200"/>
        <w:jc w:val="both"/>
        <w:textAlignment w:val="auto"/>
        <w:outlineLvl w:val="0"/>
        <w:rPr>
          <w:rFonts w:ascii="黑体" w:hAnsi="黑体" w:eastAsia="黑体" w:cs="Times New Roman"/>
          <w:kern w:val="2"/>
          <w:sz w:val="32"/>
          <w:szCs w:val="24"/>
          <w:lang w:val="en-US" w:eastAsia="zh-CN" w:bidi="ar-SA"/>
        </w:rPr>
      </w:pPr>
      <w:r>
        <w:rPr>
          <w:rFonts w:hint="eastAsia" w:ascii="黑体" w:hAnsi="黑体" w:eastAsia="黑体" w:cs="Times New Roman"/>
          <w:kern w:val="2"/>
          <w:sz w:val="32"/>
          <w:szCs w:val="24"/>
          <w:lang w:val="en-US" w:eastAsia="zh-CN" w:bidi="ar-SA"/>
        </w:rPr>
        <w:t>附表7 劳务费预算明细表</w:t>
      </w:r>
    </w:p>
    <w:tbl>
      <w:tblPr>
        <w:tblStyle w:val="18"/>
        <w:tblW w:w="5002" w:type="pct"/>
        <w:jc w:val="center"/>
        <w:tblLayout w:type="autofit"/>
        <w:tblCellMar>
          <w:top w:w="0" w:type="dxa"/>
          <w:left w:w="108" w:type="dxa"/>
          <w:bottom w:w="0" w:type="dxa"/>
          <w:right w:w="108" w:type="dxa"/>
        </w:tblCellMar>
      </w:tblPr>
      <w:tblGrid>
        <w:gridCol w:w="1396"/>
        <w:gridCol w:w="736"/>
        <w:gridCol w:w="3"/>
        <w:gridCol w:w="738"/>
        <w:gridCol w:w="3"/>
        <w:gridCol w:w="357"/>
        <w:gridCol w:w="475"/>
        <w:gridCol w:w="3"/>
        <w:gridCol w:w="410"/>
        <w:gridCol w:w="337"/>
        <w:gridCol w:w="254"/>
        <w:gridCol w:w="578"/>
        <w:gridCol w:w="188"/>
        <w:gridCol w:w="811"/>
        <w:gridCol w:w="489"/>
        <w:gridCol w:w="378"/>
        <w:gridCol w:w="489"/>
        <w:gridCol w:w="613"/>
        <w:gridCol w:w="3"/>
        <w:gridCol w:w="490"/>
        <w:gridCol w:w="508"/>
        <w:gridCol w:w="3"/>
        <w:gridCol w:w="490"/>
        <w:gridCol w:w="852"/>
        <w:gridCol w:w="3"/>
        <w:gridCol w:w="490"/>
        <w:gridCol w:w="671"/>
        <w:gridCol w:w="579"/>
        <w:gridCol w:w="726"/>
        <w:gridCol w:w="1265"/>
      </w:tblGrid>
      <w:tr w14:paraId="4CFC5337">
        <w:trPr>
          <w:trHeight w:val="300" w:hRule="atLeast"/>
          <w:jc w:val="center"/>
        </w:trPr>
        <w:tc>
          <w:tcPr>
            <w:tcW w:w="1128" w:type="pct"/>
            <w:gridSpan w:val="6"/>
            <w:tcBorders>
              <w:top w:val="nil"/>
              <w:left w:val="nil"/>
              <w:bottom w:val="single" w:color="auto" w:sz="8" w:space="0"/>
              <w:right w:val="nil"/>
            </w:tcBorders>
            <w:shd w:val="clear" w:color="auto" w:fill="auto"/>
            <w:noWrap/>
            <w:vAlign w:val="center"/>
          </w:tcPr>
          <w:p w14:paraId="6052A5B4">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308" w:type="pct"/>
            <w:gridSpan w:val="3"/>
            <w:tcBorders>
              <w:top w:val="nil"/>
              <w:left w:val="nil"/>
              <w:bottom w:val="single" w:color="auto" w:sz="8" w:space="0"/>
              <w:right w:val="nil"/>
            </w:tcBorders>
            <w:shd w:val="clear" w:color="auto" w:fill="auto"/>
            <w:noWrap/>
            <w:vAlign w:val="center"/>
          </w:tcPr>
          <w:p w14:paraId="3873CC43">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205" w:type="pct"/>
            <w:gridSpan w:val="2"/>
            <w:tcBorders>
              <w:top w:val="nil"/>
              <w:left w:val="nil"/>
              <w:bottom w:val="single" w:color="auto" w:sz="8" w:space="0"/>
              <w:right w:val="nil"/>
            </w:tcBorders>
            <w:shd w:val="clear" w:color="auto" w:fill="auto"/>
            <w:noWrap/>
            <w:vAlign w:val="center"/>
          </w:tcPr>
          <w:p w14:paraId="0DBEE759">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268" w:type="pct"/>
            <w:gridSpan w:val="2"/>
            <w:tcBorders>
              <w:top w:val="nil"/>
              <w:left w:val="nil"/>
              <w:bottom w:val="single" w:color="auto" w:sz="8" w:space="0"/>
              <w:right w:val="nil"/>
            </w:tcBorders>
            <w:shd w:val="clear" w:color="auto" w:fill="auto"/>
            <w:noWrap/>
            <w:vAlign w:val="center"/>
          </w:tcPr>
          <w:p w14:paraId="64EC03A5">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454" w:type="pct"/>
            <w:gridSpan w:val="2"/>
            <w:tcBorders>
              <w:top w:val="nil"/>
              <w:left w:val="nil"/>
              <w:bottom w:val="single" w:color="auto" w:sz="8" w:space="0"/>
              <w:right w:val="nil"/>
            </w:tcBorders>
            <w:shd w:val="clear" w:color="auto" w:fill="auto"/>
            <w:noWrap/>
            <w:vAlign w:val="center"/>
          </w:tcPr>
          <w:p w14:paraId="754A7C31">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303" w:type="pct"/>
            <w:gridSpan w:val="2"/>
            <w:tcBorders>
              <w:top w:val="nil"/>
              <w:left w:val="nil"/>
              <w:bottom w:val="single" w:color="auto" w:sz="8" w:space="0"/>
              <w:right w:val="nil"/>
            </w:tcBorders>
            <w:shd w:val="clear" w:color="auto" w:fill="auto"/>
            <w:noWrap/>
            <w:vAlign w:val="center"/>
          </w:tcPr>
          <w:p w14:paraId="0482C2B7">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386" w:type="pct"/>
            <w:gridSpan w:val="3"/>
            <w:tcBorders>
              <w:top w:val="nil"/>
              <w:left w:val="nil"/>
              <w:bottom w:val="single" w:color="auto" w:sz="8" w:space="0"/>
              <w:right w:val="nil"/>
            </w:tcBorders>
            <w:shd w:val="clear" w:color="auto" w:fill="auto"/>
            <w:noWrap/>
            <w:vAlign w:val="center"/>
          </w:tcPr>
          <w:p w14:paraId="0321EC01">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349" w:type="pct"/>
            <w:gridSpan w:val="3"/>
            <w:tcBorders>
              <w:top w:val="nil"/>
              <w:left w:val="nil"/>
              <w:bottom w:val="single" w:color="auto" w:sz="8" w:space="0"/>
              <w:right w:val="nil"/>
            </w:tcBorders>
            <w:shd w:val="clear" w:color="auto" w:fill="auto"/>
            <w:noWrap/>
            <w:vAlign w:val="center"/>
          </w:tcPr>
          <w:p w14:paraId="114A37F0">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469" w:type="pct"/>
            <w:gridSpan w:val="3"/>
            <w:tcBorders>
              <w:top w:val="nil"/>
              <w:left w:val="nil"/>
              <w:bottom w:val="single" w:color="auto" w:sz="8" w:space="0"/>
              <w:right w:val="nil"/>
            </w:tcBorders>
            <w:shd w:val="clear" w:color="auto" w:fill="auto"/>
            <w:noWrap/>
            <w:vAlign w:val="center"/>
          </w:tcPr>
          <w:p w14:paraId="27101E7E">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432" w:type="pct"/>
            <w:gridSpan w:val="2"/>
            <w:tcBorders>
              <w:top w:val="nil"/>
              <w:left w:val="nil"/>
              <w:bottom w:val="single" w:color="auto" w:sz="8" w:space="0"/>
              <w:right w:val="nil"/>
            </w:tcBorders>
            <w:shd w:val="clear" w:color="auto" w:fill="auto"/>
            <w:noWrap/>
            <w:vAlign w:val="center"/>
          </w:tcPr>
          <w:p w14:paraId="515ADB6A">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695" w:type="pct"/>
            <w:gridSpan w:val="2"/>
            <w:tcBorders>
              <w:top w:val="nil"/>
              <w:left w:val="nil"/>
              <w:bottom w:val="single" w:color="auto" w:sz="8" w:space="0"/>
              <w:right w:val="nil"/>
            </w:tcBorders>
            <w:shd w:val="clear" w:color="auto" w:fill="auto"/>
            <w:noWrap/>
            <w:vAlign w:val="center"/>
          </w:tcPr>
          <w:p w14:paraId="2C87AD38">
            <w:pPr>
              <w:keepNext w:val="0"/>
              <w:keepLines w:val="0"/>
              <w:pageBreakBefore w:val="0"/>
              <w:kinsoku/>
              <w:wordWrap/>
              <w:overflowPunct/>
              <w:topLinePunct w:val="0"/>
              <w:autoSpaceDE w:val="0"/>
              <w:autoSpaceDN w:val="0"/>
              <w:bidi w:val="0"/>
              <w:adjustRightInd/>
              <w:snapToGrid/>
              <w:spacing w:beforeAutospacing="0" w:afterAutospacing="0" w:line="320" w:lineRule="exact"/>
              <w:ind w:left="0" w:leftChars="0" w:right="0" w:firstLine="0" w:firstLineChars="0"/>
              <w:jc w:val="right"/>
              <w:textAlignment w:val="auto"/>
              <w:rPr>
                <w:rFonts w:hint="eastAsia" w:ascii="仿宋_GB2312" w:hAnsi="仿宋_GB2312" w:eastAsia="仿宋_GB2312" w:cs="仿宋_GB2312"/>
                <w:kern w:val="0"/>
                <w:sz w:val="21"/>
                <w:szCs w:val="21"/>
                <w:lang w:eastAsia="zh-CN"/>
              </w:rPr>
            </w:pPr>
            <w:r>
              <w:rPr>
                <w:rFonts w:hint="eastAsia" w:ascii="仿宋_GB2312" w:hAnsi="仿宋_GB2312" w:cs="仿宋_GB2312"/>
                <w:sz w:val="21"/>
                <w:szCs w:val="21"/>
                <w:lang w:eastAsia="zh-CN"/>
              </w:rPr>
              <w:t>金额单位：万元</w:t>
            </w:r>
          </w:p>
        </w:tc>
      </w:tr>
      <w:tr w14:paraId="63D299A7">
        <w:trPr>
          <w:trHeight w:val="600" w:hRule="atLeast"/>
          <w:jc w:val="center"/>
        </w:trPr>
        <w:tc>
          <w:tcPr>
            <w:tcW w:w="5000" w:type="pct"/>
            <w:gridSpan w:val="30"/>
            <w:tcBorders>
              <w:top w:val="single" w:color="auto" w:sz="8" w:space="0"/>
              <w:left w:val="single" w:color="auto" w:sz="8" w:space="0"/>
              <w:bottom w:val="single" w:color="auto" w:sz="8" w:space="0"/>
              <w:right w:val="single" w:color="auto" w:sz="8" w:space="0"/>
            </w:tcBorders>
            <w:shd w:val="clear" w:color="auto" w:fill="auto"/>
            <w:vAlign w:val="center"/>
          </w:tcPr>
          <w:p w14:paraId="7FF36EAE">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color w:val="2D00C7"/>
                <w:kern w:val="0"/>
                <w:sz w:val="21"/>
                <w:szCs w:val="21"/>
              </w:rPr>
            </w:pPr>
            <w:r>
              <w:rPr>
                <w:rFonts w:hint="eastAsia" w:ascii="仿宋_GB2312" w:hAnsi="仿宋_GB2312" w:eastAsia="仿宋_GB2312" w:cs="仿宋_GB2312"/>
                <w:color w:val="2D00C7"/>
                <w:kern w:val="0"/>
                <w:sz w:val="21"/>
                <w:szCs w:val="21"/>
              </w:rPr>
              <w:t>填表说明：1.证件类别为：身份证、港澳台通行证及护照；身份证号码为15位</w:t>
            </w:r>
            <w:r>
              <w:rPr>
                <w:rFonts w:hint="eastAsia" w:ascii="仿宋_GB2312" w:hAnsi="仿宋_GB2312" w:cs="仿宋_GB2312"/>
                <w:color w:val="2D00C7"/>
                <w:kern w:val="0"/>
                <w:sz w:val="21"/>
                <w:szCs w:val="21"/>
                <w:lang w:eastAsia="zh-CN"/>
              </w:rPr>
              <w:t>或</w:t>
            </w:r>
            <w:r>
              <w:rPr>
                <w:rFonts w:hint="eastAsia" w:ascii="仿宋_GB2312" w:hAnsi="仿宋_GB2312" w:eastAsia="仿宋_GB2312" w:cs="仿宋_GB2312"/>
                <w:color w:val="2D00C7"/>
                <w:kern w:val="0"/>
                <w:sz w:val="21"/>
                <w:szCs w:val="21"/>
              </w:rPr>
              <w:t>18位；</w:t>
            </w:r>
          </w:p>
          <w:p w14:paraId="07B4A1CC">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right="0" w:firstLine="1050" w:firstLineChars="500"/>
              <w:jc w:val="left"/>
              <w:textAlignment w:val="auto"/>
              <w:rPr>
                <w:rFonts w:hint="eastAsia" w:ascii="仿宋_GB2312" w:hAnsi="仿宋_GB2312" w:eastAsia="仿宋_GB2312" w:cs="仿宋_GB2312"/>
                <w:color w:val="2D00C7"/>
                <w:kern w:val="0"/>
                <w:sz w:val="21"/>
                <w:szCs w:val="21"/>
              </w:rPr>
            </w:pPr>
            <w:r>
              <w:rPr>
                <w:rFonts w:hint="eastAsia" w:ascii="仿宋_GB2312" w:hAnsi="仿宋_GB2312" w:eastAsia="仿宋_GB2312" w:cs="仿宋_GB2312"/>
                <w:color w:val="2D00C7"/>
                <w:kern w:val="0"/>
                <w:sz w:val="21"/>
                <w:szCs w:val="21"/>
              </w:rPr>
              <w:t>2.性别：若证件类别为“身份证”，则自动获取，其他类别需要填写；</w:t>
            </w:r>
          </w:p>
          <w:p w14:paraId="71989FB1">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right="0" w:firstLine="1050" w:firstLineChars="500"/>
              <w:jc w:val="lef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color w:val="2D00C7"/>
                <w:kern w:val="0"/>
                <w:sz w:val="21"/>
                <w:szCs w:val="21"/>
              </w:rPr>
              <w:t>3.出生日期：年-月-日，例如：1962-01-01；若证件类别为“身份证”，则自动获取，其他类别需要填写出生日期。</w:t>
            </w:r>
          </w:p>
        </w:tc>
      </w:tr>
      <w:tr w14:paraId="2A21998A">
        <w:trPr>
          <w:trHeight w:val="1548" w:hRule="atLeast"/>
          <w:jc w:val="center"/>
        </w:trPr>
        <w:tc>
          <w:tcPr>
            <w:tcW w:w="487" w:type="pct"/>
            <w:tcBorders>
              <w:top w:val="single" w:color="auto" w:sz="8" w:space="0"/>
              <w:left w:val="single" w:color="auto" w:sz="8" w:space="0"/>
              <w:bottom w:val="single" w:color="000000" w:sz="8" w:space="0"/>
              <w:right w:val="single" w:color="auto" w:sz="4" w:space="0"/>
            </w:tcBorders>
            <w:shd w:val="clear" w:color="auto" w:fill="auto"/>
            <w:vAlign w:val="center"/>
          </w:tcPr>
          <w:p w14:paraId="4373DCB2">
            <w:pPr>
              <w:keepNext w:val="0"/>
              <w:keepLines w:val="0"/>
              <w:pageBreakBefore w:val="0"/>
              <w:widowControl/>
              <w:kinsoku/>
              <w:wordWrap/>
              <w:overflowPunct/>
              <w:topLinePunct w:val="0"/>
              <w:autoSpaceDE/>
              <w:autoSpaceDN/>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p>
        </w:tc>
        <w:tc>
          <w:tcPr>
            <w:tcW w:w="258" w:type="pct"/>
            <w:gridSpan w:val="2"/>
            <w:tcBorders>
              <w:top w:val="single" w:color="auto" w:sz="8" w:space="0"/>
              <w:left w:val="nil"/>
              <w:bottom w:val="single" w:color="auto" w:sz="4" w:space="0"/>
              <w:right w:val="single" w:color="auto" w:sz="4" w:space="0"/>
            </w:tcBorders>
            <w:shd w:val="clear" w:color="auto" w:fill="auto"/>
            <w:vAlign w:val="center"/>
          </w:tcPr>
          <w:p w14:paraId="783F0731">
            <w:pPr>
              <w:keepNext w:val="0"/>
              <w:keepLines w:val="0"/>
              <w:pageBreakBefore w:val="0"/>
              <w:widowControl/>
              <w:kinsoku/>
              <w:wordWrap/>
              <w:overflowPunct/>
              <w:topLinePunct w:val="0"/>
              <w:autoSpaceDE/>
              <w:autoSpaceDN/>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姓名</w:t>
            </w:r>
          </w:p>
        </w:tc>
        <w:tc>
          <w:tcPr>
            <w:tcW w:w="258" w:type="pct"/>
            <w:gridSpan w:val="2"/>
            <w:tcBorders>
              <w:top w:val="single" w:color="auto" w:sz="8" w:space="0"/>
              <w:left w:val="nil"/>
              <w:bottom w:val="single" w:color="auto" w:sz="4" w:space="0"/>
              <w:right w:val="single" w:color="auto" w:sz="4" w:space="0"/>
            </w:tcBorders>
            <w:shd w:val="clear" w:color="auto" w:fill="auto"/>
            <w:vAlign w:val="center"/>
          </w:tcPr>
          <w:p w14:paraId="37EC0740">
            <w:pPr>
              <w:keepNext w:val="0"/>
              <w:keepLines w:val="0"/>
              <w:pageBreakBefore w:val="0"/>
              <w:widowControl/>
              <w:kinsoku/>
              <w:wordWrap/>
              <w:overflowPunct/>
              <w:topLinePunct w:val="0"/>
              <w:autoSpaceDE/>
              <w:autoSpaceDN/>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证件类别</w:t>
            </w:r>
          </w:p>
        </w:tc>
        <w:tc>
          <w:tcPr>
            <w:tcW w:w="291" w:type="pct"/>
            <w:gridSpan w:val="2"/>
            <w:tcBorders>
              <w:top w:val="single" w:color="auto" w:sz="8" w:space="0"/>
              <w:left w:val="nil"/>
              <w:bottom w:val="single" w:color="auto" w:sz="4" w:space="0"/>
              <w:right w:val="single" w:color="auto" w:sz="4" w:space="0"/>
            </w:tcBorders>
            <w:shd w:val="clear" w:color="auto" w:fill="auto"/>
            <w:vAlign w:val="center"/>
          </w:tcPr>
          <w:p w14:paraId="56671F51">
            <w:pPr>
              <w:keepNext w:val="0"/>
              <w:keepLines w:val="0"/>
              <w:pageBreakBefore w:val="0"/>
              <w:widowControl/>
              <w:kinsoku/>
              <w:wordWrap/>
              <w:overflowPunct/>
              <w:topLinePunct w:val="0"/>
              <w:autoSpaceDE/>
              <w:autoSpaceDN/>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证件号码</w:t>
            </w:r>
          </w:p>
        </w:tc>
        <w:tc>
          <w:tcPr>
            <w:tcW w:w="258" w:type="pct"/>
            <w:gridSpan w:val="3"/>
            <w:tcBorders>
              <w:top w:val="single" w:color="auto" w:sz="8" w:space="0"/>
              <w:left w:val="nil"/>
              <w:bottom w:val="single" w:color="auto" w:sz="4" w:space="0"/>
              <w:right w:val="single" w:color="auto" w:sz="4" w:space="0"/>
            </w:tcBorders>
            <w:shd w:val="clear" w:color="auto" w:fill="auto"/>
            <w:vAlign w:val="center"/>
          </w:tcPr>
          <w:p w14:paraId="615C6B7C">
            <w:pPr>
              <w:keepNext w:val="0"/>
              <w:keepLines w:val="0"/>
              <w:pageBreakBefore w:val="0"/>
              <w:widowControl/>
              <w:kinsoku/>
              <w:wordWrap/>
              <w:overflowPunct/>
              <w:topLinePunct w:val="0"/>
              <w:autoSpaceDE/>
              <w:autoSpaceDN/>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性别</w:t>
            </w:r>
          </w:p>
        </w:tc>
        <w:tc>
          <w:tcPr>
            <w:tcW w:w="291" w:type="pct"/>
            <w:gridSpan w:val="2"/>
            <w:tcBorders>
              <w:top w:val="single" w:color="auto" w:sz="8" w:space="0"/>
              <w:left w:val="nil"/>
              <w:bottom w:val="single" w:color="auto" w:sz="4" w:space="0"/>
              <w:right w:val="single" w:color="auto" w:sz="4" w:space="0"/>
            </w:tcBorders>
            <w:shd w:val="clear" w:color="auto" w:fill="auto"/>
            <w:vAlign w:val="center"/>
          </w:tcPr>
          <w:p w14:paraId="326335B5">
            <w:pPr>
              <w:keepNext w:val="0"/>
              <w:keepLines w:val="0"/>
              <w:pageBreakBefore w:val="0"/>
              <w:widowControl/>
              <w:kinsoku/>
              <w:wordWrap/>
              <w:overflowPunct/>
              <w:topLinePunct w:val="0"/>
              <w:autoSpaceDE/>
              <w:autoSpaceDN/>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出生日期</w:t>
            </w:r>
          </w:p>
        </w:tc>
        <w:tc>
          <w:tcPr>
            <w:tcW w:w="349" w:type="pct"/>
            <w:gridSpan w:val="2"/>
            <w:tcBorders>
              <w:top w:val="single" w:color="auto" w:sz="8" w:space="0"/>
              <w:left w:val="nil"/>
              <w:bottom w:val="single" w:color="auto" w:sz="4" w:space="0"/>
              <w:right w:val="single" w:color="auto" w:sz="4" w:space="0"/>
            </w:tcBorders>
            <w:shd w:val="clear" w:color="auto" w:fill="auto"/>
            <w:vAlign w:val="center"/>
          </w:tcPr>
          <w:p w14:paraId="55CFA5E0">
            <w:pPr>
              <w:keepNext w:val="0"/>
              <w:keepLines w:val="0"/>
              <w:pageBreakBefore w:val="0"/>
              <w:widowControl/>
              <w:kinsoku/>
              <w:wordWrap/>
              <w:overflowPunct/>
              <w:topLinePunct w:val="0"/>
              <w:autoSpaceDE/>
              <w:autoSpaceDN/>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现工作单位</w:t>
            </w:r>
          </w:p>
        </w:tc>
        <w:tc>
          <w:tcPr>
            <w:tcW w:w="303" w:type="pct"/>
            <w:gridSpan w:val="2"/>
            <w:tcBorders>
              <w:top w:val="single" w:color="auto" w:sz="8" w:space="0"/>
              <w:left w:val="nil"/>
              <w:bottom w:val="single" w:color="auto" w:sz="4" w:space="0"/>
              <w:right w:val="single" w:color="auto" w:sz="4" w:space="0"/>
            </w:tcBorders>
            <w:shd w:val="clear" w:color="auto" w:fill="auto"/>
            <w:vAlign w:val="center"/>
          </w:tcPr>
          <w:p w14:paraId="31410196">
            <w:pPr>
              <w:keepNext w:val="0"/>
              <w:keepLines w:val="0"/>
              <w:pageBreakBefore w:val="0"/>
              <w:widowControl/>
              <w:kinsoku/>
              <w:wordWrap/>
              <w:overflowPunct/>
              <w:topLinePunct w:val="0"/>
              <w:autoSpaceDE/>
              <w:autoSpaceDN/>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现专业技术职务</w:t>
            </w:r>
          </w:p>
        </w:tc>
        <w:tc>
          <w:tcPr>
            <w:tcW w:w="385" w:type="pct"/>
            <w:gridSpan w:val="2"/>
            <w:tcBorders>
              <w:top w:val="single" w:color="auto" w:sz="8" w:space="0"/>
              <w:left w:val="nil"/>
              <w:bottom w:val="single" w:color="auto" w:sz="4" w:space="0"/>
              <w:right w:val="single" w:color="auto" w:sz="4" w:space="0"/>
            </w:tcBorders>
            <w:shd w:val="clear" w:color="auto" w:fill="auto"/>
            <w:vAlign w:val="center"/>
          </w:tcPr>
          <w:p w14:paraId="0D7F987E">
            <w:pPr>
              <w:keepNext w:val="0"/>
              <w:keepLines w:val="0"/>
              <w:pageBreakBefore w:val="0"/>
              <w:widowControl/>
              <w:kinsoku/>
              <w:wordWrap/>
              <w:overflowPunct/>
              <w:topLinePunct w:val="0"/>
              <w:autoSpaceDE/>
              <w:autoSpaceDN/>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目前</w:t>
            </w:r>
            <w:r>
              <w:rPr>
                <w:rFonts w:hint="eastAsia" w:ascii="仿宋_GB2312" w:hAnsi="仿宋_GB2312" w:cs="仿宋_GB2312"/>
                <w:kern w:val="0"/>
                <w:sz w:val="21"/>
                <w:szCs w:val="21"/>
                <w:lang w:eastAsia="zh-CN"/>
              </w:rPr>
              <w:t>参加其他</w:t>
            </w:r>
            <w:r>
              <w:rPr>
                <w:rFonts w:hint="eastAsia" w:ascii="仿宋_GB2312" w:hAnsi="仿宋_GB2312" w:eastAsia="仿宋_GB2312" w:cs="仿宋_GB2312"/>
                <w:kern w:val="0"/>
                <w:sz w:val="21"/>
                <w:szCs w:val="21"/>
              </w:rPr>
              <w:t>项目数/时间</w:t>
            </w:r>
          </w:p>
        </w:tc>
        <w:tc>
          <w:tcPr>
            <w:tcW w:w="349" w:type="pct"/>
            <w:gridSpan w:val="3"/>
            <w:tcBorders>
              <w:top w:val="single" w:color="auto" w:sz="8" w:space="0"/>
              <w:left w:val="nil"/>
              <w:bottom w:val="single" w:color="auto" w:sz="4" w:space="0"/>
              <w:right w:val="single" w:color="auto" w:sz="4" w:space="0"/>
            </w:tcBorders>
            <w:shd w:val="clear" w:color="auto" w:fill="auto"/>
            <w:vAlign w:val="center"/>
          </w:tcPr>
          <w:p w14:paraId="404F7EF5">
            <w:pPr>
              <w:keepNext w:val="0"/>
              <w:keepLines w:val="0"/>
              <w:pageBreakBefore w:val="0"/>
              <w:widowControl/>
              <w:kinsoku/>
              <w:wordWrap/>
              <w:overflowPunct/>
              <w:topLinePunct w:val="0"/>
              <w:autoSpaceDE/>
              <w:autoSpaceDN/>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在本项目中的责任分工</w:t>
            </w:r>
          </w:p>
        </w:tc>
        <w:tc>
          <w:tcPr>
            <w:tcW w:w="469" w:type="pct"/>
            <w:gridSpan w:val="3"/>
            <w:tcBorders>
              <w:top w:val="single" w:color="auto" w:sz="8" w:space="0"/>
              <w:left w:val="nil"/>
              <w:bottom w:val="single" w:color="auto" w:sz="4" w:space="0"/>
              <w:right w:val="single" w:color="auto" w:sz="4" w:space="0"/>
            </w:tcBorders>
            <w:shd w:val="clear" w:color="auto" w:fill="auto"/>
            <w:vAlign w:val="center"/>
          </w:tcPr>
          <w:p w14:paraId="1C801DC5">
            <w:pPr>
              <w:keepNext w:val="0"/>
              <w:keepLines w:val="0"/>
              <w:pageBreakBefore w:val="0"/>
              <w:widowControl/>
              <w:kinsoku/>
              <w:wordWrap/>
              <w:overflowPunct/>
              <w:topLinePunct w:val="0"/>
              <w:autoSpaceDE/>
              <w:autoSpaceDN/>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投入本项目的计划全时工作时间（人月）</w:t>
            </w:r>
          </w:p>
        </w:tc>
        <w:tc>
          <w:tcPr>
            <w:tcW w:w="402" w:type="pct"/>
            <w:gridSpan w:val="3"/>
            <w:tcBorders>
              <w:top w:val="single" w:color="auto" w:sz="8" w:space="0"/>
              <w:left w:val="nil"/>
              <w:bottom w:val="single" w:color="auto" w:sz="4" w:space="0"/>
              <w:right w:val="single" w:color="auto" w:sz="4" w:space="0"/>
            </w:tcBorders>
            <w:shd w:val="clear" w:color="auto" w:fill="auto"/>
            <w:vAlign w:val="center"/>
          </w:tcPr>
          <w:p w14:paraId="3B009695">
            <w:pPr>
              <w:keepNext w:val="0"/>
              <w:keepLines w:val="0"/>
              <w:pageBreakBefore w:val="0"/>
              <w:widowControl/>
              <w:kinsoku/>
              <w:wordWrap/>
              <w:overflowPunct/>
              <w:topLinePunct w:val="0"/>
              <w:autoSpaceDE/>
              <w:autoSpaceDN/>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平均资助标准（元/人月）</w:t>
            </w:r>
          </w:p>
        </w:tc>
        <w:tc>
          <w:tcPr>
            <w:tcW w:w="455" w:type="pct"/>
            <w:gridSpan w:val="2"/>
            <w:tcBorders>
              <w:top w:val="single" w:color="auto" w:sz="8" w:space="0"/>
              <w:left w:val="nil"/>
              <w:bottom w:val="single" w:color="auto" w:sz="4" w:space="0"/>
              <w:right w:val="single" w:color="auto" w:sz="4" w:space="0"/>
            </w:tcBorders>
            <w:shd w:val="clear" w:color="auto" w:fill="auto"/>
            <w:vAlign w:val="center"/>
          </w:tcPr>
          <w:p w14:paraId="702C6692">
            <w:pPr>
              <w:keepNext w:val="0"/>
              <w:keepLines w:val="0"/>
              <w:pageBreakBefore w:val="0"/>
              <w:widowControl/>
              <w:kinsoku/>
              <w:wordWrap/>
              <w:overflowPunct/>
              <w:topLinePunct w:val="0"/>
              <w:autoSpaceDE/>
              <w:autoSpaceDN/>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申请专项经费资助额</w:t>
            </w:r>
          </w:p>
        </w:tc>
        <w:tc>
          <w:tcPr>
            <w:tcW w:w="440" w:type="pct"/>
            <w:vMerge w:val="restart"/>
            <w:tcBorders>
              <w:top w:val="single" w:color="auto" w:sz="8" w:space="0"/>
              <w:left w:val="single" w:color="auto" w:sz="8" w:space="0"/>
              <w:right w:val="single" w:color="auto" w:sz="8" w:space="0"/>
            </w:tcBorders>
            <w:shd w:val="clear" w:color="auto" w:fill="auto"/>
            <w:vAlign w:val="center"/>
          </w:tcPr>
          <w:p w14:paraId="4636EEE1">
            <w:pPr>
              <w:keepNext w:val="0"/>
              <w:keepLines w:val="0"/>
              <w:pageBreakBefore w:val="0"/>
              <w:widowControl/>
              <w:kinsoku/>
              <w:wordWrap/>
              <w:overflowPunct/>
              <w:topLinePunct w:val="0"/>
              <w:autoSpaceDE/>
              <w:autoSpaceDN/>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签章</w:t>
            </w:r>
          </w:p>
        </w:tc>
      </w:tr>
      <w:tr w14:paraId="540BBC1D">
        <w:trPr>
          <w:trHeight w:val="480" w:hRule="atLeast"/>
          <w:jc w:val="center"/>
        </w:trPr>
        <w:tc>
          <w:tcPr>
            <w:tcW w:w="487" w:type="pct"/>
            <w:tcBorders>
              <w:top w:val="nil"/>
              <w:left w:val="single" w:color="auto" w:sz="8" w:space="0"/>
              <w:bottom w:val="single" w:color="000000" w:sz="8" w:space="0"/>
              <w:right w:val="single" w:color="auto" w:sz="4" w:space="0"/>
            </w:tcBorders>
            <w:shd w:val="clear" w:color="auto" w:fill="auto"/>
            <w:vAlign w:val="center"/>
          </w:tcPr>
          <w:p w14:paraId="649CF2DD">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p>
        </w:tc>
        <w:tc>
          <w:tcPr>
            <w:tcW w:w="258" w:type="pct"/>
            <w:gridSpan w:val="2"/>
            <w:tcBorders>
              <w:top w:val="nil"/>
              <w:left w:val="nil"/>
              <w:bottom w:val="single" w:color="auto" w:sz="8" w:space="0"/>
              <w:right w:val="single" w:color="auto" w:sz="4" w:space="0"/>
            </w:tcBorders>
            <w:shd w:val="clear" w:color="auto" w:fill="auto"/>
            <w:vAlign w:val="center"/>
          </w:tcPr>
          <w:p w14:paraId="38DF21F4">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w:t>
            </w:r>
          </w:p>
        </w:tc>
        <w:tc>
          <w:tcPr>
            <w:tcW w:w="258" w:type="pct"/>
            <w:gridSpan w:val="2"/>
            <w:tcBorders>
              <w:top w:val="nil"/>
              <w:left w:val="nil"/>
              <w:bottom w:val="single" w:color="auto" w:sz="8" w:space="0"/>
              <w:right w:val="single" w:color="auto" w:sz="4" w:space="0"/>
            </w:tcBorders>
            <w:shd w:val="clear" w:color="auto" w:fill="auto"/>
            <w:vAlign w:val="center"/>
          </w:tcPr>
          <w:p w14:paraId="4543EF23">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w:t>
            </w:r>
          </w:p>
        </w:tc>
        <w:tc>
          <w:tcPr>
            <w:tcW w:w="291" w:type="pct"/>
            <w:gridSpan w:val="2"/>
            <w:tcBorders>
              <w:top w:val="nil"/>
              <w:left w:val="nil"/>
              <w:bottom w:val="single" w:color="auto" w:sz="8" w:space="0"/>
              <w:right w:val="single" w:color="auto" w:sz="4" w:space="0"/>
            </w:tcBorders>
            <w:shd w:val="clear" w:color="auto" w:fill="auto"/>
            <w:vAlign w:val="center"/>
          </w:tcPr>
          <w:p w14:paraId="4505C587">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（3）</w:t>
            </w:r>
          </w:p>
        </w:tc>
        <w:tc>
          <w:tcPr>
            <w:tcW w:w="258" w:type="pct"/>
            <w:gridSpan w:val="3"/>
            <w:tcBorders>
              <w:top w:val="nil"/>
              <w:left w:val="nil"/>
              <w:bottom w:val="single" w:color="auto" w:sz="8" w:space="0"/>
              <w:right w:val="single" w:color="auto" w:sz="4" w:space="0"/>
            </w:tcBorders>
            <w:shd w:val="clear" w:color="auto" w:fill="auto"/>
            <w:vAlign w:val="center"/>
          </w:tcPr>
          <w:p w14:paraId="3A6A72A4">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（4）</w:t>
            </w:r>
          </w:p>
        </w:tc>
        <w:tc>
          <w:tcPr>
            <w:tcW w:w="291" w:type="pct"/>
            <w:gridSpan w:val="2"/>
            <w:tcBorders>
              <w:top w:val="nil"/>
              <w:left w:val="nil"/>
              <w:bottom w:val="single" w:color="auto" w:sz="8" w:space="0"/>
              <w:right w:val="single" w:color="auto" w:sz="4" w:space="0"/>
            </w:tcBorders>
            <w:shd w:val="clear" w:color="auto" w:fill="auto"/>
            <w:vAlign w:val="center"/>
          </w:tcPr>
          <w:p w14:paraId="40AD90C2">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（5）</w:t>
            </w:r>
          </w:p>
        </w:tc>
        <w:tc>
          <w:tcPr>
            <w:tcW w:w="349" w:type="pct"/>
            <w:gridSpan w:val="2"/>
            <w:tcBorders>
              <w:top w:val="nil"/>
              <w:left w:val="nil"/>
              <w:bottom w:val="single" w:color="auto" w:sz="8" w:space="0"/>
              <w:right w:val="single" w:color="auto" w:sz="4" w:space="0"/>
            </w:tcBorders>
            <w:shd w:val="clear" w:color="auto" w:fill="auto"/>
            <w:vAlign w:val="center"/>
          </w:tcPr>
          <w:p w14:paraId="63F6C60E">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（6）</w:t>
            </w:r>
          </w:p>
        </w:tc>
        <w:tc>
          <w:tcPr>
            <w:tcW w:w="303" w:type="pct"/>
            <w:gridSpan w:val="2"/>
            <w:tcBorders>
              <w:top w:val="nil"/>
              <w:left w:val="nil"/>
              <w:bottom w:val="single" w:color="auto" w:sz="8" w:space="0"/>
              <w:right w:val="single" w:color="auto" w:sz="4" w:space="0"/>
            </w:tcBorders>
            <w:shd w:val="clear" w:color="auto" w:fill="auto"/>
            <w:vAlign w:val="center"/>
          </w:tcPr>
          <w:p w14:paraId="3759FC43">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（7）</w:t>
            </w:r>
          </w:p>
        </w:tc>
        <w:tc>
          <w:tcPr>
            <w:tcW w:w="385" w:type="pct"/>
            <w:gridSpan w:val="2"/>
            <w:tcBorders>
              <w:top w:val="nil"/>
              <w:left w:val="nil"/>
              <w:bottom w:val="single" w:color="auto" w:sz="8" w:space="0"/>
              <w:right w:val="single" w:color="auto" w:sz="4" w:space="0"/>
            </w:tcBorders>
            <w:shd w:val="clear" w:color="auto" w:fill="auto"/>
            <w:vAlign w:val="center"/>
          </w:tcPr>
          <w:p w14:paraId="5980B261">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（8）</w:t>
            </w:r>
          </w:p>
        </w:tc>
        <w:tc>
          <w:tcPr>
            <w:tcW w:w="349" w:type="pct"/>
            <w:gridSpan w:val="3"/>
            <w:tcBorders>
              <w:top w:val="nil"/>
              <w:left w:val="nil"/>
              <w:bottom w:val="single" w:color="auto" w:sz="8" w:space="0"/>
              <w:right w:val="single" w:color="auto" w:sz="4" w:space="0"/>
            </w:tcBorders>
            <w:shd w:val="clear" w:color="auto" w:fill="auto"/>
            <w:vAlign w:val="center"/>
          </w:tcPr>
          <w:p w14:paraId="7B7E7D40">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（9）</w:t>
            </w:r>
          </w:p>
        </w:tc>
        <w:tc>
          <w:tcPr>
            <w:tcW w:w="469" w:type="pct"/>
            <w:gridSpan w:val="3"/>
            <w:tcBorders>
              <w:top w:val="nil"/>
              <w:left w:val="nil"/>
              <w:bottom w:val="single" w:color="auto" w:sz="8" w:space="0"/>
              <w:right w:val="single" w:color="auto" w:sz="4" w:space="0"/>
            </w:tcBorders>
            <w:shd w:val="clear" w:color="auto" w:fill="auto"/>
            <w:vAlign w:val="center"/>
          </w:tcPr>
          <w:p w14:paraId="0F40599E">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（10）</w:t>
            </w:r>
          </w:p>
        </w:tc>
        <w:tc>
          <w:tcPr>
            <w:tcW w:w="402" w:type="pct"/>
            <w:gridSpan w:val="3"/>
            <w:tcBorders>
              <w:top w:val="nil"/>
              <w:left w:val="nil"/>
              <w:bottom w:val="single" w:color="auto" w:sz="8" w:space="0"/>
              <w:right w:val="single" w:color="auto" w:sz="4" w:space="0"/>
            </w:tcBorders>
            <w:shd w:val="clear" w:color="auto" w:fill="auto"/>
            <w:vAlign w:val="center"/>
          </w:tcPr>
          <w:p w14:paraId="51BD65B4">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（11）</w:t>
            </w:r>
          </w:p>
        </w:tc>
        <w:tc>
          <w:tcPr>
            <w:tcW w:w="455" w:type="pct"/>
            <w:gridSpan w:val="2"/>
            <w:tcBorders>
              <w:top w:val="nil"/>
              <w:left w:val="nil"/>
              <w:bottom w:val="single" w:color="auto" w:sz="8" w:space="0"/>
              <w:right w:val="single" w:color="auto" w:sz="4" w:space="0"/>
            </w:tcBorders>
            <w:shd w:val="clear" w:color="auto" w:fill="auto"/>
            <w:vAlign w:val="center"/>
          </w:tcPr>
          <w:p w14:paraId="27B49F38">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（12）=（10）×（11）/1000</w:t>
            </w:r>
          </w:p>
        </w:tc>
        <w:tc>
          <w:tcPr>
            <w:tcW w:w="440" w:type="pct"/>
            <w:vMerge w:val="continue"/>
            <w:tcBorders>
              <w:left w:val="single" w:color="auto" w:sz="8" w:space="0"/>
              <w:bottom w:val="single" w:color="000000" w:sz="8" w:space="0"/>
              <w:right w:val="single" w:color="auto" w:sz="8" w:space="0"/>
            </w:tcBorders>
            <w:shd w:val="clear" w:color="auto" w:fill="auto"/>
            <w:vAlign w:val="center"/>
          </w:tcPr>
          <w:p w14:paraId="057D87A5">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p>
        </w:tc>
      </w:tr>
      <w:tr w14:paraId="6CFF977B">
        <w:trPr>
          <w:trHeight w:val="360" w:hRule="atLeast"/>
          <w:jc w:val="center"/>
        </w:trPr>
        <w:tc>
          <w:tcPr>
            <w:tcW w:w="487" w:type="pct"/>
            <w:tcBorders>
              <w:top w:val="nil"/>
              <w:left w:val="single" w:color="auto" w:sz="8" w:space="0"/>
              <w:bottom w:val="double" w:color="auto" w:sz="6" w:space="0"/>
              <w:right w:val="single" w:color="auto" w:sz="4" w:space="0"/>
            </w:tcBorders>
            <w:shd w:val="clear" w:color="auto" w:fill="auto"/>
            <w:noWrap/>
            <w:vAlign w:val="center"/>
          </w:tcPr>
          <w:p w14:paraId="4EC51EF3">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项目责任人</w:t>
            </w:r>
          </w:p>
        </w:tc>
        <w:tc>
          <w:tcPr>
            <w:tcW w:w="258" w:type="pct"/>
            <w:gridSpan w:val="2"/>
            <w:tcBorders>
              <w:top w:val="nil"/>
              <w:left w:val="nil"/>
              <w:bottom w:val="double" w:color="auto" w:sz="6" w:space="0"/>
              <w:right w:val="single" w:color="auto" w:sz="4" w:space="0"/>
            </w:tcBorders>
            <w:shd w:val="clear" w:color="auto" w:fill="auto"/>
            <w:vAlign w:val="center"/>
          </w:tcPr>
          <w:p w14:paraId="417AABA7">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258" w:type="pct"/>
            <w:gridSpan w:val="2"/>
            <w:tcBorders>
              <w:top w:val="nil"/>
              <w:left w:val="nil"/>
              <w:bottom w:val="double" w:color="auto" w:sz="6" w:space="0"/>
              <w:right w:val="single" w:color="auto" w:sz="4" w:space="0"/>
            </w:tcBorders>
            <w:shd w:val="clear" w:color="auto" w:fill="auto"/>
            <w:vAlign w:val="center"/>
          </w:tcPr>
          <w:p w14:paraId="61ADA63D">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291" w:type="pct"/>
            <w:gridSpan w:val="2"/>
            <w:tcBorders>
              <w:top w:val="nil"/>
              <w:left w:val="nil"/>
              <w:bottom w:val="double" w:color="auto" w:sz="6" w:space="0"/>
              <w:right w:val="single" w:color="auto" w:sz="4" w:space="0"/>
            </w:tcBorders>
            <w:shd w:val="clear" w:color="auto" w:fill="auto"/>
            <w:vAlign w:val="center"/>
          </w:tcPr>
          <w:p w14:paraId="57E02002">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258" w:type="pct"/>
            <w:gridSpan w:val="3"/>
            <w:tcBorders>
              <w:top w:val="nil"/>
              <w:left w:val="nil"/>
              <w:bottom w:val="double" w:color="auto" w:sz="6" w:space="0"/>
              <w:right w:val="single" w:color="auto" w:sz="4" w:space="0"/>
            </w:tcBorders>
            <w:shd w:val="clear" w:color="auto" w:fill="auto"/>
            <w:vAlign w:val="center"/>
          </w:tcPr>
          <w:p w14:paraId="3893897B">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291" w:type="pct"/>
            <w:gridSpan w:val="2"/>
            <w:tcBorders>
              <w:top w:val="nil"/>
              <w:left w:val="nil"/>
              <w:bottom w:val="double" w:color="auto" w:sz="6" w:space="0"/>
              <w:right w:val="single" w:color="auto" w:sz="4" w:space="0"/>
            </w:tcBorders>
            <w:shd w:val="clear" w:color="auto" w:fill="auto"/>
            <w:vAlign w:val="center"/>
          </w:tcPr>
          <w:p w14:paraId="057DAD7C">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349" w:type="pct"/>
            <w:gridSpan w:val="2"/>
            <w:tcBorders>
              <w:top w:val="nil"/>
              <w:left w:val="nil"/>
              <w:bottom w:val="double" w:color="auto" w:sz="6" w:space="0"/>
              <w:right w:val="single" w:color="auto" w:sz="4" w:space="0"/>
            </w:tcBorders>
            <w:shd w:val="clear" w:color="auto" w:fill="auto"/>
            <w:vAlign w:val="center"/>
          </w:tcPr>
          <w:p w14:paraId="5EFBE014">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303" w:type="pct"/>
            <w:gridSpan w:val="2"/>
            <w:tcBorders>
              <w:top w:val="nil"/>
              <w:left w:val="nil"/>
              <w:bottom w:val="double" w:color="auto" w:sz="6" w:space="0"/>
              <w:right w:val="single" w:color="auto" w:sz="4" w:space="0"/>
            </w:tcBorders>
            <w:shd w:val="clear" w:color="auto" w:fill="auto"/>
            <w:vAlign w:val="center"/>
          </w:tcPr>
          <w:p w14:paraId="43355BBF">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385" w:type="pct"/>
            <w:gridSpan w:val="2"/>
            <w:tcBorders>
              <w:top w:val="nil"/>
              <w:left w:val="nil"/>
              <w:bottom w:val="double" w:color="auto" w:sz="6" w:space="0"/>
              <w:right w:val="single" w:color="auto" w:sz="4" w:space="0"/>
            </w:tcBorders>
            <w:shd w:val="clear" w:color="auto" w:fill="auto"/>
            <w:vAlign w:val="center"/>
          </w:tcPr>
          <w:p w14:paraId="1CC1DFF1">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349" w:type="pct"/>
            <w:gridSpan w:val="3"/>
            <w:tcBorders>
              <w:top w:val="nil"/>
              <w:left w:val="nil"/>
              <w:bottom w:val="double" w:color="auto" w:sz="6" w:space="0"/>
              <w:right w:val="single" w:color="auto" w:sz="4" w:space="0"/>
            </w:tcBorders>
            <w:shd w:val="clear" w:color="auto" w:fill="auto"/>
            <w:vAlign w:val="center"/>
          </w:tcPr>
          <w:p w14:paraId="585D6351">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469" w:type="pct"/>
            <w:gridSpan w:val="3"/>
            <w:tcBorders>
              <w:top w:val="nil"/>
              <w:left w:val="nil"/>
              <w:bottom w:val="double" w:color="auto" w:sz="6" w:space="0"/>
              <w:right w:val="single" w:color="auto" w:sz="4" w:space="0"/>
            </w:tcBorders>
            <w:shd w:val="clear" w:color="auto" w:fill="auto"/>
            <w:vAlign w:val="center"/>
          </w:tcPr>
          <w:p w14:paraId="03DF72DD">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402" w:type="pct"/>
            <w:gridSpan w:val="3"/>
            <w:tcBorders>
              <w:top w:val="nil"/>
              <w:left w:val="nil"/>
              <w:bottom w:val="double" w:color="auto" w:sz="6" w:space="0"/>
              <w:right w:val="single" w:color="auto" w:sz="4" w:space="0"/>
            </w:tcBorders>
            <w:shd w:val="clear" w:color="auto" w:fill="auto"/>
            <w:vAlign w:val="center"/>
          </w:tcPr>
          <w:p w14:paraId="61F5B9AF">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455" w:type="pct"/>
            <w:gridSpan w:val="2"/>
            <w:tcBorders>
              <w:top w:val="nil"/>
              <w:left w:val="nil"/>
              <w:bottom w:val="double" w:color="auto" w:sz="6" w:space="0"/>
              <w:right w:val="single" w:color="auto" w:sz="4" w:space="0"/>
            </w:tcBorders>
            <w:shd w:val="clear" w:color="auto" w:fill="auto"/>
            <w:vAlign w:val="center"/>
          </w:tcPr>
          <w:p w14:paraId="75C4CACC">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440" w:type="pct"/>
            <w:tcBorders>
              <w:top w:val="nil"/>
              <w:left w:val="single" w:color="auto" w:sz="8" w:space="0"/>
              <w:bottom w:val="double" w:color="auto" w:sz="6" w:space="0"/>
              <w:right w:val="single" w:color="auto" w:sz="8" w:space="0"/>
            </w:tcBorders>
            <w:shd w:val="clear" w:color="auto" w:fill="auto"/>
            <w:noWrap/>
            <w:vAlign w:val="center"/>
          </w:tcPr>
          <w:p w14:paraId="02DA313D">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r>
      <w:tr w14:paraId="45300030">
        <w:trPr>
          <w:trHeight w:val="360" w:hRule="atLeast"/>
          <w:jc w:val="center"/>
        </w:trPr>
        <w:tc>
          <w:tcPr>
            <w:tcW w:w="487" w:type="pct"/>
            <w:vMerge w:val="restart"/>
            <w:tcBorders>
              <w:top w:val="nil"/>
              <w:left w:val="single" w:color="auto" w:sz="8" w:space="0"/>
              <w:right w:val="single" w:color="auto" w:sz="4" w:space="0"/>
            </w:tcBorders>
            <w:shd w:val="clear" w:color="auto" w:fill="auto"/>
            <w:vAlign w:val="center"/>
          </w:tcPr>
          <w:p w14:paraId="67438279">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项目高级研究人员</w:t>
            </w:r>
          </w:p>
        </w:tc>
        <w:tc>
          <w:tcPr>
            <w:tcW w:w="258" w:type="pct"/>
            <w:gridSpan w:val="2"/>
            <w:tcBorders>
              <w:top w:val="nil"/>
              <w:left w:val="nil"/>
              <w:bottom w:val="single" w:color="auto" w:sz="4" w:space="0"/>
              <w:right w:val="single" w:color="auto" w:sz="4" w:space="0"/>
            </w:tcBorders>
            <w:shd w:val="clear" w:color="auto" w:fill="auto"/>
          </w:tcPr>
          <w:p w14:paraId="32CBBBFF">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258" w:type="pct"/>
            <w:gridSpan w:val="2"/>
            <w:tcBorders>
              <w:top w:val="nil"/>
              <w:left w:val="nil"/>
              <w:bottom w:val="single" w:color="auto" w:sz="4" w:space="0"/>
              <w:right w:val="single" w:color="auto" w:sz="4" w:space="0"/>
            </w:tcBorders>
            <w:shd w:val="clear" w:color="auto" w:fill="auto"/>
          </w:tcPr>
          <w:p w14:paraId="0761A339">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291" w:type="pct"/>
            <w:gridSpan w:val="2"/>
            <w:tcBorders>
              <w:top w:val="nil"/>
              <w:left w:val="nil"/>
              <w:bottom w:val="single" w:color="auto" w:sz="4" w:space="0"/>
              <w:right w:val="single" w:color="auto" w:sz="4" w:space="0"/>
            </w:tcBorders>
            <w:shd w:val="clear" w:color="auto" w:fill="auto"/>
          </w:tcPr>
          <w:p w14:paraId="2E158B5C">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258" w:type="pct"/>
            <w:gridSpan w:val="3"/>
            <w:tcBorders>
              <w:top w:val="nil"/>
              <w:left w:val="nil"/>
              <w:bottom w:val="single" w:color="auto" w:sz="4" w:space="0"/>
              <w:right w:val="single" w:color="auto" w:sz="4" w:space="0"/>
            </w:tcBorders>
            <w:shd w:val="clear" w:color="auto" w:fill="auto"/>
          </w:tcPr>
          <w:p w14:paraId="51E56358">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291" w:type="pct"/>
            <w:gridSpan w:val="2"/>
            <w:tcBorders>
              <w:top w:val="nil"/>
              <w:left w:val="nil"/>
              <w:bottom w:val="single" w:color="auto" w:sz="4" w:space="0"/>
              <w:right w:val="single" w:color="auto" w:sz="4" w:space="0"/>
            </w:tcBorders>
            <w:shd w:val="clear" w:color="auto" w:fill="auto"/>
          </w:tcPr>
          <w:p w14:paraId="45684DD2">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349" w:type="pct"/>
            <w:gridSpan w:val="2"/>
            <w:tcBorders>
              <w:top w:val="nil"/>
              <w:left w:val="nil"/>
              <w:bottom w:val="single" w:color="auto" w:sz="4" w:space="0"/>
              <w:right w:val="single" w:color="auto" w:sz="4" w:space="0"/>
            </w:tcBorders>
            <w:shd w:val="clear" w:color="auto" w:fill="auto"/>
          </w:tcPr>
          <w:p w14:paraId="6AAAA499">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303" w:type="pct"/>
            <w:gridSpan w:val="2"/>
            <w:tcBorders>
              <w:top w:val="nil"/>
              <w:left w:val="nil"/>
              <w:bottom w:val="single" w:color="auto" w:sz="4" w:space="0"/>
              <w:right w:val="single" w:color="auto" w:sz="4" w:space="0"/>
            </w:tcBorders>
            <w:shd w:val="clear" w:color="auto" w:fill="auto"/>
          </w:tcPr>
          <w:p w14:paraId="76A6F6E5">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385" w:type="pct"/>
            <w:gridSpan w:val="2"/>
            <w:tcBorders>
              <w:top w:val="nil"/>
              <w:left w:val="nil"/>
              <w:bottom w:val="single" w:color="auto" w:sz="4" w:space="0"/>
              <w:right w:val="single" w:color="auto" w:sz="4" w:space="0"/>
            </w:tcBorders>
            <w:shd w:val="clear" w:color="auto" w:fill="auto"/>
          </w:tcPr>
          <w:p w14:paraId="7C8F968B">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349" w:type="pct"/>
            <w:gridSpan w:val="3"/>
            <w:tcBorders>
              <w:top w:val="nil"/>
              <w:left w:val="nil"/>
              <w:bottom w:val="single" w:color="auto" w:sz="4" w:space="0"/>
              <w:right w:val="single" w:color="auto" w:sz="4" w:space="0"/>
            </w:tcBorders>
            <w:shd w:val="clear" w:color="auto" w:fill="auto"/>
          </w:tcPr>
          <w:p w14:paraId="52AD3469">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469" w:type="pct"/>
            <w:gridSpan w:val="3"/>
            <w:tcBorders>
              <w:top w:val="nil"/>
              <w:left w:val="nil"/>
              <w:bottom w:val="single" w:color="auto" w:sz="4" w:space="0"/>
              <w:right w:val="single" w:color="auto" w:sz="4" w:space="0"/>
            </w:tcBorders>
            <w:shd w:val="clear" w:color="auto" w:fill="auto"/>
          </w:tcPr>
          <w:p w14:paraId="4CAFADD0">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402" w:type="pct"/>
            <w:gridSpan w:val="3"/>
            <w:tcBorders>
              <w:top w:val="nil"/>
              <w:left w:val="nil"/>
              <w:bottom w:val="single" w:color="auto" w:sz="4" w:space="0"/>
              <w:right w:val="single" w:color="auto" w:sz="4" w:space="0"/>
            </w:tcBorders>
            <w:shd w:val="clear" w:color="auto" w:fill="auto"/>
          </w:tcPr>
          <w:p w14:paraId="1C9CDE63">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455" w:type="pct"/>
            <w:gridSpan w:val="2"/>
            <w:tcBorders>
              <w:top w:val="nil"/>
              <w:left w:val="nil"/>
              <w:bottom w:val="single" w:color="auto" w:sz="4" w:space="0"/>
              <w:right w:val="single" w:color="auto" w:sz="4" w:space="0"/>
            </w:tcBorders>
            <w:shd w:val="clear" w:color="auto" w:fill="auto"/>
          </w:tcPr>
          <w:p w14:paraId="425E6932">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440" w:type="pct"/>
            <w:tcBorders>
              <w:top w:val="nil"/>
              <w:left w:val="single" w:color="auto" w:sz="8" w:space="0"/>
              <w:bottom w:val="single" w:color="auto" w:sz="4" w:space="0"/>
              <w:right w:val="single" w:color="auto" w:sz="8" w:space="0"/>
            </w:tcBorders>
            <w:shd w:val="clear" w:color="auto" w:fill="auto"/>
            <w:noWrap/>
            <w:vAlign w:val="center"/>
          </w:tcPr>
          <w:p w14:paraId="6274CDAF">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r>
      <w:tr w14:paraId="53A4D85D">
        <w:trPr>
          <w:trHeight w:val="360" w:hRule="atLeast"/>
          <w:jc w:val="center"/>
        </w:trPr>
        <w:tc>
          <w:tcPr>
            <w:tcW w:w="487" w:type="pct"/>
            <w:vMerge w:val="continue"/>
            <w:tcBorders>
              <w:left w:val="single" w:color="auto" w:sz="8" w:space="0"/>
              <w:right w:val="single" w:color="auto" w:sz="4" w:space="0"/>
            </w:tcBorders>
            <w:shd w:val="clear" w:color="auto" w:fill="auto"/>
            <w:vAlign w:val="center"/>
          </w:tcPr>
          <w:p w14:paraId="62541F56">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p>
        </w:tc>
        <w:tc>
          <w:tcPr>
            <w:tcW w:w="258" w:type="pct"/>
            <w:gridSpan w:val="2"/>
            <w:tcBorders>
              <w:top w:val="nil"/>
              <w:left w:val="nil"/>
              <w:bottom w:val="single" w:color="auto" w:sz="4" w:space="0"/>
              <w:right w:val="single" w:color="auto" w:sz="4" w:space="0"/>
            </w:tcBorders>
            <w:shd w:val="clear" w:color="auto" w:fill="auto"/>
          </w:tcPr>
          <w:p w14:paraId="076CB3B4">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258" w:type="pct"/>
            <w:gridSpan w:val="2"/>
            <w:tcBorders>
              <w:top w:val="nil"/>
              <w:left w:val="nil"/>
              <w:bottom w:val="single" w:color="auto" w:sz="4" w:space="0"/>
              <w:right w:val="single" w:color="auto" w:sz="4" w:space="0"/>
            </w:tcBorders>
            <w:shd w:val="clear" w:color="auto" w:fill="auto"/>
          </w:tcPr>
          <w:p w14:paraId="12B95F1B">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291" w:type="pct"/>
            <w:gridSpan w:val="2"/>
            <w:tcBorders>
              <w:top w:val="nil"/>
              <w:left w:val="nil"/>
              <w:bottom w:val="single" w:color="auto" w:sz="4" w:space="0"/>
              <w:right w:val="single" w:color="auto" w:sz="4" w:space="0"/>
            </w:tcBorders>
            <w:shd w:val="clear" w:color="auto" w:fill="auto"/>
          </w:tcPr>
          <w:p w14:paraId="7C159C9A">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258" w:type="pct"/>
            <w:gridSpan w:val="3"/>
            <w:tcBorders>
              <w:top w:val="nil"/>
              <w:left w:val="nil"/>
              <w:bottom w:val="single" w:color="auto" w:sz="4" w:space="0"/>
              <w:right w:val="single" w:color="auto" w:sz="4" w:space="0"/>
            </w:tcBorders>
            <w:shd w:val="clear" w:color="auto" w:fill="auto"/>
          </w:tcPr>
          <w:p w14:paraId="6E62DC35">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291" w:type="pct"/>
            <w:gridSpan w:val="2"/>
            <w:tcBorders>
              <w:top w:val="nil"/>
              <w:left w:val="nil"/>
              <w:bottom w:val="single" w:color="auto" w:sz="4" w:space="0"/>
              <w:right w:val="single" w:color="auto" w:sz="4" w:space="0"/>
            </w:tcBorders>
            <w:shd w:val="clear" w:color="auto" w:fill="auto"/>
          </w:tcPr>
          <w:p w14:paraId="730483DE">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349" w:type="pct"/>
            <w:gridSpan w:val="2"/>
            <w:tcBorders>
              <w:top w:val="nil"/>
              <w:left w:val="nil"/>
              <w:bottom w:val="single" w:color="auto" w:sz="4" w:space="0"/>
              <w:right w:val="single" w:color="auto" w:sz="4" w:space="0"/>
            </w:tcBorders>
            <w:shd w:val="clear" w:color="auto" w:fill="auto"/>
          </w:tcPr>
          <w:p w14:paraId="214F52BA">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303" w:type="pct"/>
            <w:gridSpan w:val="2"/>
            <w:tcBorders>
              <w:top w:val="nil"/>
              <w:left w:val="nil"/>
              <w:bottom w:val="single" w:color="auto" w:sz="4" w:space="0"/>
              <w:right w:val="single" w:color="auto" w:sz="4" w:space="0"/>
            </w:tcBorders>
            <w:shd w:val="clear" w:color="auto" w:fill="auto"/>
          </w:tcPr>
          <w:p w14:paraId="155FAE5D">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385" w:type="pct"/>
            <w:gridSpan w:val="2"/>
            <w:tcBorders>
              <w:top w:val="nil"/>
              <w:left w:val="nil"/>
              <w:bottom w:val="single" w:color="auto" w:sz="4" w:space="0"/>
              <w:right w:val="single" w:color="auto" w:sz="4" w:space="0"/>
            </w:tcBorders>
            <w:shd w:val="clear" w:color="auto" w:fill="auto"/>
          </w:tcPr>
          <w:p w14:paraId="4E1A1E99">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349" w:type="pct"/>
            <w:gridSpan w:val="3"/>
            <w:tcBorders>
              <w:top w:val="nil"/>
              <w:left w:val="nil"/>
              <w:bottom w:val="single" w:color="auto" w:sz="4" w:space="0"/>
              <w:right w:val="single" w:color="auto" w:sz="4" w:space="0"/>
            </w:tcBorders>
            <w:shd w:val="clear" w:color="auto" w:fill="auto"/>
          </w:tcPr>
          <w:p w14:paraId="46B13DE8">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469" w:type="pct"/>
            <w:gridSpan w:val="3"/>
            <w:tcBorders>
              <w:top w:val="nil"/>
              <w:left w:val="nil"/>
              <w:bottom w:val="single" w:color="auto" w:sz="4" w:space="0"/>
              <w:right w:val="single" w:color="auto" w:sz="4" w:space="0"/>
            </w:tcBorders>
            <w:shd w:val="clear" w:color="auto" w:fill="auto"/>
          </w:tcPr>
          <w:p w14:paraId="12ADDA0A">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402" w:type="pct"/>
            <w:gridSpan w:val="3"/>
            <w:tcBorders>
              <w:top w:val="nil"/>
              <w:left w:val="nil"/>
              <w:bottom w:val="single" w:color="auto" w:sz="4" w:space="0"/>
              <w:right w:val="single" w:color="auto" w:sz="4" w:space="0"/>
            </w:tcBorders>
            <w:shd w:val="clear" w:color="auto" w:fill="auto"/>
          </w:tcPr>
          <w:p w14:paraId="6CBB46D7">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455" w:type="pct"/>
            <w:gridSpan w:val="2"/>
            <w:tcBorders>
              <w:top w:val="nil"/>
              <w:left w:val="nil"/>
              <w:bottom w:val="single" w:color="auto" w:sz="4" w:space="0"/>
              <w:right w:val="single" w:color="auto" w:sz="4" w:space="0"/>
            </w:tcBorders>
            <w:shd w:val="clear" w:color="auto" w:fill="auto"/>
          </w:tcPr>
          <w:p w14:paraId="241FF70E">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440" w:type="pct"/>
            <w:tcBorders>
              <w:top w:val="nil"/>
              <w:left w:val="single" w:color="auto" w:sz="8" w:space="0"/>
              <w:bottom w:val="single" w:color="auto" w:sz="4" w:space="0"/>
              <w:right w:val="single" w:color="auto" w:sz="8" w:space="0"/>
            </w:tcBorders>
            <w:shd w:val="clear" w:color="auto" w:fill="auto"/>
            <w:noWrap/>
            <w:vAlign w:val="center"/>
          </w:tcPr>
          <w:p w14:paraId="5531EB9A">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r>
      <w:tr w14:paraId="44B24C3D">
        <w:trPr>
          <w:trHeight w:val="360" w:hRule="atLeast"/>
          <w:jc w:val="center"/>
        </w:trPr>
        <w:tc>
          <w:tcPr>
            <w:tcW w:w="487" w:type="pct"/>
            <w:vMerge w:val="restart"/>
            <w:tcBorders>
              <w:top w:val="nil"/>
              <w:left w:val="single" w:color="auto" w:sz="8" w:space="0"/>
              <w:right w:val="single" w:color="auto" w:sz="4" w:space="0"/>
            </w:tcBorders>
            <w:shd w:val="clear" w:color="auto" w:fill="auto"/>
            <w:vAlign w:val="center"/>
          </w:tcPr>
          <w:p w14:paraId="5BE4DC3A">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项目参与人员</w:t>
            </w:r>
          </w:p>
        </w:tc>
        <w:tc>
          <w:tcPr>
            <w:tcW w:w="258" w:type="pct"/>
            <w:gridSpan w:val="2"/>
            <w:tcBorders>
              <w:top w:val="nil"/>
              <w:left w:val="nil"/>
              <w:bottom w:val="single" w:color="auto" w:sz="4" w:space="0"/>
              <w:right w:val="single" w:color="auto" w:sz="4" w:space="0"/>
            </w:tcBorders>
            <w:shd w:val="clear" w:color="auto" w:fill="auto"/>
          </w:tcPr>
          <w:p w14:paraId="0A6C6FF1">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258" w:type="pct"/>
            <w:gridSpan w:val="2"/>
            <w:tcBorders>
              <w:top w:val="nil"/>
              <w:left w:val="nil"/>
              <w:bottom w:val="single" w:color="auto" w:sz="4" w:space="0"/>
              <w:right w:val="single" w:color="auto" w:sz="4" w:space="0"/>
            </w:tcBorders>
            <w:shd w:val="clear" w:color="auto" w:fill="auto"/>
          </w:tcPr>
          <w:p w14:paraId="32AD165F">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291" w:type="pct"/>
            <w:gridSpan w:val="2"/>
            <w:tcBorders>
              <w:top w:val="nil"/>
              <w:left w:val="nil"/>
              <w:bottom w:val="single" w:color="auto" w:sz="4" w:space="0"/>
              <w:right w:val="single" w:color="auto" w:sz="4" w:space="0"/>
            </w:tcBorders>
            <w:shd w:val="clear" w:color="auto" w:fill="auto"/>
          </w:tcPr>
          <w:p w14:paraId="6263EDFE">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258" w:type="pct"/>
            <w:gridSpan w:val="3"/>
            <w:tcBorders>
              <w:top w:val="nil"/>
              <w:left w:val="nil"/>
              <w:bottom w:val="single" w:color="auto" w:sz="4" w:space="0"/>
              <w:right w:val="single" w:color="auto" w:sz="4" w:space="0"/>
            </w:tcBorders>
            <w:shd w:val="clear" w:color="auto" w:fill="auto"/>
          </w:tcPr>
          <w:p w14:paraId="02B8E171">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291" w:type="pct"/>
            <w:gridSpan w:val="2"/>
            <w:tcBorders>
              <w:top w:val="nil"/>
              <w:left w:val="nil"/>
              <w:bottom w:val="single" w:color="auto" w:sz="4" w:space="0"/>
              <w:right w:val="single" w:color="auto" w:sz="4" w:space="0"/>
            </w:tcBorders>
            <w:shd w:val="clear" w:color="auto" w:fill="auto"/>
          </w:tcPr>
          <w:p w14:paraId="721194DE">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349" w:type="pct"/>
            <w:gridSpan w:val="2"/>
            <w:tcBorders>
              <w:top w:val="nil"/>
              <w:left w:val="nil"/>
              <w:bottom w:val="single" w:color="auto" w:sz="4" w:space="0"/>
              <w:right w:val="single" w:color="auto" w:sz="4" w:space="0"/>
            </w:tcBorders>
            <w:shd w:val="clear" w:color="auto" w:fill="auto"/>
          </w:tcPr>
          <w:p w14:paraId="646C546D">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303" w:type="pct"/>
            <w:gridSpan w:val="2"/>
            <w:tcBorders>
              <w:top w:val="nil"/>
              <w:left w:val="nil"/>
              <w:bottom w:val="single" w:color="auto" w:sz="4" w:space="0"/>
              <w:right w:val="single" w:color="auto" w:sz="4" w:space="0"/>
            </w:tcBorders>
            <w:shd w:val="clear" w:color="auto" w:fill="auto"/>
          </w:tcPr>
          <w:p w14:paraId="2916C56F">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385" w:type="pct"/>
            <w:gridSpan w:val="2"/>
            <w:tcBorders>
              <w:top w:val="nil"/>
              <w:left w:val="nil"/>
              <w:bottom w:val="single" w:color="auto" w:sz="4" w:space="0"/>
              <w:right w:val="single" w:color="auto" w:sz="4" w:space="0"/>
            </w:tcBorders>
            <w:shd w:val="clear" w:color="auto" w:fill="auto"/>
          </w:tcPr>
          <w:p w14:paraId="455B4D80">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349" w:type="pct"/>
            <w:gridSpan w:val="3"/>
            <w:tcBorders>
              <w:top w:val="nil"/>
              <w:left w:val="nil"/>
              <w:bottom w:val="single" w:color="auto" w:sz="4" w:space="0"/>
              <w:right w:val="single" w:color="auto" w:sz="4" w:space="0"/>
            </w:tcBorders>
            <w:shd w:val="clear" w:color="auto" w:fill="auto"/>
          </w:tcPr>
          <w:p w14:paraId="506D37C2">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469" w:type="pct"/>
            <w:gridSpan w:val="3"/>
            <w:tcBorders>
              <w:top w:val="nil"/>
              <w:left w:val="nil"/>
              <w:bottom w:val="single" w:color="auto" w:sz="4" w:space="0"/>
              <w:right w:val="single" w:color="auto" w:sz="4" w:space="0"/>
            </w:tcBorders>
            <w:shd w:val="clear" w:color="auto" w:fill="auto"/>
          </w:tcPr>
          <w:p w14:paraId="2BD6DCA9">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402" w:type="pct"/>
            <w:gridSpan w:val="3"/>
            <w:tcBorders>
              <w:top w:val="nil"/>
              <w:left w:val="nil"/>
              <w:bottom w:val="single" w:color="auto" w:sz="4" w:space="0"/>
              <w:right w:val="single" w:color="auto" w:sz="4" w:space="0"/>
            </w:tcBorders>
            <w:shd w:val="clear" w:color="auto" w:fill="auto"/>
          </w:tcPr>
          <w:p w14:paraId="2D5C1C23">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455" w:type="pct"/>
            <w:gridSpan w:val="2"/>
            <w:tcBorders>
              <w:top w:val="nil"/>
              <w:left w:val="nil"/>
              <w:bottom w:val="single" w:color="auto" w:sz="4" w:space="0"/>
              <w:right w:val="single" w:color="auto" w:sz="4" w:space="0"/>
            </w:tcBorders>
            <w:shd w:val="clear" w:color="auto" w:fill="auto"/>
          </w:tcPr>
          <w:p w14:paraId="5B496E0E">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440" w:type="pct"/>
            <w:tcBorders>
              <w:top w:val="nil"/>
              <w:left w:val="single" w:color="auto" w:sz="8" w:space="0"/>
              <w:bottom w:val="single" w:color="auto" w:sz="4" w:space="0"/>
              <w:right w:val="single" w:color="auto" w:sz="8" w:space="0"/>
            </w:tcBorders>
            <w:shd w:val="clear" w:color="auto" w:fill="auto"/>
            <w:noWrap/>
            <w:vAlign w:val="center"/>
          </w:tcPr>
          <w:p w14:paraId="1DC7C86F">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r>
      <w:tr w14:paraId="74A20569">
        <w:trPr>
          <w:trHeight w:val="360" w:hRule="atLeast"/>
          <w:jc w:val="center"/>
        </w:trPr>
        <w:tc>
          <w:tcPr>
            <w:tcW w:w="487" w:type="pct"/>
            <w:vMerge w:val="continue"/>
            <w:tcBorders>
              <w:left w:val="single" w:color="auto" w:sz="8" w:space="0"/>
              <w:right w:val="single" w:color="auto" w:sz="4" w:space="0"/>
            </w:tcBorders>
            <w:shd w:val="clear" w:color="auto" w:fill="auto"/>
            <w:vAlign w:val="center"/>
          </w:tcPr>
          <w:p w14:paraId="5AC02371">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p>
        </w:tc>
        <w:tc>
          <w:tcPr>
            <w:tcW w:w="258" w:type="pct"/>
            <w:gridSpan w:val="2"/>
            <w:tcBorders>
              <w:top w:val="nil"/>
              <w:left w:val="nil"/>
              <w:bottom w:val="single" w:color="auto" w:sz="4" w:space="0"/>
              <w:right w:val="single" w:color="auto" w:sz="4" w:space="0"/>
            </w:tcBorders>
            <w:shd w:val="clear" w:color="auto" w:fill="auto"/>
          </w:tcPr>
          <w:p w14:paraId="3301EFCF">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258" w:type="pct"/>
            <w:gridSpan w:val="2"/>
            <w:tcBorders>
              <w:top w:val="nil"/>
              <w:left w:val="nil"/>
              <w:bottom w:val="single" w:color="auto" w:sz="4" w:space="0"/>
              <w:right w:val="single" w:color="auto" w:sz="4" w:space="0"/>
            </w:tcBorders>
            <w:shd w:val="clear" w:color="auto" w:fill="auto"/>
          </w:tcPr>
          <w:p w14:paraId="5DB8A9B7">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291" w:type="pct"/>
            <w:gridSpan w:val="2"/>
            <w:tcBorders>
              <w:top w:val="nil"/>
              <w:left w:val="nil"/>
              <w:bottom w:val="single" w:color="auto" w:sz="4" w:space="0"/>
              <w:right w:val="single" w:color="auto" w:sz="4" w:space="0"/>
            </w:tcBorders>
            <w:shd w:val="clear" w:color="auto" w:fill="auto"/>
          </w:tcPr>
          <w:p w14:paraId="7A50EFEF">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258" w:type="pct"/>
            <w:gridSpan w:val="3"/>
            <w:tcBorders>
              <w:top w:val="nil"/>
              <w:left w:val="nil"/>
              <w:bottom w:val="single" w:color="auto" w:sz="4" w:space="0"/>
              <w:right w:val="single" w:color="auto" w:sz="4" w:space="0"/>
            </w:tcBorders>
            <w:shd w:val="clear" w:color="auto" w:fill="auto"/>
          </w:tcPr>
          <w:p w14:paraId="754E95C0">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291" w:type="pct"/>
            <w:gridSpan w:val="2"/>
            <w:tcBorders>
              <w:top w:val="nil"/>
              <w:left w:val="nil"/>
              <w:bottom w:val="single" w:color="auto" w:sz="4" w:space="0"/>
              <w:right w:val="single" w:color="auto" w:sz="4" w:space="0"/>
            </w:tcBorders>
            <w:shd w:val="clear" w:color="auto" w:fill="auto"/>
          </w:tcPr>
          <w:p w14:paraId="3B15D6B5">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349" w:type="pct"/>
            <w:gridSpan w:val="2"/>
            <w:tcBorders>
              <w:top w:val="nil"/>
              <w:left w:val="nil"/>
              <w:bottom w:val="single" w:color="auto" w:sz="4" w:space="0"/>
              <w:right w:val="single" w:color="auto" w:sz="4" w:space="0"/>
            </w:tcBorders>
            <w:shd w:val="clear" w:color="auto" w:fill="auto"/>
          </w:tcPr>
          <w:p w14:paraId="07A89CB3">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303" w:type="pct"/>
            <w:gridSpan w:val="2"/>
            <w:tcBorders>
              <w:top w:val="nil"/>
              <w:left w:val="nil"/>
              <w:bottom w:val="single" w:color="auto" w:sz="4" w:space="0"/>
              <w:right w:val="single" w:color="auto" w:sz="4" w:space="0"/>
            </w:tcBorders>
            <w:shd w:val="clear" w:color="auto" w:fill="auto"/>
          </w:tcPr>
          <w:p w14:paraId="7A15A149">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385" w:type="pct"/>
            <w:gridSpan w:val="2"/>
            <w:tcBorders>
              <w:top w:val="nil"/>
              <w:left w:val="nil"/>
              <w:bottom w:val="single" w:color="auto" w:sz="4" w:space="0"/>
              <w:right w:val="single" w:color="auto" w:sz="4" w:space="0"/>
            </w:tcBorders>
            <w:shd w:val="clear" w:color="auto" w:fill="auto"/>
          </w:tcPr>
          <w:p w14:paraId="2BAA9218">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349" w:type="pct"/>
            <w:gridSpan w:val="3"/>
            <w:tcBorders>
              <w:top w:val="nil"/>
              <w:left w:val="nil"/>
              <w:bottom w:val="single" w:color="auto" w:sz="4" w:space="0"/>
              <w:right w:val="single" w:color="auto" w:sz="4" w:space="0"/>
            </w:tcBorders>
            <w:shd w:val="clear" w:color="auto" w:fill="auto"/>
          </w:tcPr>
          <w:p w14:paraId="359FA0DA">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469" w:type="pct"/>
            <w:gridSpan w:val="3"/>
            <w:tcBorders>
              <w:top w:val="nil"/>
              <w:left w:val="nil"/>
              <w:bottom w:val="single" w:color="auto" w:sz="4" w:space="0"/>
              <w:right w:val="single" w:color="auto" w:sz="4" w:space="0"/>
            </w:tcBorders>
            <w:shd w:val="clear" w:color="auto" w:fill="auto"/>
          </w:tcPr>
          <w:p w14:paraId="6B719448">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402" w:type="pct"/>
            <w:gridSpan w:val="3"/>
            <w:tcBorders>
              <w:top w:val="nil"/>
              <w:left w:val="nil"/>
              <w:bottom w:val="single" w:color="auto" w:sz="4" w:space="0"/>
              <w:right w:val="single" w:color="auto" w:sz="4" w:space="0"/>
            </w:tcBorders>
            <w:shd w:val="clear" w:color="auto" w:fill="auto"/>
          </w:tcPr>
          <w:p w14:paraId="40012160">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455" w:type="pct"/>
            <w:gridSpan w:val="2"/>
            <w:tcBorders>
              <w:top w:val="nil"/>
              <w:left w:val="nil"/>
              <w:bottom w:val="single" w:color="auto" w:sz="4" w:space="0"/>
              <w:right w:val="single" w:color="auto" w:sz="4" w:space="0"/>
            </w:tcBorders>
            <w:shd w:val="clear" w:color="auto" w:fill="auto"/>
          </w:tcPr>
          <w:p w14:paraId="081D1D33">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440" w:type="pct"/>
            <w:tcBorders>
              <w:top w:val="nil"/>
              <w:left w:val="single" w:color="auto" w:sz="8" w:space="0"/>
              <w:bottom w:val="single" w:color="auto" w:sz="4" w:space="0"/>
              <w:right w:val="single" w:color="auto" w:sz="8" w:space="0"/>
            </w:tcBorders>
            <w:shd w:val="clear" w:color="auto" w:fill="auto"/>
            <w:noWrap/>
            <w:vAlign w:val="center"/>
          </w:tcPr>
          <w:p w14:paraId="04FF5537">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r>
      <w:tr w14:paraId="29813557">
        <w:trPr>
          <w:trHeight w:val="360" w:hRule="atLeast"/>
          <w:jc w:val="center"/>
        </w:trPr>
        <w:tc>
          <w:tcPr>
            <w:tcW w:w="487" w:type="pct"/>
            <w:tcBorders>
              <w:left w:val="single" w:color="auto" w:sz="8" w:space="0"/>
              <w:right w:val="single" w:color="auto" w:sz="4" w:space="0"/>
            </w:tcBorders>
            <w:shd w:val="clear" w:color="auto" w:fill="auto"/>
            <w:vAlign w:val="center"/>
          </w:tcPr>
          <w:p w14:paraId="5546CBC8">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引进人才</w:t>
            </w:r>
          </w:p>
        </w:tc>
        <w:tc>
          <w:tcPr>
            <w:tcW w:w="258" w:type="pct"/>
            <w:gridSpan w:val="2"/>
            <w:tcBorders>
              <w:top w:val="nil"/>
              <w:left w:val="nil"/>
              <w:bottom w:val="single" w:color="auto" w:sz="8" w:space="0"/>
              <w:right w:val="single" w:color="auto" w:sz="4" w:space="0"/>
            </w:tcBorders>
            <w:shd w:val="clear" w:color="auto" w:fill="auto"/>
          </w:tcPr>
          <w:p w14:paraId="415007D7">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highlight w:val="lightGray"/>
              </w:rPr>
            </w:pPr>
          </w:p>
        </w:tc>
        <w:tc>
          <w:tcPr>
            <w:tcW w:w="258" w:type="pct"/>
            <w:gridSpan w:val="2"/>
            <w:tcBorders>
              <w:top w:val="nil"/>
              <w:left w:val="nil"/>
              <w:bottom w:val="single" w:color="auto" w:sz="8" w:space="0"/>
              <w:right w:val="single" w:color="auto" w:sz="4" w:space="0"/>
            </w:tcBorders>
            <w:shd w:val="clear" w:color="auto" w:fill="auto"/>
          </w:tcPr>
          <w:p w14:paraId="309A76CF">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highlight w:val="lightGray"/>
              </w:rPr>
            </w:pPr>
          </w:p>
        </w:tc>
        <w:tc>
          <w:tcPr>
            <w:tcW w:w="291" w:type="pct"/>
            <w:gridSpan w:val="2"/>
            <w:tcBorders>
              <w:top w:val="nil"/>
              <w:left w:val="nil"/>
              <w:bottom w:val="single" w:color="auto" w:sz="8" w:space="0"/>
              <w:right w:val="single" w:color="auto" w:sz="4" w:space="0"/>
            </w:tcBorders>
            <w:shd w:val="clear" w:color="auto" w:fill="auto"/>
          </w:tcPr>
          <w:p w14:paraId="1C8F5CB4">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highlight w:val="lightGray"/>
              </w:rPr>
            </w:pPr>
          </w:p>
        </w:tc>
        <w:tc>
          <w:tcPr>
            <w:tcW w:w="258" w:type="pct"/>
            <w:gridSpan w:val="3"/>
            <w:tcBorders>
              <w:top w:val="nil"/>
              <w:left w:val="nil"/>
              <w:bottom w:val="single" w:color="auto" w:sz="8" w:space="0"/>
              <w:right w:val="single" w:color="auto" w:sz="4" w:space="0"/>
            </w:tcBorders>
            <w:shd w:val="clear" w:color="auto" w:fill="auto"/>
          </w:tcPr>
          <w:p w14:paraId="5AA005FF">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highlight w:val="lightGray"/>
              </w:rPr>
            </w:pPr>
          </w:p>
        </w:tc>
        <w:tc>
          <w:tcPr>
            <w:tcW w:w="291" w:type="pct"/>
            <w:gridSpan w:val="2"/>
            <w:tcBorders>
              <w:top w:val="nil"/>
              <w:left w:val="nil"/>
              <w:bottom w:val="single" w:color="auto" w:sz="8" w:space="0"/>
              <w:right w:val="single" w:color="auto" w:sz="4" w:space="0"/>
            </w:tcBorders>
            <w:shd w:val="clear" w:color="auto" w:fill="auto"/>
          </w:tcPr>
          <w:p w14:paraId="36DE87B6">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highlight w:val="lightGray"/>
              </w:rPr>
            </w:pPr>
          </w:p>
        </w:tc>
        <w:tc>
          <w:tcPr>
            <w:tcW w:w="349" w:type="pct"/>
            <w:gridSpan w:val="2"/>
            <w:tcBorders>
              <w:top w:val="nil"/>
              <w:left w:val="nil"/>
              <w:bottom w:val="single" w:color="auto" w:sz="8" w:space="0"/>
              <w:right w:val="single" w:color="auto" w:sz="4" w:space="0"/>
            </w:tcBorders>
            <w:shd w:val="clear" w:color="auto" w:fill="auto"/>
          </w:tcPr>
          <w:p w14:paraId="09E6942F">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highlight w:val="lightGray"/>
              </w:rPr>
            </w:pPr>
          </w:p>
        </w:tc>
        <w:tc>
          <w:tcPr>
            <w:tcW w:w="303" w:type="pct"/>
            <w:gridSpan w:val="2"/>
            <w:tcBorders>
              <w:top w:val="nil"/>
              <w:left w:val="nil"/>
              <w:bottom w:val="single" w:color="auto" w:sz="8" w:space="0"/>
              <w:right w:val="single" w:color="auto" w:sz="4" w:space="0"/>
            </w:tcBorders>
            <w:shd w:val="clear" w:color="auto" w:fill="auto"/>
          </w:tcPr>
          <w:p w14:paraId="475AEA47">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highlight w:val="lightGray"/>
              </w:rPr>
            </w:pPr>
          </w:p>
        </w:tc>
        <w:tc>
          <w:tcPr>
            <w:tcW w:w="385" w:type="pct"/>
            <w:gridSpan w:val="2"/>
            <w:tcBorders>
              <w:top w:val="nil"/>
              <w:left w:val="nil"/>
              <w:bottom w:val="single" w:color="auto" w:sz="8" w:space="0"/>
              <w:right w:val="single" w:color="auto" w:sz="4" w:space="0"/>
            </w:tcBorders>
            <w:shd w:val="clear" w:color="auto" w:fill="auto"/>
          </w:tcPr>
          <w:p w14:paraId="78026D30">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highlight w:val="lightGray"/>
              </w:rPr>
            </w:pPr>
          </w:p>
        </w:tc>
        <w:tc>
          <w:tcPr>
            <w:tcW w:w="349" w:type="pct"/>
            <w:gridSpan w:val="3"/>
            <w:tcBorders>
              <w:top w:val="nil"/>
              <w:left w:val="nil"/>
              <w:bottom w:val="single" w:color="auto" w:sz="8" w:space="0"/>
              <w:right w:val="single" w:color="auto" w:sz="4" w:space="0"/>
            </w:tcBorders>
            <w:shd w:val="clear" w:color="auto" w:fill="auto"/>
          </w:tcPr>
          <w:p w14:paraId="774E36C2">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highlight w:val="lightGray"/>
              </w:rPr>
            </w:pPr>
          </w:p>
        </w:tc>
        <w:tc>
          <w:tcPr>
            <w:tcW w:w="469" w:type="pct"/>
            <w:gridSpan w:val="3"/>
            <w:tcBorders>
              <w:top w:val="nil"/>
              <w:left w:val="nil"/>
              <w:bottom w:val="single" w:color="auto" w:sz="8" w:space="0"/>
              <w:right w:val="single" w:color="auto" w:sz="4" w:space="0"/>
            </w:tcBorders>
            <w:shd w:val="clear" w:color="auto" w:fill="auto"/>
            <w:vAlign w:val="center"/>
          </w:tcPr>
          <w:p w14:paraId="764B1D9E">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highlight w:val="lightGray"/>
              </w:rPr>
            </w:pPr>
          </w:p>
        </w:tc>
        <w:tc>
          <w:tcPr>
            <w:tcW w:w="402" w:type="pct"/>
            <w:gridSpan w:val="3"/>
            <w:tcBorders>
              <w:top w:val="nil"/>
              <w:left w:val="nil"/>
              <w:bottom w:val="single" w:color="auto" w:sz="8" w:space="0"/>
              <w:right w:val="single" w:color="auto" w:sz="4" w:space="0"/>
            </w:tcBorders>
            <w:shd w:val="clear" w:color="auto" w:fill="auto"/>
            <w:vAlign w:val="center"/>
          </w:tcPr>
          <w:p w14:paraId="151627EE">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highlight w:val="lightGray"/>
              </w:rPr>
            </w:pPr>
          </w:p>
        </w:tc>
        <w:tc>
          <w:tcPr>
            <w:tcW w:w="455" w:type="pct"/>
            <w:gridSpan w:val="2"/>
            <w:tcBorders>
              <w:top w:val="nil"/>
              <w:left w:val="nil"/>
              <w:bottom w:val="single" w:color="auto" w:sz="8" w:space="0"/>
              <w:right w:val="single" w:color="auto" w:sz="4" w:space="0"/>
            </w:tcBorders>
            <w:shd w:val="clear" w:color="auto" w:fill="auto"/>
          </w:tcPr>
          <w:p w14:paraId="02A3944E">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highlight w:val="lightGray"/>
              </w:rPr>
            </w:pPr>
          </w:p>
        </w:tc>
        <w:tc>
          <w:tcPr>
            <w:tcW w:w="440" w:type="pct"/>
            <w:tcBorders>
              <w:top w:val="nil"/>
              <w:left w:val="single" w:color="auto" w:sz="8" w:space="0"/>
              <w:bottom w:val="single" w:color="auto" w:sz="8" w:space="0"/>
              <w:right w:val="single" w:color="auto" w:sz="8" w:space="0"/>
            </w:tcBorders>
            <w:shd w:val="clear" w:color="auto" w:fill="auto"/>
            <w:noWrap/>
            <w:vAlign w:val="center"/>
          </w:tcPr>
          <w:p w14:paraId="49067A0E">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r>
      <w:tr w14:paraId="5CC8DA65">
        <w:trPr>
          <w:trHeight w:val="360" w:hRule="atLeast"/>
          <w:jc w:val="center"/>
        </w:trPr>
        <w:tc>
          <w:tcPr>
            <w:tcW w:w="487" w:type="pct"/>
            <w:tcBorders>
              <w:left w:val="single" w:color="auto" w:sz="8" w:space="0"/>
              <w:bottom w:val="double" w:color="auto" w:sz="4" w:space="0"/>
              <w:right w:val="single" w:color="auto" w:sz="4" w:space="0"/>
            </w:tcBorders>
            <w:shd w:val="clear" w:color="auto" w:fill="auto"/>
            <w:vAlign w:val="center"/>
          </w:tcPr>
          <w:p w14:paraId="2E9E15EB">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临时参与人员</w:t>
            </w:r>
          </w:p>
        </w:tc>
        <w:tc>
          <w:tcPr>
            <w:tcW w:w="257" w:type="pct"/>
            <w:tcBorders>
              <w:top w:val="single" w:color="auto" w:sz="8" w:space="0"/>
              <w:left w:val="nil"/>
              <w:bottom w:val="double" w:color="auto" w:sz="4" w:space="0"/>
              <w:right w:val="single" w:color="auto" w:sz="4" w:space="0"/>
            </w:tcBorders>
            <w:shd w:val="clear" w:color="auto" w:fill="auto"/>
            <w:vAlign w:val="center"/>
          </w:tcPr>
          <w:p w14:paraId="7327F045">
            <w:pPr>
              <w:keepNext w:val="0"/>
              <w:keepLines w:val="0"/>
              <w:pageBreakBefore w:val="0"/>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rPr>
            </w:pPr>
            <w:r>
              <w:rPr>
                <w:rFonts w:hint="eastAsia" w:ascii="仿宋_GB2312" w:hAnsi="仿宋_GB2312" w:eastAsia="仿宋_GB2312" w:cs="仿宋_GB2312"/>
                <w:sz w:val="21"/>
                <w:szCs w:val="21"/>
              </w:rPr>
              <w:t>/</w:t>
            </w:r>
          </w:p>
        </w:tc>
        <w:tc>
          <w:tcPr>
            <w:tcW w:w="258" w:type="pct"/>
            <w:gridSpan w:val="2"/>
            <w:tcBorders>
              <w:top w:val="single" w:color="auto" w:sz="8" w:space="0"/>
              <w:left w:val="nil"/>
              <w:bottom w:val="double" w:color="auto" w:sz="4" w:space="0"/>
              <w:right w:val="single" w:color="auto" w:sz="4" w:space="0"/>
            </w:tcBorders>
            <w:shd w:val="clear" w:color="auto" w:fill="auto"/>
            <w:vAlign w:val="center"/>
          </w:tcPr>
          <w:p w14:paraId="272947B1">
            <w:pPr>
              <w:keepNext w:val="0"/>
              <w:keepLines w:val="0"/>
              <w:pageBreakBefore w:val="0"/>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rPr>
            </w:pPr>
            <w:r>
              <w:rPr>
                <w:rFonts w:hint="eastAsia" w:ascii="仿宋_GB2312" w:hAnsi="仿宋_GB2312" w:eastAsia="仿宋_GB2312" w:cs="仿宋_GB2312"/>
                <w:sz w:val="21"/>
                <w:szCs w:val="21"/>
              </w:rPr>
              <w:t>/</w:t>
            </w:r>
          </w:p>
        </w:tc>
        <w:tc>
          <w:tcPr>
            <w:tcW w:w="293" w:type="pct"/>
            <w:gridSpan w:val="4"/>
            <w:tcBorders>
              <w:top w:val="single" w:color="auto" w:sz="8" w:space="0"/>
              <w:left w:val="nil"/>
              <w:bottom w:val="double" w:color="auto" w:sz="4" w:space="0"/>
              <w:right w:val="single" w:color="auto" w:sz="4" w:space="0"/>
            </w:tcBorders>
            <w:shd w:val="clear" w:color="auto" w:fill="auto"/>
            <w:vAlign w:val="center"/>
          </w:tcPr>
          <w:p w14:paraId="2D305590">
            <w:pPr>
              <w:keepNext w:val="0"/>
              <w:keepLines w:val="0"/>
              <w:pageBreakBefore w:val="0"/>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rPr>
            </w:pPr>
            <w:r>
              <w:rPr>
                <w:rFonts w:hint="eastAsia" w:ascii="仿宋_GB2312" w:hAnsi="仿宋_GB2312" w:eastAsia="仿宋_GB2312" w:cs="仿宋_GB2312"/>
                <w:sz w:val="21"/>
                <w:szCs w:val="21"/>
              </w:rPr>
              <w:t>/</w:t>
            </w:r>
          </w:p>
        </w:tc>
        <w:tc>
          <w:tcPr>
            <w:tcW w:w="257" w:type="pct"/>
            <w:gridSpan w:val="2"/>
            <w:tcBorders>
              <w:top w:val="single" w:color="auto" w:sz="8" w:space="0"/>
              <w:left w:val="nil"/>
              <w:bottom w:val="double" w:color="auto" w:sz="4" w:space="0"/>
              <w:right w:val="single" w:color="auto" w:sz="4" w:space="0"/>
            </w:tcBorders>
            <w:shd w:val="clear" w:color="auto" w:fill="auto"/>
            <w:vAlign w:val="center"/>
          </w:tcPr>
          <w:p w14:paraId="6EF626D7">
            <w:pPr>
              <w:keepNext w:val="0"/>
              <w:keepLines w:val="0"/>
              <w:pageBreakBefore w:val="0"/>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rPr>
            </w:pPr>
            <w:r>
              <w:rPr>
                <w:rFonts w:hint="eastAsia" w:ascii="仿宋_GB2312" w:hAnsi="仿宋_GB2312" w:eastAsia="仿宋_GB2312" w:cs="仿宋_GB2312"/>
                <w:sz w:val="21"/>
                <w:szCs w:val="21"/>
              </w:rPr>
              <w:t>/</w:t>
            </w:r>
          </w:p>
        </w:tc>
        <w:tc>
          <w:tcPr>
            <w:tcW w:w="291" w:type="pct"/>
            <w:gridSpan w:val="2"/>
            <w:tcBorders>
              <w:top w:val="single" w:color="auto" w:sz="8" w:space="0"/>
              <w:left w:val="nil"/>
              <w:bottom w:val="double" w:color="auto" w:sz="4" w:space="0"/>
              <w:right w:val="single" w:color="auto" w:sz="4" w:space="0"/>
            </w:tcBorders>
            <w:shd w:val="clear" w:color="auto" w:fill="auto"/>
            <w:vAlign w:val="center"/>
          </w:tcPr>
          <w:p w14:paraId="6A39E940">
            <w:pPr>
              <w:keepNext w:val="0"/>
              <w:keepLines w:val="0"/>
              <w:pageBreakBefore w:val="0"/>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rPr>
            </w:pPr>
            <w:r>
              <w:rPr>
                <w:rFonts w:hint="eastAsia" w:ascii="仿宋_GB2312" w:hAnsi="仿宋_GB2312" w:eastAsia="仿宋_GB2312" w:cs="仿宋_GB2312"/>
                <w:sz w:val="21"/>
                <w:szCs w:val="21"/>
              </w:rPr>
              <w:t>/</w:t>
            </w:r>
          </w:p>
        </w:tc>
        <w:tc>
          <w:tcPr>
            <w:tcW w:w="349" w:type="pct"/>
            <w:gridSpan w:val="2"/>
            <w:tcBorders>
              <w:top w:val="single" w:color="auto" w:sz="8" w:space="0"/>
              <w:left w:val="nil"/>
              <w:bottom w:val="double" w:color="auto" w:sz="4" w:space="0"/>
              <w:right w:val="single" w:color="auto" w:sz="4" w:space="0"/>
            </w:tcBorders>
            <w:shd w:val="clear" w:color="auto" w:fill="auto"/>
            <w:vAlign w:val="center"/>
          </w:tcPr>
          <w:p w14:paraId="2786AB52">
            <w:pPr>
              <w:keepNext w:val="0"/>
              <w:keepLines w:val="0"/>
              <w:pageBreakBefore w:val="0"/>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rPr>
            </w:pPr>
            <w:r>
              <w:rPr>
                <w:rFonts w:hint="eastAsia" w:ascii="仿宋_GB2312" w:hAnsi="仿宋_GB2312" w:eastAsia="仿宋_GB2312" w:cs="仿宋_GB2312"/>
                <w:sz w:val="21"/>
                <w:szCs w:val="21"/>
              </w:rPr>
              <w:t>/</w:t>
            </w:r>
          </w:p>
        </w:tc>
        <w:tc>
          <w:tcPr>
            <w:tcW w:w="303" w:type="pct"/>
            <w:gridSpan w:val="2"/>
            <w:tcBorders>
              <w:top w:val="single" w:color="auto" w:sz="8" w:space="0"/>
              <w:left w:val="nil"/>
              <w:bottom w:val="double" w:color="auto" w:sz="4" w:space="0"/>
              <w:right w:val="single" w:color="auto" w:sz="4" w:space="0"/>
            </w:tcBorders>
            <w:shd w:val="clear" w:color="auto" w:fill="auto"/>
            <w:vAlign w:val="center"/>
          </w:tcPr>
          <w:p w14:paraId="70E84CF6">
            <w:pPr>
              <w:keepNext w:val="0"/>
              <w:keepLines w:val="0"/>
              <w:pageBreakBefore w:val="0"/>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rPr>
            </w:pPr>
            <w:r>
              <w:rPr>
                <w:rFonts w:hint="eastAsia" w:ascii="仿宋_GB2312" w:hAnsi="仿宋_GB2312" w:eastAsia="仿宋_GB2312" w:cs="仿宋_GB2312"/>
                <w:sz w:val="21"/>
                <w:szCs w:val="21"/>
              </w:rPr>
              <w:t>/</w:t>
            </w:r>
          </w:p>
        </w:tc>
        <w:tc>
          <w:tcPr>
            <w:tcW w:w="386" w:type="pct"/>
            <w:gridSpan w:val="3"/>
            <w:tcBorders>
              <w:top w:val="single" w:color="auto" w:sz="8" w:space="0"/>
              <w:left w:val="nil"/>
              <w:bottom w:val="double" w:color="auto" w:sz="4" w:space="0"/>
              <w:right w:val="single" w:color="auto" w:sz="4" w:space="0"/>
            </w:tcBorders>
            <w:shd w:val="clear" w:color="auto" w:fill="auto"/>
            <w:vAlign w:val="center"/>
          </w:tcPr>
          <w:p w14:paraId="2904A074">
            <w:pPr>
              <w:keepNext w:val="0"/>
              <w:keepLines w:val="0"/>
              <w:pageBreakBefore w:val="0"/>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rPr>
            </w:pPr>
            <w:r>
              <w:rPr>
                <w:rFonts w:hint="eastAsia" w:ascii="仿宋_GB2312" w:hAnsi="仿宋_GB2312" w:eastAsia="仿宋_GB2312" w:cs="仿宋_GB2312"/>
                <w:sz w:val="21"/>
                <w:szCs w:val="21"/>
              </w:rPr>
              <w:t>/</w:t>
            </w:r>
          </w:p>
        </w:tc>
        <w:tc>
          <w:tcPr>
            <w:tcW w:w="349" w:type="pct"/>
            <w:gridSpan w:val="3"/>
            <w:tcBorders>
              <w:top w:val="single" w:color="auto" w:sz="8" w:space="0"/>
              <w:left w:val="nil"/>
              <w:bottom w:val="double" w:color="auto" w:sz="4" w:space="0"/>
              <w:right w:val="single" w:color="auto" w:sz="4" w:space="0"/>
            </w:tcBorders>
            <w:shd w:val="clear" w:color="auto" w:fill="auto"/>
            <w:vAlign w:val="center"/>
          </w:tcPr>
          <w:p w14:paraId="028B8FD2">
            <w:pPr>
              <w:keepNext w:val="0"/>
              <w:keepLines w:val="0"/>
              <w:pageBreakBefore w:val="0"/>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rPr>
            </w:pPr>
            <w:r>
              <w:rPr>
                <w:rFonts w:hint="eastAsia" w:ascii="仿宋_GB2312" w:hAnsi="仿宋_GB2312" w:eastAsia="仿宋_GB2312" w:cs="仿宋_GB2312"/>
                <w:sz w:val="21"/>
                <w:szCs w:val="21"/>
              </w:rPr>
              <w:t>/</w:t>
            </w:r>
          </w:p>
        </w:tc>
        <w:tc>
          <w:tcPr>
            <w:tcW w:w="469" w:type="pct"/>
            <w:gridSpan w:val="3"/>
            <w:tcBorders>
              <w:top w:val="single" w:color="auto" w:sz="8" w:space="0"/>
              <w:left w:val="nil"/>
              <w:bottom w:val="double" w:color="auto" w:sz="4" w:space="0"/>
              <w:right w:val="single" w:color="auto" w:sz="4" w:space="0"/>
            </w:tcBorders>
            <w:shd w:val="clear" w:color="auto" w:fill="auto"/>
            <w:vAlign w:val="center"/>
          </w:tcPr>
          <w:p w14:paraId="3BFFE501">
            <w:pPr>
              <w:keepNext w:val="0"/>
              <w:keepLines w:val="0"/>
              <w:pageBreakBefore w:val="0"/>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rPr>
            </w:pPr>
            <w:r>
              <w:rPr>
                <w:rFonts w:hint="eastAsia" w:ascii="仿宋_GB2312" w:hAnsi="仿宋_GB2312" w:eastAsia="仿宋_GB2312" w:cs="仿宋_GB2312"/>
                <w:sz w:val="21"/>
                <w:szCs w:val="21"/>
              </w:rPr>
              <w:t>/</w:t>
            </w:r>
          </w:p>
        </w:tc>
        <w:tc>
          <w:tcPr>
            <w:tcW w:w="401" w:type="pct"/>
            <w:gridSpan w:val="2"/>
            <w:tcBorders>
              <w:top w:val="single" w:color="auto" w:sz="8" w:space="0"/>
              <w:left w:val="nil"/>
              <w:bottom w:val="double" w:color="auto" w:sz="4" w:space="0"/>
              <w:right w:val="single" w:color="auto" w:sz="4" w:space="0"/>
            </w:tcBorders>
            <w:shd w:val="clear" w:color="auto" w:fill="auto"/>
            <w:vAlign w:val="center"/>
          </w:tcPr>
          <w:p w14:paraId="2939A502">
            <w:pPr>
              <w:keepNext w:val="0"/>
              <w:keepLines w:val="0"/>
              <w:pageBreakBefore w:val="0"/>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rPr>
            </w:pPr>
            <w:r>
              <w:rPr>
                <w:rFonts w:hint="eastAsia" w:ascii="仿宋_GB2312" w:hAnsi="仿宋_GB2312" w:eastAsia="仿宋_GB2312" w:cs="仿宋_GB2312"/>
                <w:sz w:val="21"/>
                <w:szCs w:val="21"/>
              </w:rPr>
              <w:t>/</w:t>
            </w:r>
          </w:p>
        </w:tc>
        <w:tc>
          <w:tcPr>
            <w:tcW w:w="455" w:type="pct"/>
            <w:gridSpan w:val="2"/>
            <w:tcBorders>
              <w:top w:val="single" w:color="auto" w:sz="8" w:space="0"/>
              <w:left w:val="nil"/>
              <w:bottom w:val="double" w:color="auto" w:sz="4" w:space="0"/>
              <w:right w:val="single" w:color="auto" w:sz="4" w:space="0"/>
            </w:tcBorders>
            <w:shd w:val="clear" w:color="auto" w:fill="auto"/>
            <w:vAlign w:val="center"/>
          </w:tcPr>
          <w:p w14:paraId="6B06AE19">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highlight w:val="lightGray"/>
                <w:shd w:val="pct10" w:color="auto" w:fill="FFFFFF"/>
              </w:rPr>
            </w:pPr>
          </w:p>
        </w:tc>
        <w:tc>
          <w:tcPr>
            <w:tcW w:w="440" w:type="pct"/>
            <w:tcBorders>
              <w:top w:val="single" w:color="auto" w:sz="8" w:space="0"/>
              <w:left w:val="single" w:color="auto" w:sz="8" w:space="0"/>
              <w:bottom w:val="double" w:color="auto" w:sz="6" w:space="0"/>
              <w:right w:val="single" w:color="auto" w:sz="8" w:space="0"/>
            </w:tcBorders>
            <w:shd w:val="clear" w:color="auto" w:fill="auto"/>
            <w:noWrap/>
            <w:vAlign w:val="center"/>
          </w:tcPr>
          <w:p w14:paraId="5C608872">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sz w:val="21"/>
                <w:szCs w:val="21"/>
              </w:rPr>
              <w:t>/</w:t>
            </w:r>
          </w:p>
        </w:tc>
      </w:tr>
      <w:tr w14:paraId="1C2D2957">
        <w:trPr>
          <w:trHeight w:val="300" w:hRule="atLeast"/>
          <w:jc w:val="center"/>
        </w:trPr>
        <w:tc>
          <w:tcPr>
            <w:tcW w:w="4104" w:type="pct"/>
            <w:gridSpan w:val="27"/>
            <w:tcBorders>
              <w:top w:val="double" w:color="auto" w:sz="4" w:space="0"/>
              <w:left w:val="single" w:color="auto" w:sz="8" w:space="0"/>
              <w:bottom w:val="single" w:color="000000" w:sz="8" w:space="0"/>
              <w:right w:val="single" w:color="000000" w:sz="8" w:space="0"/>
            </w:tcBorders>
            <w:shd w:val="clear" w:color="auto" w:fill="auto"/>
            <w:vAlign w:val="center"/>
          </w:tcPr>
          <w:p w14:paraId="6D1C7AA5">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累    计</w:t>
            </w:r>
          </w:p>
        </w:tc>
        <w:tc>
          <w:tcPr>
            <w:tcW w:w="455" w:type="pct"/>
            <w:gridSpan w:val="2"/>
            <w:tcBorders>
              <w:top w:val="double" w:color="auto" w:sz="4" w:space="0"/>
              <w:left w:val="nil"/>
              <w:bottom w:val="single" w:color="000000" w:sz="8" w:space="0"/>
              <w:right w:val="single" w:color="auto" w:sz="8" w:space="0"/>
            </w:tcBorders>
            <w:shd w:val="clear" w:color="auto" w:fill="auto"/>
            <w:vAlign w:val="center"/>
          </w:tcPr>
          <w:p w14:paraId="3AFCBEED">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right"/>
              <w:textAlignment w:val="auto"/>
              <w:rPr>
                <w:rFonts w:hint="eastAsia" w:ascii="仿宋_GB2312" w:hAnsi="仿宋_GB2312" w:eastAsia="仿宋_GB2312" w:cs="仿宋_GB2312"/>
                <w:kern w:val="0"/>
                <w:sz w:val="21"/>
                <w:szCs w:val="21"/>
              </w:rPr>
            </w:pPr>
          </w:p>
        </w:tc>
        <w:tc>
          <w:tcPr>
            <w:tcW w:w="440" w:type="pct"/>
            <w:tcBorders>
              <w:top w:val="single" w:color="auto" w:sz="8" w:space="0"/>
              <w:left w:val="single" w:color="auto" w:sz="8" w:space="0"/>
              <w:bottom w:val="single" w:color="auto" w:sz="8" w:space="0"/>
              <w:right w:val="single" w:color="auto" w:sz="8" w:space="0"/>
            </w:tcBorders>
            <w:shd w:val="clear" w:color="auto" w:fill="auto"/>
            <w:noWrap/>
            <w:vAlign w:val="center"/>
          </w:tcPr>
          <w:p w14:paraId="5B1B7144">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w:t>
            </w:r>
          </w:p>
        </w:tc>
      </w:tr>
    </w:tbl>
    <w:p w14:paraId="0AD08136">
      <w:pPr>
        <w:pageBreakBefore w:val="0"/>
        <w:widowControl w:val="0"/>
        <w:kinsoku/>
        <w:overflowPunct/>
        <w:topLinePunct w:val="0"/>
        <w:autoSpaceDE w:val="0"/>
        <w:autoSpaceDN w:val="0"/>
        <w:bidi w:val="0"/>
        <w:adjustRightInd/>
        <w:snapToGrid w:val="0"/>
        <w:spacing w:beforeAutospacing="0" w:afterAutospacing="0" w:line="560" w:lineRule="exact"/>
        <w:ind w:left="0" w:leftChars="0" w:right="0" w:firstLine="0" w:firstLineChars="0"/>
        <w:jc w:val="both"/>
        <w:textAlignment w:val="auto"/>
        <w:rPr>
          <w:rFonts w:ascii="宋体" w:hAnsi="宋体" w:eastAsia="仿宋_GB2312" w:cs="Times New Roman"/>
          <w:kern w:val="2"/>
          <w:sz w:val="18"/>
          <w:szCs w:val="18"/>
          <w:lang w:val="en-US" w:eastAsia="zh-CN" w:bidi="ar-SA"/>
        </w:rPr>
      </w:pPr>
    </w:p>
    <w:p w14:paraId="13F28896">
      <w:pPr>
        <w:pageBreakBefore w:val="0"/>
        <w:widowControl w:val="0"/>
        <w:kinsoku/>
        <w:overflowPunct/>
        <w:topLinePunct w:val="0"/>
        <w:autoSpaceDE w:val="0"/>
        <w:autoSpaceDN w:val="0"/>
        <w:bidi w:val="0"/>
        <w:adjustRightInd/>
        <w:snapToGrid w:val="0"/>
        <w:spacing w:beforeAutospacing="0" w:afterAutospacing="0" w:line="560" w:lineRule="exact"/>
        <w:ind w:left="0" w:leftChars="0" w:right="0" w:firstLine="0" w:firstLineChars="0"/>
        <w:jc w:val="both"/>
        <w:textAlignment w:val="auto"/>
        <w:rPr>
          <w:rFonts w:ascii="宋体" w:hAnsi="宋体" w:eastAsia="仿宋_GB2312" w:cs="Times New Roman"/>
          <w:kern w:val="2"/>
          <w:sz w:val="18"/>
          <w:szCs w:val="18"/>
          <w:lang w:val="en-US" w:eastAsia="zh-CN" w:bidi="ar-SA"/>
        </w:rPr>
      </w:pPr>
    </w:p>
    <w:p w14:paraId="1CBB395C">
      <w:pPr>
        <w:pageBreakBefore w:val="0"/>
        <w:widowControl w:val="0"/>
        <w:tabs>
          <w:tab w:val="center" w:pos="7078"/>
          <w:tab w:val="left" w:pos="9520"/>
        </w:tabs>
        <w:kinsoku/>
        <w:overflowPunct/>
        <w:topLinePunct w:val="0"/>
        <w:autoSpaceDE w:val="0"/>
        <w:autoSpaceDN w:val="0"/>
        <w:bidi w:val="0"/>
        <w:adjustRightInd/>
        <w:spacing w:beforeAutospacing="0" w:afterAutospacing="0" w:line="560" w:lineRule="exact"/>
        <w:ind w:left="0" w:leftChars="0" w:right="0" w:firstLine="0" w:firstLineChars="0"/>
        <w:jc w:val="both"/>
        <w:textAlignment w:val="auto"/>
        <w:rPr>
          <w:rFonts w:ascii="宋体" w:hAnsi="宋体" w:eastAsia="仿宋_GB2312" w:cs="Times New Roman"/>
          <w:kern w:val="2"/>
          <w:sz w:val="18"/>
          <w:szCs w:val="18"/>
          <w:lang w:val="en-US" w:eastAsia="zh-CN" w:bidi="ar-SA"/>
        </w:rPr>
      </w:pPr>
      <w:r>
        <w:rPr>
          <w:rFonts w:ascii="宋体" w:hAnsi="宋体" w:eastAsia="仿宋_GB2312" w:cs="Times New Roman"/>
          <w:kern w:val="2"/>
          <w:sz w:val="18"/>
          <w:szCs w:val="18"/>
          <w:lang w:val="en-US" w:eastAsia="zh-CN" w:bidi="ar-SA"/>
        </w:rPr>
        <w:br w:type="page"/>
      </w:r>
    </w:p>
    <w:p w14:paraId="085159B3">
      <w:pPr>
        <w:pageBreakBefore w:val="0"/>
        <w:kinsoku/>
        <w:overflowPunct/>
        <w:topLinePunct w:val="0"/>
        <w:bidi w:val="0"/>
        <w:adjustRightInd/>
        <w:spacing w:line="560" w:lineRule="exact"/>
        <w:ind w:left="0" w:leftChars="0" w:firstLine="0" w:firstLineChars="0"/>
        <w:textAlignment w:val="auto"/>
        <w:rPr>
          <w:rFonts w:hint="eastAsia"/>
        </w:rPr>
        <w:sectPr>
          <w:footerReference r:id="rId6" w:type="first"/>
          <w:pgSz w:w="16838" w:h="11906" w:orient="landscape"/>
          <w:pgMar w:top="1531" w:right="1361" w:bottom="1361" w:left="1361" w:header="284" w:footer="425" w:gutter="0"/>
          <w:pgNumType w:fmt="decimal"/>
          <w:cols w:space="425" w:num="1"/>
          <w:docGrid w:type="lines" w:linePitch="381" w:charSpace="0"/>
        </w:sectPr>
      </w:pPr>
    </w:p>
    <w:p w14:paraId="78574EFF">
      <w:pPr>
        <w:pageBreakBefore w:val="0"/>
        <w:widowControl w:val="0"/>
        <w:kinsoku/>
        <w:overflowPunct/>
        <w:topLinePunct w:val="0"/>
        <w:autoSpaceDE w:val="0"/>
        <w:autoSpaceDN w:val="0"/>
        <w:bidi w:val="0"/>
        <w:adjustRightInd/>
        <w:spacing w:line="560" w:lineRule="exact"/>
        <w:ind w:left="0" w:leftChars="0" w:firstLine="0" w:firstLineChars="0"/>
        <w:jc w:val="both"/>
        <w:textAlignment w:val="auto"/>
        <w:outlineLvl w:val="0"/>
        <w:rPr>
          <w:rFonts w:hint="eastAsia" w:ascii="黑体" w:hAnsi="黑体" w:eastAsia="黑体" w:cs="Times New Roman"/>
          <w:kern w:val="2"/>
          <w:sz w:val="32"/>
          <w:szCs w:val="24"/>
          <w:lang w:val="en-US" w:eastAsia="zh-CN" w:bidi="ar-SA"/>
        </w:rPr>
      </w:pPr>
      <w:r>
        <w:rPr>
          <w:rFonts w:hint="eastAsia" w:ascii="黑体" w:hAnsi="黑体" w:eastAsia="黑体" w:cs="Times New Roman"/>
          <w:kern w:val="2"/>
          <w:sz w:val="32"/>
          <w:szCs w:val="24"/>
          <w:lang w:val="en-US" w:eastAsia="zh-CN" w:bidi="ar-SA"/>
        </w:rPr>
        <w:t xml:space="preserve">附表8 大型科学仪器设施基本信息表 </w:t>
      </w:r>
    </w:p>
    <w:p w14:paraId="1234321A">
      <w:pPr>
        <w:keepNext w:val="0"/>
        <w:keepLines w:val="0"/>
        <w:pageBreakBefore w:val="0"/>
        <w:widowControl w:val="0"/>
        <w:kinsoku/>
        <w:wordWrap/>
        <w:overflowPunct/>
        <w:topLinePunct w:val="0"/>
        <w:autoSpaceDE/>
        <w:autoSpaceDN/>
        <w:bidi w:val="0"/>
        <w:adjustRightInd/>
        <w:snapToGrid/>
        <w:spacing w:line="320" w:lineRule="exact"/>
        <w:ind w:firstLine="0" w:firstLineChars="0"/>
        <w:textAlignment w:val="auto"/>
        <w:rPr>
          <w:rFonts w:hint="eastAsia" w:ascii="仿宋_GB2312" w:hAnsi="仿宋_GB2312" w:eastAsia="仿宋_GB2312" w:cs="仿宋_GB2312"/>
          <w:color w:val="2D00C7"/>
          <w:sz w:val="24"/>
          <w:szCs w:val="24"/>
        </w:rPr>
      </w:pPr>
      <w:r>
        <w:rPr>
          <w:rFonts w:hint="eastAsia" w:ascii="仿宋_GB2312" w:hAnsi="仿宋_GB2312" w:eastAsia="仿宋_GB2312" w:cs="仿宋_GB2312"/>
          <w:color w:val="2D00C7"/>
          <w:sz w:val="24"/>
          <w:szCs w:val="24"/>
        </w:rPr>
        <w:t>（30</w:t>
      </w:r>
      <w:r>
        <w:rPr>
          <w:rFonts w:hint="eastAsia" w:ascii="仿宋_GB2312" w:hAnsi="仿宋_GB2312" w:eastAsia="仿宋_GB2312" w:cs="仿宋_GB2312"/>
          <w:color w:val="2D00C7"/>
          <w:sz w:val="24"/>
          <w:szCs w:val="24"/>
          <w:lang w:eastAsia="zh-CN"/>
        </w:rPr>
        <w:t>万元</w:t>
      </w:r>
      <w:r>
        <w:rPr>
          <w:rFonts w:hint="eastAsia" w:ascii="仿宋_GB2312" w:hAnsi="仿宋_GB2312" w:eastAsia="仿宋_GB2312" w:cs="仿宋_GB2312"/>
          <w:color w:val="2D00C7"/>
          <w:sz w:val="24"/>
          <w:szCs w:val="24"/>
        </w:rPr>
        <w:t>及以上的大型科学仪器、设备和设施，必须填写本表）</w:t>
      </w:r>
    </w:p>
    <w:p w14:paraId="5E0EA196">
      <w:pPr>
        <w:keepNext w:val="0"/>
        <w:keepLines w:val="0"/>
        <w:pageBreakBefore w:val="0"/>
        <w:widowControl w:val="0"/>
        <w:kinsoku/>
        <w:wordWrap/>
        <w:overflowPunct/>
        <w:topLinePunct w:val="0"/>
        <w:autoSpaceDE/>
        <w:autoSpaceDN/>
        <w:bidi w:val="0"/>
        <w:adjustRightInd/>
        <w:snapToGrid/>
        <w:spacing w:line="320" w:lineRule="exact"/>
        <w:ind w:left="0" w:firstLine="560" w:firstLineChars="200"/>
        <w:textAlignment w:val="auto"/>
        <w:rPr>
          <w:rFonts w:hint="eastAsia" w:ascii="仿宋_GB2312" w:hAnsi="仿宋_GB2312" w:eastAsia="仿宋_GB2312" w:cs="仿宋_GB2312"/>
          <w:color w:val="2D00C7"/>
        </w:rPr>
      </w:pPr>
    </w:p>
    <w:p w14:paraId="4A1FC546">
      <w:pPr>
        <w:keepNext w:val="0"/>
        <w:keepLines w:val="0"/>
        <w:pageBreakBefore w:val="0"/>
        <w:widowControl w:val="0"/>
        <w:kinsoku/>
        <w:wordWrap/>
        <w:overflowPunct/>
        <w:topLinePunct w:val="0"/>
        <w:autoSpaceDE/>
        <w:autoSpaceDN/>
        <w:bidi w:val="0"/>
        <w:adjustRightInd/>
        <w:snapToGrid/>
        <w:spacing w:line="320" w:lineRule="exact"/>
        <w:ind w:firstLine="0" w:firstLineChars="0"/>
        <w:textAlignment w:val="auto"/>
        <w:rPr>
          <w:rFonts w:hint="eastAsia" w:ascii="仿宋_GB2312" w:hAnsi="仿宋_GB2312" w:eastAsia="仿宋_GB2312" w:cs="仿宋_GB2312"/>
          <w:color w:val="2D00C7"/>
          <w:sz w:val="24"/>
          <w:szCs w:val="24"/>
        </w:rPr>
      </w:pPr>
      <w:r>
        <w:rPr>
          <w:rFonts w:hint="eastAsia" w:ascii="仿宋_GB2312" w:hAnsi="仿宋_GB2312" w:eastAsia="仿宋_GB2312" w:cs="仿宋_GB2312"/>
          <w:color w:val="2D00C7"/>
          <w:sz w:val="24"/>
          <w:szCs w:val="24"/>
        </w:rPr>
        <w:t>填表说明：</w:t>
      </w:r>
    </w:p>
    <w:p w14:paraId="2A64C73E">
      <w:pPr>
        <w:keepNext w:val="0"/>
        <w:keepLines w:val="0"/>
        <w:pageBreakBefore w:val="0"/>
        <w:widowControl w:val="0"/>
        <w:numPr>
          <w:ilvl w:val="0"/>
          <w:numId w:val="33"/>
        </w:numPr>
        <w:kinsoku/>
        <w:wordWrap/>
        <w:overflowPunct/>
        <w:topLinePunct w:val="0"/>
        <w:autoSpaceDE/>
        <w:autoSpaceDN/>
        <w:bidi w:val="0"/>
        <w:adjustRightInd/>
        <w:snapToGrid/>
        <w:spacing w:line="320" w:lineRule="exact"/>
        <w:ind w:left="0" w:leftChars="0" w:firstLine="480" w:firstLineChars="200"/>
        <w:textAlignment w:val="auto"/>
        <w:rPr>
          <w:rFonts w:hint="eastAsia" w:ascii="仿宋_GB2312" w:hAnsi="仿宋_GB2312" w:eastAsia="仿宋_GB2312" w:cs="仿宋_GB2312"/>
          <w:color w:val="2D00C7"/>
          <w:sz w:val="24"/>
          <w:szCs w:val="24"/>
        </w:rPr>
      </w:pPr>
      <w:r>
        <w:rPr>
          <w:rFonts w:hint="eastAsia" w:ascii="仿宋_GB2312" w:hAnsi="仿宋_GB2312" w:eastAsia="仿宋_GB2312" w:cs="仿宋_GB2312"/>
          <w:color w:val="2D00C7"/>
          <w:sz w:val="24"/>
          <w:szCs w:val="24"/>
        </w:rPr>
        <w:t>仪器设施的中文名称：必须使用规范的名称，请勿使用简称；</w:t>
      </w:r>
    </w:p>
    <w:p w14:paraId="7FCC5CE9">
      <w:pPr>
        <w:keepNext w:val="0"/>
        <w:keepLines w:val="0"/>
        <w:pageBreakBefore w:val="0"/>
        <w:widowControl w:val="0"/>
        <w:numPr>
          <w:ilvl w:val="0"/>
          <w:numId w:val="33"/>
        </w:numPr>
        <w:kinsoku/>
        <w:wordWrap/>
        <w:overflowPunct/>
        <w:topLinePunct w:val="0"/>
        <w:autoSpaceDE/>
        <w:autoSpaceDN/>
        <w:bidi w:val="0"/>
        <w:adjustRightInd/>
        <w:snapToGrid/>
        <w:spacing w:line="320" w:lineRule="exact"/>
        <w:ind w:left="0" w:leftChars="0" w:firstLine="480" w:firstLineChars="200"/>
        <w:textAlignment w:val="auto"/>
        <w:rPr>
          <w:rFonts w:hint="eastAsia" w:ascii="仿宋_GB2312" w:hAnsi="仿宋_GB2312" w:eastAsia="仿宋_GB2312" w:cs="仿宋_GB2312"/>
          <w:color w:val="2D00C7"/>
          <w:sz w:val="24"/>
          <w:szCs w:val="24"/>
        </w:rPr>
      </w:pPr>
      <w:r>
        <w:rPr>
          <w:rFonts w:hint="eastAsia" w:ascii="仿宋_GB2312" w:hAnsi="仿宋_GB2312" w:eastAsia="仿宋_GB2312" w:cs="仿宋_GB2312"/>
          <w:color w:val="2D00C7"/>
          <w:sz w:val="24"/>
          <w:szCs w:val="24"/>
        </w:rPr>
        <w:t>仪器型号规格：必须正确填写型号规格，请勿使用简称；</w:t>
      </w:r>
    </w:p>
    <w:p w14:paraId="24F23785">
      <w:pPr>
        <w:keepNext w:val="0"/>
        <w:keepLines w:val="0"/>
        <w:pageBreakBefore w:val="0"/>
        <w:widowControl w:val="0"/>
        <w:numPr>
          <w:ilvl w:val="0"/>
          <w:numId w:val="33"/>
        </w:numPr>
        <w:kinsoku/>
        <w:wordWrap/>
        <w:overflowPunct/>
        <w:topLinePunct w:val="0"/>
        <w:autoSpaceDE/>
        <w:autoSpaceDN/>
        <w:bidi w:val="0"/>
        <w:adjustRightInd/>
        <w:snapToGrid/>
        <w:spacing w:line="320" w:lineRule="exact"/>
        <w:ind w:left="0" w:leftChars="0" w:firstLine="480" w:firstLineChars="200"/>
        <w:textAlignment w:val="auto"/>
        <w:rPr>
          <w:rFonts w:hint="eastAsia" w:ascii="仿宋_GB2312" w:hAnsi="仿宋_GB2312" w:eastAsia="仿宋_GB2312" w:cs="仿宋_GB2312"/>
          <w:color w:val="2D00C7"/>
          <w:sz w:val="24"/>
          <w:szCs w:val="24"/>
        </w:rPr>
      </w:pPr>
      <w:r>
        <w:rPr>
          <w:rFonts w:hint="eastAsia" w:ascii="仿宋_GB2312" w:hAnsi="仿宋_GB2312" w:eastAsia="仿宋_GB2312" w:cs="仿宋_GB2312"/>
          <w:color w:val="2D00C7"/>
          <w:sz w:val="24"/>
          <w:szCs w:val="24"/>
        </w:rPr>
        <w:t>预算经费：含附件价格；外汇购买的按购入时外汇牌价折合人民币值填写。</w:t>
      </w:r>
    </w:p>
    <w:p w14:paraId="628B3EC2">
      <w:pPr>
        <w:keepNext w:val="0"/>
        <w:keepLines w:val="0"/>
        <w:pageBreakBefore w:val="0"/>
        <w:widowControl w:val="0"/>
        <w:numPr>
          <w:ilvl w:val="0"/>
          <w:numId w:val="33"/>
        </w:numPr>
        <w:kinsoku/>
        <w:wordWrap/>
        <w:overflowPunct/>
        <w:topLinePunct w:val="0"/>
        <w:autoSpaceDE/>
        <w:autoSpaceDN/>
        <w:bidi w:val="0"/>
        <w:adjustRightInd/>
        <w:snapToGrid/>
        <w:spacing w:line="320" w:lineRule="exact"/>
        <w:ind w:left="0" w:leftChars="0" w:firstLine="480" w:firstLineChars="200"/>
        <w:textAlignment w:val="auto"/>
        <w:rPr>
          <w:rFonts w:hint="eastAsia" w:ascii="仿宋_GB2312" w:hAnsi="仿宋_GB2312" w:eastAsia="仿宋_GB2312" w:cs="仿宋_GB2312"/>
          <w:color w:val="2D00C7"/>
          <w:sz w:val="24"/>
          <w:szCs w:val="24"/>
        </w:rPr>
      </w:pPr>
      <w:r>
        <w:rPr>
          <w:rFonts w:hint="eastAsia" w:ascii="仿宋_GB2312" w:hAnsi="仿宋_GB2312" w:eastAsia="仿宋_GB2312" w:cs="仿宋_GB2312"/>
          <w:color w:val="2D00C7"/>
          <w:sz w:val="24"/>
          <w:szCs w:val="24"/>
        </w:rPr>
        <w:t>分类编码：参考《科学仪器设备设施分类编码表》选择填写。</w:t>
      </w:r>
    </w:p>
    <w:p w14:paraId="08DB23C7">
      <w:pPr>
        <w:keepNext w:val="0"/>
        <w:keepLines w:val="0"/>
        <w:pageBreakBefore w:val="0"/>
        <w:widowControl w:val="0"/>
        <w:numPr>
          <w:ilvl w:val="0"/>
          <w:numId w:val="33"/>
        </w:numPr>
        <w:kinsoku/>
        <w:wordWrap/>
        <w:overflowPunct/>
        <w:topLinePunct w:val="0"/>
        <w:autoSpaceDE/>
        <w:autoSpaceDN/>
        <w:bidi w:val="0"/>
        <w:adjustRightInd/>
        <w:snapToGrid/>
        <w:spacing w:line="320" w:lineRule="exact"/>
        <w:ind w:left="0" w:leftChars="0" w:firstLine="480" w:firstLineChars="200"/>
        <w:textAlignment w:val="auto"/>
        <w:rPr>
          <w:rFonts w:hint="eastAsia" w:ascii="仿宋_GB2312" w:hAnsi="仿宋_GB2312" w:eastAsia="仿宋_GB2312" w:cs="仿宋_GB2312"/>
          <w:color w:val="2D00C7"/>
          <w:sz w:val="24"/>
          <w:szCs w:val="24"/>
        </w:rPr>
      </w:pPr>
      <w:r>
        <w:rPr>
          <w:rFonts w:hint="eastAsia" w:ascii="仿宋_GB2312" w:hAnsi="仿宋_GB2312" w:eastAsia="仿宋_GB2312" w:cs="仿宋_GB2312"/>
          <w:color w:val="2D00C7"/>
          <w:sz w:val="24"/>
          <w:szCs w:val="24"/>
        </w:rPr>
        <w:t>生产国别与地区：参考《生产国别与地区代码表》选择填写。</w:t>
      </w:r>
    </w:p>
    <w:p w14:paraId="520FBB58">
      <w:pPr>
        <w:keepNext w:val="0"/>
        <w:keepLines w:val="0"/>
        <w:pageBreakBefore w:val="0"/>
        <w:widowControl w:val="0"/>
        <w:numPr>
          <w:ilvl w:val="0"/>
          <w:numId w:val="33"/>
        </w:numPr>
        <w:kinsoku/>
        <w:wordWrap/>
        <w:overflowPunct/>
        <w:topLinePunct w:val="0"/>
        <w:autoSpaceDE/>
        <w:autoSpaceDN/>
        <w:bidi w:val="0"/>
        <w:adjustRightInd/>
        <w:snapToGrid/>
        <w:spacing w:line="320" w:lineRule="exact"/>
        <w:ind w:left="0" w:leftChars="0" w:firstLine="480" w:firstLineChars="200"/>
        <w:textAlignment w:val="auto"/>
        <w:rPr>
          <w:rFonts w:hint="eastAsia" w:ascii="仿宋_GB2312" w:hAnsi="仿宋_GB2312" w:eastAsia="仿宋_GB2312" w:cs="仿宋_GB2312"/>
          <w:color w:val="2D00C7"/>
          <w:sz w:val="24"/>
          <w:szCs w:val="24"/>
        </w:rPr>
      </w:pPr>
      <w:r>
        <w:rPr>
          <w:rFonts w:hint="eastAsia" w:ascii="仿宋_GB2312" w:hAnsi="仿宋_GB2312" w:eastAsia="仿宋_GB2312" w:cs="仿宋_GB2312"/>
          <w:color w:val="2D00C7"/>
          <w:sz w:val="24"/>
          <w:szCs w:val="24"/>
        </w:rPr>
        <w:t>制造商：请提供三家制造商的名称及相关询价信息。</w:t>
      </w:r>
    </w:p>
    <w:p w14:paraId="6D802F25">
      <w:pPr>
        <w:keepNext w:val="0"/>
        <w:keepLines w:val="0"/>
        <w:pageBreakBefore w:val="0"/>
        <w:widowControl w:val="0"/>
        <w:numPr>
          <w:ilvl w:val="0"/>
          <w:numId w:val="33"/>
        </w:numPr>
        <w:kinsoku/>
        <w:wordWrap/>
        <w:overflowPunct/>
        <w:topLinePunct w:val="0"/>
        <w:autoSpaceDE/>
        <w:autoSpaceDN/>
        <w:bidi w:val="0"/>
        <w:adjustRightInd/>
        <w:snapToGrid/>
        <w:spacing w:line="320" w:lineRule="exact"/>
        <w:ind w:left="0" w:leftChars="0" w:firstLine="480" w:firstLineChars="200"/>
        <w:textAlignment w:val="auto"/>
        <w:rPr>
          <w:rFonts w:hint="eastAsia" w:ascii="仿宋_GB2312" w:hAnsi="仿宋_GB2312" w:eastAsia="仿宋_GB2312" w:cs="仿宋_GB2312"/>
          <w:color w:val="2D00C7"/>
          <w:sz w:val="24"/>
          <w:szCs w:val="24"/>
        </w:rPr>
      </w:pPr>
      <w:r>
        <w:rPr>
          <w:rFonts w:hint="eastAsia" w:ascii="仿宋_GB2312" w:hAnsi="仿宋_GB2312" w:eastAsia="仿宋_GB2312" w:cs="仿宋_GB2312"/>
          <w:color w:val="2D00C7"/>
          <w:sz w:val="24"/>
          <w:szCs w:val="24"/>
        </w:rPr>
        <w:t>50</w:t>
      </w:r>
      <w:r>
        <w:rPr>
          <w:rFonts w:hint="eastAsia" w:ascii="仿宋_GB2312" w:hAnsi="仿宋_GB2312" w:cs="仿宋_GB2312"/>
          <w:color w:val="2D00C7"/>
          <w:sz w:val="24"/>
          <w:szCs w:val="24"/>
          <w:lang w:eastAsia="zh-CN"/>
        </w:rPr>
        <w:t>万元</w:t>
      </w:r>
      <w:r>
        <w:rPr>
          <w:rFonts w:hint="eastAsia" w:ascii="仿宋_GB2312" w:hAnsi="仿宋_GB2312" w:eastAsia="仿宋_GB2312" w:cs="仿宋_GB2312"/>
          <w:color w:val="2D00C7"/>
          <w:sz w:val="24"/>
          <w:szCs w:val="24"/>
        </w:rPr>
        <w:t>以下的</w:t>
      </w:r>
      <w:r>
        <w:rPr>
          <w:rFonts w:hint="eastAsia" w:ascii="仿宋_GB2312" w:hAnsi="仿宋_GB2312" w:cs="仿宋_GB2312"/>
          <w:color w:val="2D00C7"/>
          <w:sz w:val="24"/>
          <w:szCs w:val="24"/>
          <w:lang w:eastAsia="zh-CN"/>
        </w:rPr>
        <w:t>只需</w:t>
      </w:r>
      <w:r>
        <w:rPr>
          <w:rFonts w:hint="eastAsia" w:ascii="仿宋_GB2312" w:hAnsi="仿宋_GB2312" w:eastAsia="仿宋_GB2312" w:cs="仿宋_GB2312"/>
          <w:color w:val="2D00C7"/>
          <w:sz w:val="24"/>
          <w:szCs w:val="24"/>
        </w:rPr>
        <w:t>填写“方案一”</w:t>
      </w:r>
    </w:p>
    <w:p w14:paraId="14AAE98F">
      <w:pPr>
        <w:keepNext w:val="0"/>
        <w:keepLines w:val="0"/>
        <w:pageBreakBefore w:val="0"/>
        <w:widowControl w:val="0"/>
        <w:numPr>
          <w:ilvl w:val="0"/>
          <w:numId w:val="33"/>
        </w:numPr>
        <w:kinsoku/>
        <w:wordWrap/>
        <w:overflowPunct/>
        <w:topLinePunct w:val="0"/>
        <w:autoSpaceDE/>
        <w:autoSpaceDN/>
        <w:bidi w:val="0"/>
        <w:adjustRightInd/>
        <w:snapToGrid/>
        <w:spacing w:line="320" w:lineRule="exact"/>
        <w:ind w:left="0" w:leftChars="0" w:firstLine="480" w:firstLineChars="200"/>
        <w:textAlignment w:val="auto"/>
        <w:rPr>
          <w:rFonts w:hint="eastAsia" w:ascii="仿宋_GB2312" w:hAnsi="仿宋_GB2312" w:eastAsia="仿宋_GB2312" w:cs="仿宋_GB2312"/>
          <w:color w:val="2D00C7"/>
          <w:sz w:val="24"/>
          <w:szCs w:val="24"/>
        </w:rPr>
      </w:pPr>
      <w:r>
        <w:rPr>
          <w:rFonts w:hint="eastAsia" w:ascii="仿宋_GB2312" w:hAnsi="仿宋_GB2312" w:eastAsia="仿宋_GB2312" w:cs="仿宋_GB2312"/>
          <w:color w:val="2D00C7"/>
          <w:sz w:val="24"/>
          <w:szCs w:val="24"/>
        </w:rPr>
        <w:t>50</w:t>
      </w:r>
      <w:r>
        <w:rPr>
          <w:rFonts w:hint="eastAsia" w:ascii="仿宋_GB2312" w:hAnsi="仿宋_GB2312" w:cs="仿宋_GB2312"/>
          <w:color w:val="2D00C7"/>
          <w:sz w:val="24"/>
          <w:szCs w:val="24"/>
          <w:lang w:eastAsia="zh-CN"/>
        </w:rPr>
        <w:t>万元</w:t>
      </w:r>
      <w:r>
        <w:rPr>
          <w:rFonts w:hint="eastAsia" w:ascii="仿宋_GB2312" w:hAnsi="仿宋_GB2312" w:eastAsia="仿宋_GB2312" w:cs="仿宋_GB2312"/>
          <w:color w:val="2D00C7"/>
          <w:sz w:val="24"/>
          <w:szCs w:val="24"/>
        </w:rPr>
        <w:t>（含）以上的，只提供一家产品报价的，请附唯一性的理由说明。</w:t>
      </w:r>
    </w:p>
    <w:p w14:paraId="2B87683C">
      <w:pPr>
        <w:keepNext w:val="0"/>
        <w:keepLines w:val="0"/>
        <w:pageBreakBefore w:val="0"/>
        <w:widowControl w:val="0"/>
        <w:numPr>
          <w:ilvl w:val="0"/>
          <w:numId w:val="33"/>
        </w:numPr>
        <w:kinsoku/>
        <w:wordWrap/>
        <w:overflowPunct/>
        <w:topLinePunct w:val="0"/>
        <w:autoSpaceDE/>
        <w:autoSpaceDN/>
        <w:bidi w:val="0"/>
        <w:adjustRightInd/>
        <w:snapToGrid/>
        <w:spacing w:line="320" w:lineRule="exact"/>
        <w:ind w:left="0" w:leftChars="0" w:firstLine="480" w:firstLineChars="200"/>
        <w:textAlignment w:val="auto"/>
        <w:rPr>
          <w:rFonts w:hint="eastAsia" w:ascii="仿宋_GB2312" w:hAnsi="仿宋_GB2312" w:eastAsia="仿宋_GB2312" w:cs="仿宋_GB2312"/>
          <w:color w:val="2D00C7"/>
          <w:sz w:val="24"/>
          <w:szCs w:val="24"/>
        </w:rPr>
      </w:pPr>
      <w:r>
        <w:rPr>
          <w:rFonts w:hint="eastAsia" w:ascii="仿宋_GB2312" w:hAnsi="仿宋_GB2312" w:eastAsia="仿宋_GB2312" w:cs="仿宋_GB2312"/>
          <w:color w:val="2D00C7"/>
          <w:sz w:val="24"/>
          <w:szCs w:val="24"/>
        </w:rPr>
        <w:t>服务接待时间：对外提供服务的具体时间段，如：9:00-16:00（周末和节假日除外）。</w:t>
      </w:r>
    </w:p>
    <w:p w14:paraId="309B6656">
      <w:pPr>
        <w:keepNext w:val="0"/>
        <w:keepLines w:val="0"/>
        <w:pageBreakBefore w:val="0"/>
        <w:widowControl w:val="0"/>
        <w:numPr>
          <w:ilvl w:val="0"/>
          <w:numId w:val="33"/>
        </w:numPr>
        <w:kinsoku/>
        <w:wordWrap/>
        <w:overflowPunct/>
        <w:topLinePunct w:val="0"/>
        <w:autoSpaceDE/>
        <w:autoSpaceDN/>
        <w:bidi w:val="0"/>
        <w:adjustRightInd/>
        <w:snapToGrid/>
        <w:spacing w:line="320" w:lineRule="exact"/>
        <w:ind w:left="0" w:leftChars="0" w:firstLine="480" w:firstLineChars="200"/>
        <w:textAlignment w:val="auto"/>
        <w:rPr>
          <w:rFonts w:hint="eastAsia" w:ascii="仿宋_GB2312" w:hAnsi="仿宋_GB2312" w:eastAsia="仿宋_GB2312" w:cs="仿宋_GB2312"/>
          <w:color w:val="2D00C7"/>
          <w:sz w:val="24"/>
          <w:szCs w:val="24"/>
        </w:rPr>
      </w:pPr>
      <w:r>
        <w:rPr>
          <w:rFonts w:hint="eastAsia" w:ascii="仿宋_GB2312" w:hAnsi="仿宋_GB2312" w:eastAsia="仿宋_GB2312" w:cs="仿宋_GB2312"/>
          <w:color w:val="2D00C7"/>
          <w:sz w:val="24"/>
          <w:szCs w:val="24"/>
        </w:rPr>
        <w:t>30</w:t>
      </w:r>
      <w:r>
        <w:rPr>
          <w:rFonts w:hint="eastAsia" w:ascii="仿宋_GB2312" w:hAnsi="仿宋_GB2312" w:cs="仿宋_GB2312"/>
          <w:color w:val="2D00C7"/>
          <w:sz w:val="24"/>
          <w:szCs w:val="24"/>
          <w:lang w:eastAsia="zh-CN"/>
        </w:rPr>
        <w:t>万元</w:t>
      </w:r>
      <w:r>
        <w:rPr>
          <w:rFonts w:hint="eastAsia" w:ascii="仿宋_GB2312" w:hAnsi="仿宋_GB2312" w:eastAsia="仿宋_GB2312" w:cs="仿宋_GB2312"/>
          <w:color w:val="2D00C7"/>
          <w:sz w:val="24"/>
          <w:szCs w:val="24"/>
        </w:rPr>
        <w:t>（含）以上的仪器设施信息届时需导入上海研发公共服务平台</w:t>
      </w:r>
      <w:r>
        <w:rPr>
          <w:rFonts w:hint="eastAsia" w:ascii="仿宋_GB2312" w:hAnsi="仿宋_GB2312" w:eastAsia="仿宋_GB2312" w:cs="仿宋_GB2312"/>
          <w:color w:val="2D00C7"/>
          <w:sz w:val="24"/>
          <w:szCs w:val="24"/>
          <w:lang w:eastAsia="zh-CN"/>
        </w:rPr>
        <w:t>。</w:t>
      </w:r>
    </w:p>
    <w:tbl>
      <w:tblPr>
        <w:tblStyle w:val="18"/>
        <w:tblpPr w:leftFromText="180" w:rightFromText="180" w:vertAnchor="text" w:horzAnchor="page" w:tblpXSpec="center" w:tblpY="764"/>
        <w:tblOverlap w:val="never"/>
        <w:tblW w:w="946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8"/>
        <w:gridCol w:w="181"/>
        <w:gridCol w:w="1176"/>
        <w:gridCol w:w="63"/>
        <w:gridCol w:w="70"/>
        <w:gridCol w:w="390"/>
        <w:gridCol w:w="1759"/>
        <w:gridCol w:w="867"/>
        <w:gridCol w:w="268"/>
        <w:gridCol w:w="1276"/>
        <w:gridCol w:w="642"/>
        <w:gridCol w:w="2031"/>
      </w:tblGrid>
      <w:tr w14:paraId="56E40485">
        <w:trPr>
          <w:jc w:val="center"/>
        </w:trPr>
        <w:tc>
          <w:tcPr>
            <w:tcW w:w="2095" w:type="dxa"/>
            <w:gridSpan w:val="3"/>
            <w:vAlign w:val="center"/>
          </w:tcPr>
          <w:p w14:paraId="5953D763">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分类编码</w:t>
            </w:r>
          </w:p>
        </w:tc>
        <w:tc>
          <w:tcPr>
            <w:tcW w:w="7366" w:type="dxa"/>
            <w:gridSpan w:val="9"/>
          </w:tcPr>
          <w:p w14:paraId="1CD33F82">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r>
      <w:tr w14:paraId="2E95ACC8">
        <w:trPr>
          <w:jc w:val="center"/>
        </w:trPr>
        <w:tc>
          <w:tcPr>
            <w:tcW w:w="2095" w:type="dxa"/>
            <w:gridSpan w:val="3"/>
            <w:vMerge w:val="restart"/>
            <w:vAlign w:val="center"/>
          </w:tcPr>
          <w:p w14:paraId="04E35F93">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仪器设施</w:t>
            </w:r>
          </w:p>
        </w:tc>
        <w:tc>
          <w:tcPr>
            <w:tcW w:w="2282" w:type="dxa"/>
            <w:gridSpan w:val="4"/>
            <w:vAlign w:val="center"/>
          </w:tcPr>
          <w:p w14:paraId="46F7AE94">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中文名称</w:t>
            </w:r>
          </w:p>
        </w:tc>
        <w:tc>
          <w:tcPr>
            <w:tcW w:w="5084" w:type="dxa"/>
            <w:gridSpan w:val="5"/>
          </w:tcPr>
          <w:p w14:paraId="30EE6CB8">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r>
      <w:tr w14:paraId="45BFE4F7">
        <w:trPr>
          <w:jc w:val="center"/>
        </w:trPr>
        <w:tc>
          <w:tcPr>
            <w:tcW w:w="2095" w:type="dxa"/>
            <w:gridSpan w:val="3"/>
            <w:vMerge w:val="continue"/>
            <w:vAlign w:val="center"/>
          </w:tcPr>
          <w:p w14:paraId="1BE525F6">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p>
        </w:tc>
        <w:tc>
          <w:tcPr>
            <w:tcW w:w="2282" w:type="dxa"/>
            <w:gridSpan w:val="4"/>
            <w:vAlign w:val="center"/>
          </w:tcPr>
          <w:p w14:paraId="05A76456">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型号规格</w:t>
            </w:r>
          </w:p>
        </w:tc>
        <w:tc>
          <w:tcPr>
            <w:tcW w:w="5084" w:type="dxa"/>
            <w:gridSpan w:val="5"/>
          </w:tcPr>
          <w:p w14:paraId="1849CEE8">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r>
      <w:tr w14:paraId="14DEDAC2">
        <w:trPr>
          <w:jc w:val="center"/>
        </w:trPr>
        <w:tc>
          <w:tcPr>
            <w:tcW w:w="2095" w:type="dxa"/>
            <w:gridSpan w:val="3"/>
            <w:vMerge w:val="continue"/>
            <w:vAlign w:val="center"/>
          </w:tcPr>
          <w:p w14:paraId="1E72B8D1">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p>
        </w:tc>
        <w:tc>
          <w:tcPr>
            <w:tcW w:w="2282" w:type="dxa"/>
            <w:gridSpan w:val="4"/>
            <w:vAlign w:val="center"/>
          </w:tcPr>
          <w:p w14:paraId="46C269CF">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单价</w:t>
            </w:r>
            <w:r>
              <w:rPr>
                <w:rFonts w:hint="eastAsia" w:ascii="仿宋_GB2312" w:hAnsi="仿宋_GB2312" w:cs="仿宋_GB2312"/>
                <w:sz w:val="21"/>
                <w:szCs w:val="21"/>
                <w:lang w:val="en-US" w:eastAsia="zh-CN"/>
              </w:rPr>
              <w:t>万</w:t>
            </w:r>
            <w:r>
              <w:rPr>
                <w:rFonts w:hint="eastAsia" w:ascii="仿宋_GB2312" w:hAnsi="仿宋_GB2312" w:eastAsia="仿宋_GB2312" w:cs="仿宋_GB2312"/>
                <w:sz w:val="21"/>
                <w:szCs w:val="21"/>
              </w:rPr>
              <w:t>元/台套</w:t>
            </w:r>
          </w:p>
          <w:p w14:paraId="16E25EA8">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（含附件）</w:t>
            </w:r>
          </w:p>
        </w:tc>
        <w:tc>
          <w:tcPr>
            <w:tcW w:w="5084" w:type="dxa"/>
            <w:gridSpan w:val="5"/>
          </w:tcPr>
          <w:p w14:paraId="22B41691">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r>
      <w:tr w14:paraId="7E34397C">
        <w:trPr>
          <w:jc w:val="center"/>
        </w:trPr>
        <w:tc>
          <w:tcPr>
            <w:tcW w:w="2095" w:type="dxa"/>
            <w:gridSpan w:val="3"/>
            <w:vMerge w:val="continue"/>
            <w:vAlign w:val="center"/>
          </w:tcPr>
          <w:p w14:paraId="3D27A6A6">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p>
        </w:tc>
        <w:tc>
          <w:tcPr>
            <w:tcW w:w="2282" w:type="dxa"/>
            <w:gridSpan w:val="4"/>
            <w:vAlign w:val="center"/>
          </w:tcPr>
          <w:p w14:paraId="62AFB3F3">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其中</w:t>
            </w:r>
            <w:r>
              <w:rPr>
                <w:rFonts w:hint="eastAsia" w:ascii="仿宋_GB2312" w:hAnsi="仿宋_GB2312" w:cs="仿宋_GB2312"/>
                <w:sz w:val="21"/>
                <w:szCs w:val="21"/>
                <w:lang w:eastAsia="zh-CN"/>
              </w:rPr>
              <w:t>：</w:t>
            </w:r>
            <w:r>
              <w:rPr>
                <w:rFonts w:hint="eastAsia" w:ascii="仿宋_GB2312" w:hAnsi="仿宋_GB2312" w:eastAsia="仿宋_GB2312" w:cs="仿宋_GB2312"/>
                <w:sz w:val="21"/>
                <w:szCs w:val="21"/>
              </w:rPr>
              <w:t>申请科委资助（单价）</w:t>
            </w:r>
          </w:p>
        </w:tc>
        <w:tc>
          <w:tcPr>
            <w:tcW w:w="5084" w:type="dxa"/>
            <w:gridSpan w:val="5"/>
          </w:tcPr>
          <w:p w14:paraId="616698A5">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r>
      <w:tr w14:paraId="7D5C518C">
        <w:trPr>
          <w:trHeight w:val="328" w:hRule="atLeast"/>
          <w:jc w:val="center"/>
        </w:trPr>
        <w:tc>
          <w:tcPr>
            <w:tcW w:w="919" w:type="dxa"/>
            <w:gridSpan w:val="2"/>
            <w:vMerge w:val="restart"/>
            <w:shd w:val="clear" w:color="auto" w:fill="auto"/>
            <w:vAlign w:val="center"/>
          </w:tcPr>
          <w:p w14:paraId="048A35B3">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仪器设施选购方案</w:t>
            </w:r>
          </w:p>
        </w:tc>
        <w:tc>
          <w:tcPr>
            <w:tcW w:w="1176" w:type="dxa"/>
            <w:shd w:val="clear" w:color="auto" w:fill="auto"/>
            <w:vAlign w:val="center"/>
          </w:tcPr>
          <w:p w14:paraId="23C8D3DD">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p>
        </w:tc>
        <w:tc>
          <w:tcPr>
            <w:tcW w:w="2282" w:type="dxa"/>
            <w:gridSpan w:val="4"/>
            <w:vAlign w:val="center"/>
          </w:tcPr>
          <w:p w14:paraId="34FB8A31">
            <w:pPr>
              <w:keepNext w:val="0"/>
              <w:keepLines w:val="0"/>
              <w:pageBreakBefore w:val="0"/>
              <w:widowControl w:val="0"/>
              <w:kinsoku/>
              <w:wordWrap w:val="0"/>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方案一</w:t>
            </w:r>
          </w:p>
        </w:tc>
        <w:tc>
          <w:tcPr>
            <w:tcW w:w="2411" w:type="dxa"/>
            <w:gridSpan w:val="3"/>
            <w:vAlign w:val="center"/>
          </w:tcPr>
          <w:p w14:paraId="79493764">
            <w:pPr>
              <w:keepNext w:val="0"/>
              <w:keepLines w:val="0"/>
              <w:pageBreakBefore w:val="0"/>
              <w:widowControl w:val="0"/>
              <w:kinsoku/>
              <w:wordWrap w:val="0"/>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方案二</w:t>
            </w:r>
          </w:p>
        </w:tc>
        <w:tc>
          <w:tcPr>
            <w:tcW w:w="2673" w:type="dxa"/>
            <w:gridSpan w:val="2"/>
            <w:vAlign w:val="center"/>
          </w:tcPr>
          <w:p w14:paraId="13E3CDB0">
            <w:pPr>
              <w:keepNext w:val="0"/>
              <w:keepLines w:val="0"/>
              <w:pageBreakBefore w:val="0"/>
              <w:widowControl w:val="0"/>
              <w:kinsoku/>
              <w:wordWrap w:val="0"/>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方案三</w:t>
            </w:r>
          </w:p>
        </w:tc>
      </w:tr>
      <w:tr w14:paraId="23C63964">
        <w:trPr>
          <w:trHeight w:val="546" w:hRule="atLeast"/>
          <w:jc w:val="center"/>
        </w:trPr>
        <w:tc>
          <w:tcPr>
            <w:tcW w:w="919" w:type="dxa"/>
            <w:gridSpan w:val="2"/>
            <w:vMerge w:val="continue"/>
            <w:shd w:val="clear" w:color="auto" w:fill="auto"/>
            <w:vAlign w:val="center"/>
          </w:tcPr>
          <w:p w14:paraId="3306ECCB">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p>
        </w:tc>
        <w:tc>
          <w:tcPr>
            <w:tcW w:w="1176" w:type="dxa"/>
            <w:shd w:val="clear" w:color="auto" w:fill="auto"/>
            <w:vAlign w:val="center"/>
          </w:tcPr>
          <w:p w14:paraId="7B9800D4">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中文名称</w:t>
            </w:r>
          </w:p>
        </w:tc>
        <w:tc>
          <w:tcPr>
            <w:tcW w:w="2282" w:type="dxa"/>
            <w:gridSpan w:val="4"/>
            <w:vAlign w:val="center"/>
          </w:tcPr>
          <w:p w14:paraId="1F502BFE">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c>
          <w:tcPr>
            <w:tcW w:w="2411" w:type="dxa"/>
            <w:gridSpan w:val="3"/>
            <w:vAlign w:val="center"/>
          </w:tcPr>
          <w:p w14:paraId="2A3B568F">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c>
          <w:tcPr>
            <w:tcW w:w="2673" w:type="dxa"/>
            <w:gridSpan w:val="2"/>
            <w:vAlign w:val="center"/>
          </w:tcPr>
          <w:p w14:paraId="0D9CF126">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r>
      <w:tr w14:paraId="67FF1D53">
        <w:trPr>
          <w:trHeight w:val="601" w:hRule="atLeast"/>
          <w:jc w:val="center"/>
        </w:trPr>
        <w:tc>
          <w:tcPr>
            <w:tcW w:w="919" w:type="dxa"/>
            <w:gridSpan w:val="2"/>
            <w:vMerge w:val="continue"/>
            <w:shd w:val="clear" w:color="auto" w:fill="auto"/>
            <w:vAlign w:val="center"/>
          </w:tcPr>
          <w:p w14:paraId="7A49A880">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p>
        </w:tc>
        <w:tc>
          <w:tcPr>
            <w:tcW w:w="1176" w:type="dxa"/>
            <w:shd w:val="clear" w:color="auto" w:fill="auto"/>
            <w:vAlign w:val="center"/>
          </w:tcPr>
          <w:p w14:paraId="18BF9B92">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英文名称</w:t>
            </w:r>
          </w:p>
        </w:tc>
        <w:tc>
          <w:tcPr>
            <w:tcW w:w="2282" w:type="dxa"/>
            <w:gridSpan w:val="4"/>
            <w:vAlign w:val="center"/>
          </w:tcPr>
          <w:p w14:paraId="0BCFA56A">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c>
          <w:tcPr>
            <w:tcW w:w="2411" w:type="dxa"/>
            <w:gridSpan w:val="3"/>
            <w:vAlign w:val="center"/>
          </w:tcPr>
          <w:p w14:paraId="44CF6141">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c>
          <w:tcPr>
            <w:tcW w:w="2673" w:type="dxa"/>
            <w:gridSpan w:val="2"/>
            <w:vAlign w:val="center"/>
          </w:tcPr>
          <w:p w14:paraId="529CE16A">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r>
      <w:tr w14:paraId="5CC6CEF5">
        <w:trPr>
          <w:trHeight w:val="506" w:hRule="atLeast"/>
          <w:jc w:val="center"/>
        </w:trPr>
        <w:tc>
          <w:tcPr>
            <w:tcW w:w="2095" w:type="dxa"/>
            <w:gridSpan w:val="3"/>
            <w:vAlign w:val="center"/>
          </w:tcPr>
          <w:p w14:paraId="12A30C93">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主机型号规格</w:t>
            </w:r>
          </w:p>
        </w:tc>
        <w:tc>
          <w:tcPr>
            <w:tcW w:w="2282" w:type="dxa"/>
            <w:gridSpan w:val="4"/>
            <w:vAlign w:val="center"/>
          </w:tcPr>
          <w:p w14:paraId="14D0228F">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c>
          <w:tcPr>
            <w:tcW w:w="2411" w:type="dxa"/>
            <w:gridSpan w:val="3"/>
            <w:vAlign w:val="center"/>
          </w:tcPr>
          <w:p w14:paraId="3F64B197">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c>
          <w:tcPr>
            <w:tcW w:w="2673" w:type="dxa"/>
            <w:gridSpan w:val="2"/>
            <w:vAlign w:val="center"/>
          </w:tcPr>
          <w:p w14:paraId="667A7301">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r>
      <w:tr w14:paraId="11CC9EF5">
        <w:trPr>
          <w:trHeight w:val="403" w:hRule="atLeast"/>
          <w:jc w:val="center"/>
        </w:trPr>
        <w:tc>
          <w:tcPr>
            <w:tcW w:w="2095" w:type="dxa"/>
            <w:gridSpan w:val="3"/>
            <w:vAlign w:val="center"/>
          </w:tcPr>
          <w:p w14:paraId="14B6957C">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主要附件及配置</w:t>
            </w:r>
          </w:p>
        </w:tc>
        <w:tc>
          <w:tcPr>
            <w:tcW w:w="2282" w:type="dxa"/>
            <w:gridSpan w:val="4"/>
            <w:vAlign w:val="center"/>
          </w:tcPr>
          <w:p w14:paraId="1E795DC3">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c>
          <w:tcPr>
            <w:tcW w:w="2411" w:type="dxa"/>
            <w:gridSpan w:val="3"/>
            <w:vAlign w:val="center"/>
          </w:tcPr>
          <w:p w14:paraId="5975DC8C">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c>
          <w:tcPr>
            <w:tcW w:w="2673" w:type="dxa"/>
            <w:gridSpan w:val="2"/>
            <w:vAlign w:val="center"/>
          </w:tcPr>
          <w:p w14:paraId="5FB25080">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r>
      <w:tr w14:paraId="72A62A9C">
        <w:trPr>
          <w:trHeight w:val="408" w:hRule="atLeast"/>
          <w:jc w:val="center"/>
        </w:trPr>
        <w:tc>
          <w:tcPr>
            <w:tcW w:w="2095" w:type="dxa"/>
            <w:gridSpan w:val="3"/>
            <w:vAlign w:val="center"/>
          </w:tcPr>
          <w:p w14:paraId="05938D33">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生产国别与地区</w:t>
            </w:r>
          </w:p>
        </w:tc>
        <w:tc>
          <w:tcPr>
            <w:tcW w:w="2282" w:type="dxa"/>
            <w:gridSpan w:val="4"/>
            <w:vAlign w:val="center"/>
          </w:tcPr>
          <w:p w14:paraId="3CD92862">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c>
          <w:tcPr>
            <w:tcW w:w="2411" w:type="dxa"/>
            <w:gridSpan w:val="3"/>
            <w:vAlign w:val="center"/>
          </w:tcPr>
          <w:p w14:paraId="4EFC01AB">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c>
          <w:tcPr>
            <w:tcW w:w="2673" w:type="dxa"/>
            <w:gridSpan w:val="2"/>
            <w:vAlign w:val="center"/>
          </w:tcPr>
          <w:p w14:paraId="4F92C032">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r>
      <w:tr w14:paraId="2FC3B54F">
        <w:trPr>
          <w:trHeight w:val="237" w:hRule="atLeast"/>
          <w:jc w:val="center"/>
        </w:trPr>
        <w:tc>
          <w:tcPr>
            <w:tcW w:w="2095" w:type="dxa"/>
            <w:gridSpan w:val="3"/>
            <w:vAlign w:val="center"/>
          </w:tcPr>
          <w:p w14:paraId="6B52E6C5">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制造商</w:t>
            </w:r>
          </w:p>
        </w:tc>
        <w:tc>
          <w:tcPr>
            <w:tcW w:w="2282" w:type="dxa"/>
            <w:gridSpan w:val="4"/>
            <w:vAlign w:val="center"/>
          </w:tcPr>
          <w:p w14:paraId="756A2DD9">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c>
          <w:tcPr>
            <w:tcW w:w="2411" w:type="dxa"/>
            <w:gridSpan w:val="3"/>
            <w:vAlign w:val="center"/>
          </w:tcPr>
          <w:p w14:paraId="1F306131">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c>
          <w:tcPr>
            <w:tcW w:w="2673" w:type="dxa"/>
            <w:gridSpan w:val="2"/>
            <w:vAlign w:val="center"/>
          </w:tcPr>
          <w:p w14:paraId="771D07AE">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r>
      <w:tr w14:paraId="76ECB63D">
        <w:trPr>
          <w:jc w:val="center"/>
        </w:trPr>
        <w:tc>
          <w:tcPr>
            <w:tcW w:w="2095" w:type="dxa"/>
            <w:gridSpan w:val="3"/>
            <w:vAlign w:val="center"/>
          </w:tcPr>
          <w:p w14:paraId="63F21C3E">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询价（</w:t>
            </w:r>
            <w:r>
              <w:rPr>
                <w:rFonts w:hint="eastAsia" w:ascii="仿宋_GB2312" w:hAnsi="仿宋_GB2312" w:cs="仿宋_GB2312"/>
                <w:sz w:val="21"/>
                <w:szCs w:val="21"/>
                <w:lang w:eastAsia="zh-CN"/>
              </w:rPr>
              <w:t>万元</w:t>
            </w:r>
            <w:r>
              <w:rPr>
                <w:rFonts w:hint="eastAsia" w:ascii="仿宋_GB2312" w:hAnsi="仿宋_GB2312" w:eastAsia="仿宋_GB2312" w:cs="仿宋_GB2312"/>
                <w:sz w:val="21"/>
                <w:szCs w:val="21"/>
              </w:rPr>
              <w:t>/台）</w:t>
            </w:r>
          </w:p>
          <w:p w14:paraId="7A5275EE">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含附件</w:t>
            </w:r>
          </w:p>
        </w:tc>
        <w:tc>
          <w:tcPr>
            <w:tcW w:w="2282" w:type="dxa"/>
            <w:gridSpan w:val="4"/>
            <w:vAlign w:val="center"/>
          </w:tcPr>
          <w:p w14:paraId="2D7E9294">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c>
          <w:tcPr>
            <w:tcW w:w="2411" w:type="dxa"/>
            <w:gridSpan w:val="3"/>
            <w:vAlign w:val="center"/>
          </w:tcPr>
          <w:p w14:paraId="482DBB68">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c>
          <w:tcPr>
            <w:tcW w:w="2673" w:type="dxa"/>
            <w:gridSpan w:val="2"/>
            <w:vAlign w:val="center"/>
          </w:tcPr>
          <w:p w14:paraId="28A6D7C5">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r>
      <w:tr w14:paraId="54410404">
        <w:trPr>
          <w:trHeight w:val="1761" w:hRule="atLeast"/>
          <w:jc w:val="center"/>
        </w:trPr>
        <w:tc>
          <w:tcPr>
            <w:tcW w:w="9461" w:type="dxa"/>
            <w:gridSpan w:val="12"/>
          </w:tcPr>
          <w:p w14:paraId="4E1DCCDD">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购置（试制）理由：（所申请仪器设施在本项目中的必要性、紧迫性、工作内容</w:t>
            </w:r>
            <w:r>
              <w:rPr>
                <w:rFonts w:hint="eastAsia" w:ascii="仿宋_GB2312" w:hAnsi="仿宋_GB2312" w:cs="仿宋_GB2312"/>
                <w:sz w:val="21"/>
                <w:szCs w:val="21"/>
                <w:lang w:eastAsia="zh-CN"/>
              </w:rPr>
              <w:t>、</w:t>
            </w:r>
            <w:r>
              <w:rPr>
                <w:rFonts w:hint="eastAsia" w:ascii="仿宋_GB2312" w:hAnsi="仿宋_GB2312" w:eastAsia="仿宋_GB2312" w:cs="仿宋_GB2312"/>
                <w:sz w:val="21"/>
                <w:szCs w:val="21"/>
              </w:rPr>
              <w:t>主要用途、选型理由等）</w:t>
            </w:r>
          </w:p>
          <w:p w14:paraId="7124CB20">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p w14:paraId="49206210">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r>
      <w:tr w14:paraId="30174E2E">
        <w:trPr>
          <w:trHeight w:val="446" w:hRule="atLeast"/>
          <w:jc w:val="center"/>
        </w:trPr>
        <w:tc>
          <w:tcPr>
            <w:tcW w:w="2228" w:type="dxa"/>
            <w:gridSpan w:val="5"/>
            <w:vAlign w:val="center"/>
          </w:tcPr>
          <w:p w14:paraId="31965ACA">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购置（试制）目的</w:t>
            </w:r>
          </w:p>
          <w:p w14:paraId="00F39EC7">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（单选）</w:t>
            </w:r>
          </w:p>
        </w:tc>
        <w:tc>
          <w:tcPr>
            <w:tcW w:w="7233" w:type="dxa"/>
            <w:gridSpan w:val="7"/>
            <w:vAlign w:val="center"/>
          </w:tcPr>
          <w:p w14:paraId="75EA8E08">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  1-自用为主；  □ 2-对外服务为主</w:t>
            </w:r>
          </w:p>
        </w:tc>
      </w:tr>
      <w:tr w14:paraId="32541765">
        <w:trPr>
          <w:trHeight w:val="948" w:hRule="atLeast"/>
          <w:jc w:val="center"/>
        </w:trPr>
        <w:tc>
          <w:tcPr>
            <w:tcW w:w="2228" w:type="dxa"/>
            <w:gridSpan w:val="5"/>
            <w:vAlign w:val="center"/>
          </w:tcPr>
          <w:p w14:paraId="79D74EB7">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其他用途</w:t>
            </w:r>
          </w:p>
          <w:p w14:paraId="42758B5D">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（可多选）</w:t>
            </w:r>
          </w:p>
        </w:tc>
        <w:tc>
          <w:tcPr>
            <w:tcW w:w="7233" w:type="dxa"/>
            <w:gridSpan w:val="7"/>
            <w:vAlign w:val="center"/>
          </w:tcPr>
          <w:p w14:paraId="7B1DD49E">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u w:val="single"/>
              </w:rPr>
            </w:pPr>
            <w:r>
              <w:rPr>
                <w:rFonts w:hint="eastAsia" w:ascii="仿宋_GB2312" w:hAnsi="仿宋_GB2312" w:eastAsia="仿宋_GB2312" w:cs="仿宋_GB2312"/>
                <w:sz w:val="21"/>
                <w:szCs w:val="21"/>
              </w:rPr>
              <w:t xml:space="preserve">□ 01-科研；□ 02-教学；□ 03-行政执法技术保障；□ 04-公共技术服务；□ 05-生产控制； □ 06-其他 </w:t>
            </w:r>
          </w:p>
        </w:tc>
      </w:tr>
      <w:tr w14:paraId="295CAD19">
        <w:trPr>
          <w:trHeight w:val="1691" w:hRule="atLeast"/>
          <w:jc w:val="center"/>
        </w:trPr>
        <w:tc>
          <w:tcPr>
            <w:tcW w:w="2228" w:type="dxa"/>
            <w:gridSpan w:val="5"/>
            <w:vAlign w:val="center"/>
          </w:tcPr>
          <w:p w14:paraId="6D6991A4">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主要应用领域</w:t>
            </w:r>
          </w:p>
          <w:p w14:paraId="27E648A1">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（可多选）</w:t>
            </w:r>
          </w:p>
        </w:tc>
        <w:tc>
          <w:tcPr>
            <w:tcW w:w="7233" w:type="dxa"/>
            <w:gridSpan w:val="7"/>
          </w:tcPr>
          <w:p w14:paraId="476D5692">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□01-农/林/牧/渔业；□02-医疗/卫生；□03-矿业/冶金；□04-石油/化工；□05-材料/珠宝首饰；□06-机械；□07-电气工程；□08-电子/信息技术；□09-仪器/仪表；□10-建筑/道路；□11-交通/运输；□12-食品/药品；</w:t>
            </w:r>
          </w:p>
          <w:p w14:paraId="41C59CDB">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□13-娱乐/体育；□14-大气/海洋/土壤/环境；□15-天文；□16-考古；</w:t>
            </w:r>
          </w:p>
          <w:p w14:paraId="14F302AD">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□17-能源/核技术；□18-通信/广播/邮政；□19-轻工/纺织；</w:t>
            </w:r>
          </w:p>
          <w:p w14:paraId="7F7F4BFF">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u w:val="single"/>
              </w:rPr>
            </w:pPr>
            <w:r>
              <w:rPr>
                <w:rFonts w:hint="eastAsia" w:ascii="仿宋_GB2312" w:hAnsi="仿宋_GB2312" w:eastAsia="仿宋_GB2312" w:cs="仿宋_GB2312"/>
                <w:sz w:val="21"/>
                <w:szCs w:val="21"/>
              </w:rPr>
              <w:t>□20-水文气象；□21-其他</w:t>
            </w:r>
            <w:r>
              <w:rPr>
                <w:rFonts w:hint="eastAsia" w:ascii="仿宋_GB2312" w:hAnsi="仿宋_GB2312" w:eastAsia="仿宋_GB2312" w:cs="仿宋_GB2312"/>
                <w:sz w:val="21"/>
                <w:szCs w:val="21"/>
                <w:u w:val="single"/>
              </w:rPr>
              <w:t xml:space="preserve">                         </w:t>
            </w:r>
          </w:p>
        </w:tc>
      </w:tr>
      <w:tr w14:paraId="1D1B3345">
        <w:trPr>
          <w:trHeight w:val="483" w:hRule="atLeast"/>
          <w:jc w:val="center"/>
        </w:trPr>
        <w:tc>
          <w:tcPr>
            <w:tcW w:w="2228" w:type="dxa"/>
            <w:gridSpan w:val="5"/>
            <w:vAlign w:val="center"/>
          </w:tcPr>
          <w:p w14:paraId="2A7EFF77">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安装使用环境及条件</w:t>
            </w:r>
          </w:p>
        </w:tc>
        <w:tc>
          <w:tcPr>
            <w:tcW w:w="7233" w:type="dxa"/>
            <w:gridSpan w:val="7"/>
          </w:tcPr>
          <w:p w14:paraId="4773B669">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（包括放置地点、面积、水电气保障情况、配套设备需求、安全保护要求、环保影响及预防措施等）</w:t>
            </w:r>
          </w:p>
        </w:tc>
      </w:tr>
      <w:tr w14:paraId="108FB565">
        <w:trPr>
          <w:trHeight w:val="692" w:hRule="atLeast"/>
          <w:jc w:val="center"/>
        </w:trPr>
        <w:tc>
          <w:tcPr>
            <w:tcW w:w="2228" w:type="dxa"/>
            <w:gridSpan w:val="5"/>
            <w:vAlign w:val="center"/>
          </w:tcPr>
          <w:p w14:paraId="67FFD0A4">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预计年开机小时数</w:t>
            </w:r>
          </w:p>
        </w:tc>
        <w:tc>
          <w:tcPr>
            <w:tcW w:w="7233" w:type="dxa"/>
            <w:gridSpan w:val="7"/>
            <w:vAlign w:val="center"/>
          </w:tcPr>
          <w:p w14:paraId="0F5DFA58">
            <w:pPr>
              <w:keepNext w:val="0"/>
              <w:keepLines w:val="0"/>
              <w:pageBreakBefore w:val="0"/>
              <w:widowControl w:val="0"/>
              <w:kinsoku/>
              <w:wordWrap/>
              <w:overflowPunct/>
              <w:topLinePunct w:val="0"/>
              <w:autoSpaceDE/>
              <w:autoSpaceDN/>
              <w:bidi w:val="0"/>
              <w:adjustRightInd/>
              <w:snapToGrid w:val="0"/>
              <w:spacing w:beforeAutospacing="0" w:afterAutospacing="0" w:line="320" w:lineRule="exact"/>
              <w:ind w:left="0" w:leftChars="0" w:right="0" w:firstLine="2100" w:firstLineChars="1000"/>
              <w:textAlignment w:val="auto"/>
              <w:rPr>
                <w:rFonts w:hint="eastAsia" w:ascii="仿宋_GB2312" w:hAnsi="仿宋_GB2312" w:eastAsia="仿宋_GB2312" w:cs="仿宋_GB2312"/>
                <w:sz w:val="21"/>
                <w:szCs w:val="21"/>
              </w:rPr>
            </w:pPr>
            <w:r>
              <w:rPr>
                <w:rFonts w:hint="eastAsia" w:ascii="仿宋_GB2312" w:hAnsi="仿宋_GB2312" w:eastAsia="仿宋_GB2312" w:cs="仿宋_GB2312"/>
                <w:color w:val="0000FF"/>
                <w:sz w:val="21"/>
                <w:szCs w:val="21"/>
              </w:rPr>
              <w:t xml:space="preserve">      </w:t>
            </w:r>
            <w:r>
              <w:rPr>
                <w:rFonts w:hint="eastAsia" w:ascii="仿宋_GB2312" w:hAnsi="仿宋_GB2312" w:eastAsia="仿宋_GB2312" w:cs="仿宋_GB2312"/>
                <w:sz w:val="21"/>
                <w:szCs w:val="21"/>
              </w:rPr>
              <w:t>小时/年</w:t>
            </w:r>
          </w:p>
        </w:tc>
      </w:tr>
      <w:tr w14:paraId="78204A85">
        <w:trPr>
          <w:trHeight w:val="692" w:hRule="atLeast"/>
          <w:jc w:val="center"/>
        </w:trPr>
        <w:tc>
          <w:tcPr>
            <w:tcW w:w="2228" w:type="dxa"/>
            <w:gridSpan w:val="5"/>
            <w:vAlign w:val="center"/>
          </w:tcPr>
          <w:p w14:paraId="00B130A5">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预计项目年度</w:t>
            </w:r>
          </w:p>
          <w:p w14:paraId="23CAA802">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使用机时数</w:t>
            </w:r>
          </w:p>
        </w:tc>
        <w:tc>
          <w:tcPr>
            <w:tcW w:w="7233" w:type="dxa"/>
            <w:gridSpan w:val="7"/>
            <w:vAlign w:val="center"/>
          </w:tcPr>
          <w:p w14:paraId="6854B4BF">
            <w:pPr>
              <w:keepNext w:val="0"/>
              <w:keepLines w:val="0"/>
              <w:pageBreakBefore w:val="0"/>
              <w:widowControl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r>
              <w:rPr>
                <w:rFonts w:hint="eastAsia" w:ascii="仿宋_GB2312" w:hAnsi="仿宋_GB2312" w:eastAsia="仿宋_GB2312" w:cs="仿宋_GB2312"/>
                <w:color w:val="0000FF"/>
                <w:sz w:val="21"/>
                <w:szCs w:val="21"/>
              </w:rPr>
              <w:t xml:space="preserve">                          </w:t>
            </w:r>
            <w:r>
              <w:rPr>
                <w:rFonts w:hint="eastAsia" w:ascii="仿宋_GB2312" w:hAnsi="仿宋_GB2312" w:eastAsia="仿宋_GB2312" w:cs="仿宋_GB2312"/>
                <w:sz w:val="21"/>
                <w:szCs w:val="21"/>
              </w:rPr>
              <w:t>小时/年</w:t>
            </w:r>
          </w:p>
        </w:tc>
      </w:tr>
      <w:tr w14:paraId="1A7F8B31">
        <w:trPr>
          <w:trHeight w:val="1343" w:hRule="atLeast"/>
          <w:jc w:val="center"/>
        </w:trPr>
        <w:tc>
          <w:tcPr>
            <w:tcW w:w="2228" w:type="dxa"/>
            <w:gridSpan w:val="5"/>
            <w:vAlign w:val="center"/>
          </w:tcPr>
          <w:p w14:paraId="670505A9">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本仪器能否提供</w:t>
            </w:r>
          </w:p>
          <w:p w14:paraId="1039FFD4">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对外共享服务</w:t>
            </w:r>
          </w:p>
        </w:tc>
        <w:tc>
          <w:tcPr>
            <w:tcW w:w="7233" w:type="dxa"/>
            <w:gridSpan w:val="7"/>
            <w:vAlign w:val="center"/>
          </w:tcPr>
          <w:p w14:paraId="3AC819BC">
            <w:pPr>
              <w:keepNext w:val="0"/>
              <w:keepLines w:val="0"/>
              <w:pageBreakBefore w:val="0"/>
              <w:widowControl w:val="0"/>
              <w:numPr>
                <w:ilvl w:val="0"/>
                <w:numId w:val="34"/>
              </w:numPr>
              <w:tabs>
                <w:tab w:val="clear" w:pos="360"/>
              </w:tabs>
              <w:kinsoku/>
              <w:wordWrap/>
              <w:overflowPunct/>
              <w:topLinePunct w:val="0"/>
              <w:autoSpaceDE/>
              <w:autoSpaceDN/>
              <w:bidi w:val="0"/>
              <w:adjustRightInd/>
              <w:snapToGrid w:val="0"/>
              <w:spacing w:beforeAutospacing="0" w:afterAutospacing="0" w:line="320" w:lineRule="exact"/>
              <w:ind w:left="0" w:leftChars="0" w:right="0" w:hanging="360" w:firstLineChars="0"/>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 1-是；□ 2-否</w:t>
            </w:r>
          </w:p>
          <w:p w14:paraId="591A373C">
            <w:pPr>
              <w:keepNext w:val="0"/>
              <w:keepLines w:val="0"/>
              <w:pageBreakBefore w:val="0"/>
              <w:widowControl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（如选“否”，请说明理由）</w:t>
            </w:r>
          </w:p>
          <w:p w14:paraId="4F5F23EE">
            <w:pPr>
              <w:keepNext w:val="0"/>
              <w:keepLines w:val="0"/>
              <w:pageBreakBefore w:val="0"/>
              <w:widowControl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理由：</w:t>
            </w:r>
          </w:p>
          <w:p w14:paraId="42E4E199">
            <w:pPr>
              <w:keepNext w:val="0"/>
              <w:keepLines w:val="0"/>
              <w:pageBreakBefore w:val="0"/>
              <w:widowControl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p w14:paraId="71748E25">
            <w:pPr>
              <w:keepNext w:val="0"/>
              <w:keepLines w:val="0"/>
              <w:pageBreakBefore w:val="0"/>
              <w:widowControl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r>
      <w:tr w14:paraId="26761C93">
        <w:trPr>
          <w:jc w:val="center"/>
        </w:trPr>
        <w:tc>
          <w:tcPr>
            <w:tcW w:w="2228" w:type="dxa"/>
            <w:gridSpan w:val="5"/>
            <w:tcBorders>
              <w:bottom w:val="single" w:color="auto" w:sz="4" w:space="0"/>
            </w:tcBorders>
            <w:vAlign w:val="center"/>
          </w:tcPr>
          <w:p w14:paraId="3B904BF5">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预计每年可供对外</w:t>
            </w:r>
          </w:p>
          <w:p w14:paraId="5918D7C8">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共享服务时间</w:t>
            </w:r>
          </w:p>
        </w:tc>
        <w:tc>
          <w:tcPr>
            <w:tcW w:w="7233" w:type="dxa"/>
            <w:gridSpan w:val="7"/>
            <w:tcBorders>
              <w:bottom w:val="single" w:color="auto" w:sz="4" w:space="0"/>
            </w:tcBorders>
            <w:vAlign w:val="center"/>
          </w:tcPr>
          <w:p w14:paraId="40C8DE94">
            <w:pPr>
              <w:keepNext w:val="0"/>
              <w:keepLines w:val="0"/>
              <w:pageBreakBefore w:val="0"/>
              <w:widowControl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r>
              <w:rPr>
                <w:rFonts w:hint="eastAsia" w:ascii="仿宋_GB2312" w:hAnsi="仿宋_GB2312" w:eastAsia="仿宋_GB2312" w:cs="仿宋_GB2312"/>
                <w:color w:val="0000FF"/>
                <w:sz w:val="21"/>
                <w:szCs w:val="21"/>
              </w:rPr>
              <w:t xml:space="preserve">                          </w:t>
            </w:r>
            <w:r>
              <w:rPr>
                <w:rFonts w:hint="eastAsia" w:ascii="仿宋_GB2312" w:hAnsi="仿宋_GB2312" w:eastAsia="仿宋_GB2312" w:cs="仿宋_GB2312"/>
                <w:sz w:val="21"/>
                <w:szCs w:val="21"/>
              </w:rPr>
              <w:t>小时/年</w:t>
            </w:r>
          </w:p>
        </w:tc>
      </w:tr>
      <w:tr w14:paraId="7D7B847B">
        <w:trPr>
          <w:trHeight w:val="511" w:hRule="atLeast"/>
          <w:jc w:val="center"/>
        </w:trPr>
        <w:tc>
          <w:tcPr>
            <w:tcW w:w="9461" w:type="dxa"/>
            <w:gridSpan w:val="12"/>
            <w:tcBorders>
              <w:bottom w:val="single" w:color="auto" w:sz="4" w:space="0"/>
            </w:tcBorders>
            <w:vAlign w:val="center"/>
          </w:tcPr>
          <w:p w14:paraId="7F63A09D">
            <w:pPr>
              <w:keepNext w:val="0"/>
              <w:keepLines w:val="0"/>
              <w:pageBreakBefore w:val="0"/>
              <w:widowControl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共享服务方案</w:t>
            </w:r>
          </w:p>
        </w:tc>
      </w:tr>
      <w:tr w14:paraId="2C2B417C">
        <w:trPr>
          <w:trHeight w:val="444" w:hRule="atLeast"/>
          <w:jc w:val="center"/>
        </w:trPr>
        <w:tc>
          <w:tcPr>
            <w:tcW w:w="2158" w:type="dxa"/>
            <w:gridSpan w:val="4"/>
            <w:tcBorders>
              <w:bottom w:val="single" w:color="auto" w:sz="4" w:space="0"/>
            </w:tcBorders>
            <w:vAlign w:val="center"/>
          </w:tcPr>
          <w:p w14:paraId="13668131">
            <w:pPr>
              <w:keepNext w:val="0"/>
              <w:keepLines w:val="0"/>
              <w:pageBreakBefore w:val="0"/>
              <w:widowControl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服务部门</w:t>
            </w:r>
          </w:p>
        </w:tc>
        <w:tc>
          <w:tcPr>
            <w:tcW w:w="3086" w:type="dxa"/>
            <w:gridSpan w:val="4"/>
            <w:tcBorders>
              <w:bottom w:val="single" w:color="auto" w:sz="4" w:space="0"/>
            </w:tcBorders>
            <w:vAlign w:val="center"/>
          </w:tcPr>
          <w:p w14:paraId="109A8FED">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p>
        </w:tc>
        <w:tc>
          <w:tcPr>
            <w:tcW w:w="2186" w:type="dxa"/>
            <w:gridSpan w:val="3"/>
            <w:tcBorders>
              <w:bottom w:val="single" w:color="auto" w:sz="4" w:space="0"/>
            </w:tcBorders>
            <w:vAlign w:val="center"/>
          </w:tcPr>
          <w:p w14:paraId="4B02713B">
            <w:pPr>
              <w:keepNext w:val="0"/>
              <w:keepLines w:val="0"/>
              <w:pageBreakBefore w:val="0"/>
              <w:widowControl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服务联系人</w:t>
            </w:r>
          </w:p>
        </w:tc>
        <w:tc>
          <w:tcPr>
            <w:tcW w:w="2031" w:type="dxa"/>
            <w:tcBorders>
              <w:bottom w:val="single" w:color="auto" w:sz="4" w:space="0"/>
            </w:tcBorders>
            <w:vAlign w:val="center"/>
          </w:tcPr>
          <w:p w14:paraId="4ECFA147">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p>
        </w:tc>
      </w:tr>
      <w:tr w14:paraId="7164FDAF">
        <w:trPr>
          <w:trHeight w:val="421" w:hRule="atLeast"/>
          <w:jc w:val="center"/>
        </w:trPr>
        <w:tc>
          <w:tcPr>
            <w:tcW w:w="2158" w:type="dxa"/>
            <w:gridSpan w:val="4"/>
            <w:tcBorders>
              <w:bottom w:val="single" w:color="auto" w:sz="4" w:space="0"/>
            </w:tcBorders>
            <w:vAlign w:val="center"/>
          </w:tcPr>
          <w:p w14:paraId="4BCEA507">
            <w:pPr>
              <w:keepNext w:val="0"/>
              <w:keepLines w:val="0"/>
              <w:pageBreakBefore w:val="0"/>
              <w:widowControl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联系电话</w:t>
            </w:r>
          </w:p>
        </w:tc>
        <w:tc>
          <w:tcPr>
            <w:tcW w:w="3086" w:type="dxa"/>
            <w:gridSpan w:val="4"/>
            <w:tcBorders>
              <w:bottom w:val="single" w:color="auto" w:sz="4" w:space="0"/>
            </w:tcBorders>
            <w:vAlign w:val="center"/>
          </w:tcPr>
          <w:p w14:paraId="0EF3CF95">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p>
        </w:tc>
        <w:tc>
          <w:tcPr>
            <w:tcW w:w="2186" w:type="dxa"/>
            <w:gridSpan w:val="3"/>
            <w:tcBorders>
              <w:bottom w:val="single" w:color="auto" w:sz="4" w:space="0"/>
            </w:tcBorders>
            <w:vAlign w:val="center"/>
          </w:tcPr>
          <w:p w14:paraId="5DA56AAB">
            <w:pPr>
              <w:keepNext w:val="0"/>
              <w:keepLines w:val="0"/>
              <w:pageBreakBefore w:val="0"/>
              <w:widowControl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服务接待时间</w:t>
            </w:r>
          </w:p>
        </w:tc>
        <w:tc>
          <w:tcPr>
            <w:tcW w:w="2031" w:type="dxa"/>
            <w:tcBorders>
              <w:bottom w:val="single" w:color="auto" w:sz="4" w:space="0"/>
            </w:tcBorders>
            <w:vAlign w:val="center"/>
          </w:tcPr>
          <w:p w14:paraId="59B19D6D">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p>
        </w:tc>
      </w:tr>
      <w:tr w14:paraId="6A3F73F8">
        <w:trPr>
          <w:trHeight w:val="567" w:hRule="atLeast"/>
          <w:jc w:val="center"/>
        </w:trPr>
        <w:tc>
          <w:tcPr>
            <w:tcW w:w="2158" w:type="dxa"/>
            <w:gridSpan w:val="4"/>
            <w:tcBorders>
              <w:bottom w:val="single" w:color="auto" w:sz="4" w:space="0"/>
            </w:tcBorders>
            <w:vAlign w:val="center"/>
          </w:tcPr>
          <w:p w14:paraId="29C08D67">
            <w:pPr>
              <w:keepNext w:val="0"/>
              <w:keepLines w:val="0"/>
              <w:pageBreakBefore w:val="0"/>
              <w:widowControl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服务形式</w:t>
            </w:r>
          </w:p>
        </w:tc>
        <w:tc>
          <w:tcPr>
            <w:tcW w:w="7303" w:type="dxa"/>
            <w:gridSpan w:val="8"/>
            <w:tcBorders>
              <w:bottom w:val="single" w:color="auto" w:sz="4" w:space="0"/>
            </w:tcBorders>
            <w:vAlign w:val="center"/>
          </w:tcPr>
          <w:p w14:paraId="0DBC5976">
            <w:pPr>
              <w:keepNext w:val="0"/>
              <w:keepLines w:val="0"/>
              <w:pageBreakBefore w:val="0"/>
              <w:widowControl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 xml:space="preserve">□直接租用仪器    □用户委托技术服务 </w:t>
            </w:r>
          </w:p>
        </w:tc>
      </w:tr>
      <w:tr w14:paraId="47D1C484">
        <w:trPr>
          <w:trHeight w:val="133" w:hRule="atLeast"/>
          <w:jc w:val="center"/>
        </w:trPr>
        <w:tc>
          <w:tcPr>
            <w:tcW w:w="9461" w:type="dxa"/>
            <w:gridSpan w:val="12"/>
          </w:tcPr>
          <w:p w14:paraId="3B954F7E">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项目承担单位现有同类仪器设施基本情况和使用状况</w:t>
            </w:r>
          </w:p>
        </w:tc>
      </w:tr>
      <w:tr w14:paraId="4FA5EDB7">
        <w:trPr>
          <w:trHeight w:val="1019" w:hRule="exact"/>
          <w:jc w:val="center"/>
        </w:trPr>
        <w:tc>
          <w:tcPr>
            <w:tcW w:w="738" w:type="dxa"/>
            <w:shd w:val="clear" w:color="auto" w:fill="auto"/>
            <w:vAlign w:val="center"/>
          </w:tcPr>
          <w:p w14:paraId="0080CEDE">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序号</w:t>
            </w:r>
          </w:p>
        </w:tc>
        <w:tc>
          <w:tcPr>
            <w:tcW w:w="1880" w:type="dxa"/>
            <w:gridSpan w:val="5"/>
            <w:shd w:val="clear" w:color="auto" w:fill="auto"/>
            <w:vAlign w:val="center"/>
          </w:tcPr>
          <w:p w14:paraId="49E94F75">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名称</w:t>
            </w:r>
          </w:p>
        </w:tc>
        <w:tc>
          <w:tcPr>
            <w:tcW w:w="1759" w:type="dxa"/>
            <w:shd w:val="clear" w:color="auto" w:fill="auto"/>
            <w:vAlign w:val="center"/>
          </w:tcPr>
          <w:p w14:paraId="6AD99E21">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型号规格</w:t>
            </w:r>
          </w:p>
        </w:tc>
        <w:tc>
          <w:tcPr>
            <w:tcW w:w="1135" w:type="dxa"/>
            <w:gridSpan w:val="2"/>
            <w:shd w:val="clear" w:color="auto" w:fill="auto"/>
            <w:vAlign w:val="center"/>
          </w:tcPr>
          <w:p w14:paraId="5713F916">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价值</w:t>
            </w:r>
          </w:p>
          <w:p w14:paraId="0C1F75AF">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w:t>
            </w:r>
            <w:r>
              <w:rPr>
                <w:rFonts w:hint="eastAsia" w:ascii="仿宋_GB2312" w:hAnsi="仿宋_GB2312" w:cs="仿宋_GB2312"/>
                <w:sz w:val="21"/>
                <w:szCs w:val="21"/>
                <w:lang w:eastAsia="zh-CN"/>
              </w:rPr>
              <w:t>万元</w:t>
            </w:r>
            <w:r>
              <w:rPr>
                <w:rFonts w:hint="eastAsia" w:ascii="仿宋_GB2312" w:hAnsi="仿宋_GB2312" w:eastAsia="仿宋_GB2312" w:cs="仿宋_GB2312"/>
                <w:sz w:val="21"/>
                <w:szCs w:val="21"/>
              </w:rPr>
              <w:t>）</w:t>
            </w:r>
          </w:p>
        </w:tc>
        <w:tc>
          <w:tcPr>
            <w:tcW w:w="1918" w:type="dxa"/>
            <w:gridSpan w:val="2"/>
            <w:shd w:val="clear" w:color="auto" w:fill="auto"/>
            <w:vAlign w:val="center"/>
          </w:tcPr>
          <w:p w14:paraId="78A9974B">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年开机时数</w:t>
            </w:r>
          </w:p>
          <w:p w14:paraId="0A84090E">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（小时/年）</w:t>
            </w:r>
          </w:p>
        </w:tc>
        <w:tc>
          <w:tcPr>
            <w:tcW w:w="2031" w:type="dxa"/>
            <w:vAlign w:val="center"/>
          </w:tcPr>
          <w:p w14:paraId="3779B095">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是否共享</w:t>
            </w:r>
          </w:p>
        </w:tc>
      </w:tr>
      <w:tr w14:paraId="428CED22">
        <w:trPr>
          <w:trHeight w:val="454" w:hRule="exact"/>
          <w:jc w:val="center"/>
        </w:trPr>
        <w:tc>
          <w:tcPr>
            <w:tcW w:w="738" w:type="dxa"/>
            <w:shd w:val="clear" w:color="auto" w:fill="auto"/>
          </w:tcPr>
          <w:p w14:paraId="1E70A80E">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c>
          <w:tcPr>
            <w:tcW w:w="1880" w:type="dxa"/>
            <w:gridSpan w:val="5"/>
            <w:shd w:val="clear" w:color="auto" w:fill="auto"/>
          </w:tcPr>
          <w:p w14:paraId="30023AA2">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c>
          <w:tcPr>
            <w:tcW w:w="1759" w:type="dxa"/>
            <w:shd w:val="clear" w:color="auto" w:fill="auto"/>
          </w:tcPr>
          <w:p w14:paraId="140078DF">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c>
          <w:tcPr>
            <w:tcW w:w="1135" w:type="dxa"/>
            <w:gridSpan w:val="2"/>
            <w:shd w:val="clear" w:color="auto" w:fill="auto"/>
          </w:tcPr>
          <w:p w14:paraId="48D4F299">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c>
          <w:tcPr>
            <w:tcW w:w="1918" w:type="dxa"/>
            <w:gridSpan w:val="2"/>
            <w:shd w:val="clear" w:color="auto" w:fill="auto"/>
          </w:tcPr>
          <w:p w14:paraId="3C305457">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c>
          <w:tcPr>
            <w:tcW w:w="2031" w:type="dxa"/>
          </w:tcPr>
          <w:p w14:paraId="5C7C0825">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r>
    </w:tbl>
    <w:p w14:paraId="6D5030AC">
      <w:pPr>
        <w:keepNext w:val="0"/>
        <w:keepLines w:val="0"/>
        <w:pageBreakBefore w:val="0"/>
        <w:widowControl w:val="0"/>
        <w:kinsoku/>
        <w:wordWrap/>
        <w:overflowPunct/>
        <w:topLinePunct w:val="0"/>
        <w:autoSpaceDE/>
        <w:autoSpaceDN/>
        <w:bidi w:val="0"/>
        <w:adjustRightInd/>
        <w:spacing w:line="320" w:lineRule="exact"/>
        <w:ind w:left="0" w:firstLine="0" w:firstLineChars="0"/>
        <w:textAlignment w:val="auto"/>
        <w:rPr>
          <w:rFonts w:hint="eastAsia" w:ascii="仿宋_GB2312" w:hAnsi="仿宋_GB2312" w:eastAsia="仿宋_GB2312" w:cs="仿宋_GB2312"/>
        </w:rPr>
      </w:pPr>
    </w:p>
    <w:p w14:paraId="27F128EE">
      <w:pPr>
        <w:pageBreakBefore w:val="0"/>
        <w:kinsoku/>
        <w:wordWrap/>
        <w:overflowPunct/>
        <w:topLinePunct w:val="0"/>
        <w:autoSpaceDE w:val="0"/>
        <w:autoSpaceDN w:val="0"/>
        <w:bidi w:val="0"/>
        <w:adjustRightInd/>
        <w:spacing w:line="560" w:lineRule="exact"/>
        <w:ind w:left="0" w:firstLine="0" w:firstLineChars="0"/>
        <w:textAlignment w:val="auto"/>
        <w:rPr>
          <w:rFonts w:ascii="宋体" w:hAnsi="宋体" w:cs="Times New Roman"/>
          <w:sz w:val="18"/>
          <w:szCs w:val="18"/>
        </w:rPr>
      </w:pPr>
      <w:r>
        <w:rPr>
          <w:rFonts w:ascii="宋体" w:hAnsi="宋体" w:cs="Times New Roman"/>
          <w:sz w:val="18"/>
          <w:szCs w:val="18"/>
        </w:rPr>
        <w:br w:type="page"/>
      </w:r>
    </w:p>
    <w:p w14:paraId="7C7CB8D9">
      <w:pPr>
        <w:pageBreakBefore w:val="0"/>
        <w:tabs>
          <w:tab w:val="center" w:pos="7078"/>
          <w:tab w:val="left" w:pos="9520"/>
        </w:tabs>
        <w:kinsoku/>
        <w:overflowPunct/>
        <w:topLinePunct w:val="0"/>
        <w:bidi w:val="0"/>
        <w:adjustRightInd/>
        <w:spacing w:beforeAutospacing="0" w:afterAutospacing="0" w:line="560" w:lineRule="exact"/>
        <w:ind w:left="0" w:leftChars="0" w:right="0" w:firstLine="0" w:firstLineChars="0"/>
        <w:jc w:val="both"/>
        <w:textAlignment w:val="auto"/>
        <w:rPr>
          <w:rFonts w:hint="eastAsia"/>
        </w:rPr>
        <w:sectPr>
          <w:pgSz w:w="11906" w:h="16838"/>
          <w:pgMar w:top="1531" w:right="1361" w:bottom="1361" w:left="1361" w:header="284" w:footer="425" w:gutter="0"/>
          <w:pgNumType w:fmt="decimal"/>
          <w:cols w:space="425" w:num="1"/>
          <w:docGrid w:type="lines" w:linePitch="381" w:charSpace="0"/>
        </w:sectPr>
      </w:pPr>
    </w:p>
    <w:p w14:paraId="23BE9FF5">
      <w:pPr>
        <w:pageBreakBefore w:val="0"/>
        <w:widowControl w:val="0"/>
        <w:tabs>
          <w:tab w:val="center" w:pos="7078"/>
          <w:tab w:val="left" w:pos="9520"/>
        </w:tabs>
        <w:kinsoku/>
        <w:overflowPunct/>
        <w:topLinePunct w:val="0"/>
        <w:autoSpaceDE w:val="0"/>
        <w:autoSpaceDN w:val="0"/>
        <w:bidi w:val="0"/>
        <w:adjustRightInd/>
        <w:spacing w:beforeAutospacing="0" w:afterAutospacing="0" w:line="560" w:lineRule="exact"/>
        <w:ind w:left="0" w:leftChars="0" w:right="0" w:firstLine="0" w:firstLineChars="0"/>
        <w:jc w:val="both"/>
        <w:textAlignment w:val="auto"/>
        <w:rPr>
          <w:rFonts w:ascii="Times New Roman" w:hAnsi="Times New Roman" w:eastAsia="仿宋_GB2312" w:cs="Times New Roman"/>
          <w:kern w:val="2"/>
          <w:sz w:val="32"/>
          <w:szCs w:val="24"/>
          <w:lang w:val="en-US" w:eastAsia="zh-CN" w:bidi="ar-SA"/>
        </w:rPr>
      </w:pPr>
      <w:r>
        <w:rPr>
          <w:rFonts w:hint="eastAsia" w:ascii="黑体" w:hAnsi="黑体" w:eastAsia="黑体" w:cs="Times New Roman"/>
          <w:kern w:val="2"/>
          <w:sz w:val="32"/>
          <w:szCs w:val="24"/>
          <w:lang w:val="en-US" w:eastAsia="zh-CN" w:bidi="ar-SA"/>
        </w:rPr>
        <w:t xml:space="preserve">附表9 </w:t>
      </w:r>
      <w:r>
        <w:rPr>
          <w:rFonts w:ascii="黑体" w:hAnsi="黑体" w:eastAsia="黑体" w:cs="Times New Roman"/>
          <w:kern w:val="2"/>
          <w:sz w:val="32"/>
          <w:szCs w:val="24"/>
          <w:lang w:val="en-US" w:eastAsia="zh-CN" w:bidi="ar-SA"/>
        </w:rPr>
        <w:t>实验动物使用情况表</w:t>
      </w:r>
    </w:p>
    <w:p w14:paraId="5E78A911">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color w:val="2D00C7"/>
          <w:sz w:val="24"/>
          <w:szCs w:val="24"/>
        </w:rPr>
      </w:pPr>
      <w:r>
        <w:rPr>
          <w:rFonts w:hint="eastAsia" w:ascii="仿宋_GB2312" w:hAnsi="仿宋_GB2312" w:eastAsia="仿宋_GB2312" w:cs="仿宋_GB2312"/>
          <w:color w:val="2D00C7"/>
          <w:sz w:val="24"/>
          <w:szCs w:val="24"/>
        </w:rPr>
        <w:t>（申请市科委科研计划项目研究内容涉及实验动物时，必须填写本表）</w:t>
      </w:r>
    </w:p>
    <w:tbl>
      <w:tblPr>
        <w:tblStyle w:val="18"/>
        <w:tblW w:w="145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40"/>
        <w:gridCol w:w="954"/>
        <w:gridCol w:w="379"/>
        <w:gridCol w:w="472"/>
        <w:gridCol w:w="850"/>
        <w:gridCol w:w="585"/>
        <w:gridCol w:w="408"/>
        <w:gridCol w:w="1134"/>
        <w:gridCol w:w="258"/>
        <w:gridCol w:w="876"/>
        <w:gridCol w:w="850"/>
        <w:gridCol w:w="1276"/>
        <w:gridCol w:w="850"/>
        <w:gridCol w:w="2127"/>
        <w:gridCol w:w="1275"/>
        <w:gridCol w:w="426"/>
        <w:gridCol w:w="1300"/>
      </w:tblGrid>
      <w:tr w14:paraId="7D2D947D">
        <w:trPr>
          <w:jc w:val="center"/>
        </w:trPr>
        <w:tc>
          <w:tcPr>
            <w:tcW w:w="1873" w:type="dxa"/>
            <w:gridSpan w:val="3"/>
          </w:tcPr>
          <w:p w14:paraId="2373A2EE">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项目编号</w:t>
            </w:r>
          </w:p>
        </w:tc>
        <w:tc>
          <w:tcPr>
            <w:tcW w:w="1907" w:type="dxa"/>
            <w:gridSpan w:val="3"/>
          </w:tcPr>
          <w:p w14:paraId="0D6042BA">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800" w:type="dxa"/>
            <w:gridSpan w:val="3"/>
          </w:tcPr>
          <w:p w14:paraId="68ECEFDD">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项目名称</w:t>
            </w:r>
          </w:p>
        </w:tc>
        <w:tc>
          <w:tcPr>
            <w:tcW w:w="8980" w:type="dxa"/>
            <w:gridSpan w:val="8"/>
          </w:tcPr>
          <w:p w14:paraId="147A29D8">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r>
      <w:tr w14:paraId="0D6E8C69">
        <w:trPr>
          <w:jc w:val="center"/>
        </w:trPr>
        <w:tc>
          <w:tcPr>
            <w:tcW w:w="1873" w:type="dxa"/>
            <w:gridSpan w:val="3"/>
            <w:tcBorders>
              <w:bottom w:val="double" w:color="auto" w:sz="4" w:space="0"/>
            </w:tcBorders>
          </w:tcPr>
          <w:p w14:paraId="50122355">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承担单位</w:t>
            </w:r>
          </w:p>
        </w:tc>
        <w:tc>
          <w:tcPr>
            <w:tcW w:w="5433" w:type="dxa"/>
            <w:gridSpan w:val="8"/>
            <w:tcBorders>
              <w:bottom w:val="double" w:color="auto" w:sz="4" w:space="0"/>
            </w:tcBorders>
          </w:tcPr>
          <w:p w14:paraId="6C619E63">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276" w:type="dxa"/>
            <w:tcBorders>
              <w:bottom w:val="double" w:color="auto" w:sz="4" w:space="0"/>
            </w:tcBorders>
          </w:tcPr>
          <w:p w14:paraId="7497D6E3">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责任人</w:t>
            </w:r>
          </w:p>
        </w:tc>
        <w:tc>
          <w:tcPr>
            <w:tcW w:w="2977" w:type="dxa"/>
            <w:gridSpan w:val="2"/>
            <w:tcBorders>
              <w:bottom w:val="double" w:color="auto" w:sz="4" w:space="0"/>
            </w:tcBorders>
          </w:tcPr>
          <w:p w14:paraId="70C5381A">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275" w:type="dxa"/>
            <w:tcBorders>
              <w:bottom w:val="double" w:color="auto" w:sz="4" w:space="0"/>
            </w:tcBorders>
          </w:tcPr>
          <w:p w14:paraId="340B3A3F">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手机号码</w:t>
            </w:r>
          </w:p>
        </w:tc>
        <w:tc>
          <w:tcPr>
            <w:tcW w:w="1726" w:type="dxa"/>
            <w:gridSpan w:val="2"/>
            <w:tcBorders>
              <w:bottom w:val="double" w:color="auto" w:sz="4" w:space="0"/>
            </w:tcBorders>
          </w:tcPr>
          <w:p w14:paraId="50C0FA55">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r>
      <w:tr w14:paraId="1D211F2C">
        <w:trPr>
          <w:jc w:val="center"/>
        </w:trPr>
        <w:tc>
          <w:tcPr>
            <w:tcW w:w="7306" w:type="dxa"/>
            <w:gridSpan w:val="11"/>
            <w:tcBorders>
              <w:top w:val="double" w:color="auto" w:sz="4" w:space="0"/>
            </w:tcBorders>
          </w:tcPr>
          <w:p w14:paraId="00753810">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实验动物情况</w:t>
            </w:r>
          </w:p>
        </w:tc>
        <w:tc>
          <w:tcPr>
            <w:tcW w:w="4253" w:type="dxa"/>
            <w:gridSpan w:val="3"/>
            <w:tcBorders>
              <w:top w:val="double" w:color="auto" w:sz="4" w:space="0"/>
            </w:tcBorders>
          </w:tcPr>
          <w:p w14:paraId="65AAAF27">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使用地点情况</w:t>
            </w:r>
          </w:p>
        </w:tc>
        <w:tc>
          <w:tcPr>
            <w:tcW w:w="3001" w:type="dxa"/>
            <w:gridSpan w:val="3"/>
            <w:tcBorders>
              <w:top w:val="double" w:color="auto" w:sz="4" w:space="0"/>
            </w:tcBorders>
          </w:tcPr>
          <w:p w14:paraId="43EFE1B7">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动物来源情况</w:t>
            </w:r>
          </w:p>
        </w:tc>
      </w:tr>
      <w:tr w14:paraId="60A6E597">
        <w:trPr>
          <w:trHeight w:val="321" w:hRule="atLeast"/>
          <w:jc w:val="center"/>
        </w:trPr>
        <w:tc>
          <w:tcPr>
            <w:tcW w:w="540" w:type="dxa"/>
            <w:vMerge w:val="restart"/>
          </w:tcPr>
          <w:p w14:paraId="69092958">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分类</w:t>
            </w:r>
          </w:p>
        </w:tc>
        <w:tc>
          <w:tcPr>
            <w:tcW w:w="954" w:type="dxa"/>
            <w:vMerge w:val="restart"/>
            <w:vAlign w:val="center"/>
          </w:tcPr>
          <w:p w14:paraId="19973200">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序号</w:t>
            </w:r>
          </w:p>
        </w:tc>
        <w:tc>
          <w:tcPr>
            <w:tcW w:w="851" w:type="dxa"/>
            <w:gridSpan w:val="2"/>
            <w:vMerge w:val="restart"/>
            <w:vAlign w:val="center"/>
          </w:tcPr>
          <w:p w14:paraId="08007B1B">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种类</w:t>
            </w:r>
          </w:p>
        </w:tc>
        <w:tc>
          <w:tcPr>
            <w:tcW w:w="4111" w:type="dxa"/>
            <w:gridSpan w:val="6"/>
          </w:tcPr>
          <w:p w14:paraId="0A9A01FA">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级别</w:t>
            </w:r>
          </w:p>
        </w:tc>
        <w:tc>
          <w:tcPr>
            <w:tcW w:w="850" w:type="dxa"/>
            <w:vMerge w:val="restart"/>
            <w:vAlign w:val="center"/>
          </w:tcPr>
          <w:p w14:paraId="0486E816">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用途</w:t>
            </w:r>
          </w:p>
        </w:tc>
        <w:tc>
          <w:tcPr>
            <w:tcW w:w="2126" w:type="dxa"/>
            <w:gridSpan w:val="2"/>
            <w:vMerge w:val="restart"/>
            <w:vAlign w:val="center"/>
          </w:tcPr>
          <w:p w14:paraId="29FF98F2">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本项目动物实验地点</w:t>
            </w:r>
          </w:p>
        </w:tc>
        <w:tc>
          <w:tcPr>
            <w:tcW w:w="2127" w:type="dxa"/>
            <w:vMerge w:val="restart"/>
            <w:vAlign w:val="center"/>
          </w:tcPr>
          <w:p w14:paraId="09C845FB">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该地点使用许可证号</w:t>
            </w:r>
          </w:p>
        </w:tc>
        <w:tc>
          <w:tcPr>
            <w:tcW w:w="1701" w:type="dxa"/>
            <w:gridSpan w:val="2"/>
            <w:vMerge w:val="restart"/>
            <w:vAlign w:val="center"/>
          </w:tcPr>
          <w:p w14:paraId="536B5D0B">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该动物生产单位</w:t>
            </w:r>
          </w:p>
        </w:tc>
        <w:tc>
          <w:tcPr>
            <w:tcW w:w="1300" w:type="dxa"/>
            <w:vMerge w:val="restart"/>
            <w:vAlign w:val="center"/>
          </w:tcPr>
          <w:p w14:paraId="4C8D6F71">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该动物生产许可证号</w:t>
            </w:r>
          </w:p>
        </w:tc>
      </w:tr>
      <w:tr w14:paraId="2F3B8634">
        <w:trPr>
          <w:trHeight w:val="185" w:hRule="atLeast"/>
          <w:jc w:val="center"/>
        </w:trPr>
        <w:tc>
          <w:tcPr>
            <w:tcW w:w="540" w:type="dxa"/>
            <w:vMerge w:val="continue"/>
          </w:tcPr>
          <w:p w14:paraId="6853A823">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954" w:type="dxa"/>
            <w:vMerge w:val="continue"/>
          </w:tcPr>
          <w:p w14:paraId="21B62B15">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851" w:type="dxa"/>
            <w:gridSpan w:val="2"/>
            <w:vMerge w:val="continue"/>
          </w:tcPr>
          <w:p w14:paraId="0B947D4E">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850" w:type="dxa"/>
          </w:tcPr>
          <w:p w14:paraId="685E3B4F">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普通级</w:t>
            </w:r>
          </w:p>
        </w:tc>
        <w:tc>
          <w:tcPr>
            <w:tcW w:w="993" w:type="dxa"/>
            <w:gridSpan w:val="2"/>
          </w:tcPr>
          <w:p w14:paraId="116B58F4">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清洁级</w:t>
            </w:r>
          </w:p>
        </w:tc>
        <w:tc>
          <w:tcPr>
            <w:tcW w:w="1134" w:type="dxa"/>
          </w:tcPr>
          <w:p w14:paraId="2105BDA0">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SPF级</w:t>
            </w:r>
          </w:p>
        </w:tc>
        <w:tc>
          <w:tcPr>
            <w:tcW w:w="1134" w:type="dxa"/>
            <w:gridSpan w:val="2"/>
          </w:tcPr>
          <w:p w14:paraId="759F5E04">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无菌级</w:t>
            </w:r>
          </w:p>
        </w:tc>
        <w:tc>
          <w:tcPr>
            <w:tcW w:w="850" w:type="dxa"/>
            <w:vMerge w:val="continue"/>
          </w:tcPr>
          <w:p w14:paraId="4587C3EB">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6" w:type="dxa"/>
            <w:gridSpan w:val="2"/>
            <w:vMerge w:val="continue"/>
          </w:tcPr>
          <w:p w14:paraId="46A5A016">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7" w:type="dxa"/>
            <w:vMerge w:val="continue"/>
          </w:tcPr>
          <w:p w14:paraId="59048A82">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701" w:type="dxa"/>
            <w:gridSpan w:val="2"/>
            <w:vMerge w:val="continue"/>
          </w:tcPr>
          <w:p w14:paraId="6DFB3FCD">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300" w:type="dxa"/>
            <w:vMerge w:val="continue"/>
          </w:tcPr>
          <w:p w14:paraId="4EEA0A83">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r>
      <w:tr w14:paraId="5B0B742D">
        <w:trPr>
          <w:jc w:val="center"/>
        </w:trPr>
        <w:tc>
          <w:tcPr>
            <w:tcW w:w="540" w:type="dxa"/>
            <w:vMerge w:val="restart"/>
          </w:tcPr>
          <w:p w14:paraId="50726088">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r>
              <w:rPr>
                <w:rFonts w:hint="eastAsia" w:ascii="仿宋_GB2312" w:hAnsi="仿宋_GB2312" w:eastAsia="仿宋_GB2312" w:cs="仿宋_GB2312"/>
                <w:bCs/>
                <w:sz w:val="24"/>
                <w:szCs w:val="24"/>
              </w:rPr>
              <w:t>标准实验用动物</w:t>
            </w:r>
          </w:p>
        </w:tc>
        <w:tc>
          <w:tcPr>
            <w:tcW w:w="954" w:type="dxa"/>
          </w:tcPr>
          <w:p w14:paraId="434064F5">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1</w:t>
            </w:r>
          </w:p>
        </w:tc>
        <w:tc>
          <w:tcPr>
            <w:tcW w:w="851" w:type="dxa"/>
            <w:gridSpan w:val="2"/>
          </w:tcPr>
          <w:p w14:paraId="7307259D">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kern w:val="2"/>
                <w:sz w:val="24"/>
                <w:szCs w:val="24"/>
                <w:lang w:val="en-US" w:eastAsia="zh-CN" w:bidi="ar-SA"/>
              </w:rPr>
              <w:t>小 鼠</w:t>
            </w:r>
          </w:p>
        </w:tc>
        <w:tc>
          <w:tcPr>
            <w:tcW w:w="850" w:type="dxa"/>
          </w:tcPr>
          <w:p w14:paraId="4DF1DFB9">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993" w:type="dxa"/>
            <w:gridSpan w:val="2"/>
          </w:tcPr>
          <w:p w14:paraId="426B4FFE">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1134" w:type="dxa"/>
          </w:tcPr>
          <w:p w14:paraId="7592F0AB">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1134" w:type="dxa"/>
            <w:gridSpan w:val="2"/>
          </w:tcPr>
          <w:p w14:paraId="354CD6EC">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850" w:type="dxa"/>
          </w:tcPr>
          <w:p w14:paraId="6CA23BDF">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6" w:type="dxa"/>
            <w:gridSpan w:val="2"/>
          </w:tcPr>
          <w:p w14:paraId="5FB43BB2">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7" w:type="dxa"/>
          </w:tcPr>
          <w:p w14:paraId="0C8326F4">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701" w:type="dxa"/>
            <w:gridSpan w:val="2"/>
          </w:tcPr>
          <w:p w14:paraId="66CC2C79">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300" w:type="dxa"/>
          </w:tcPr>
          <w:p w14:paraId="1F7BA370">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r>
      <w:tr w14:paraId="27540191">
        <w:trPr>
          <w:jc w:val="center"/>
        </w:trPr>
        <w:tc>
          <w:tcPr>
            <w:tcW w:w="540" w:type="dxa"/>
            <w:vMerge w:val="continue"/>
          </w:tcPr>
          <w:p w14:paraId="77DC9626">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954" w:type="dxa"/>
          </w:tcPr>
          <w:p w14:paraId="54488667">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2</w:t>
            </w:r>
          </w:p>
        </w:tc>
        <w:tc>
          <w:tcPr>
            <w:tcW w:w="851" w:type="dxa"/>
            <w:gridSpan w:val="2"/>
          </w:tcPr>
          <w:p w14:paraId="69597860">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kern w:val="2"/>
                <w:sz w:val="24"/>
                <w:szCs w:val="24"/>
                <w:lang w:val="en-US" w:eastAsia="zh-CN" w:bidi="ar-SA"/>
              </w:rPr>
              <w:t>大 鼠</w:t>
            </w:r>
          </w:p>
        </w:tc>
        <w:tc>
          <w:tcPr>
            <w:tcW w:w="850" w:type="dxa"/>
          </w:tcPr>
          <w:p w14:paraId="26ED7AED">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993" w:type="dxa"/>
            <w:gridSpan w:val="2"/>
          </w:tcPr>
          <w:p w14:paraId="7341D4EB">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1134" w:type="dxa"/>
          </w:tcPr>
          <w:p w14:paraId="6A2399C5">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1134" w:type="dxa"/>
            <w:gridSpan w:val="2"/>
          </w:tcPr>
          <w:p w14:paraId="424AC981">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850" w:type="dxa"/>
          </w:tcPr>
          <w:p w14:paraId="1B519953">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6" w:type="dxa"/>
            <w:gridSpan w:val="2"/>
          </w:tcPr>
          <w:p w14:paraId="75275A10">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7" w:type="dxa"/>
          </w:tcPr>
          <w:p w14:paraId="24F7D9CA">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701" w:type="dxa"/>
            <w:gridSpan w:val="2"/>
          </w:tcPr>
          <w:p w14:paraId="7656546C">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300" w:type="dxa"/>
          </w:tcPr>
          <w:p w14:paraId="17B59C78">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r>
      <w:tr w14:paraId="1ADB4E49">
        <w:trPr>
          <w:jc w:val="center"/>
        </w:trPr>
        <w:tc>
          <w:tcPr>
            <w:tcW w:w="540" w:type="dxa"/>
            <w:vMerge w:val="continue"/>
          </w:tcPr>
          <w:p w14:paraId="6C0F92EC">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954" w:type="dxa"/>
          </w:tcPr>
          <w:p w14:paraId="1BC0168A">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3</w:t>
            </w:r>
          </w:p>
        </w:tc>
        <w:tc>
          <w:tcPr>
            <w:tcW w:w="851" w:type="dxa"/>
            <w:gridSpan w:val="2"/>
          </w:tcPr>
          <w:p w14:paraId="0A95D4AA">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kern w:val="2"/>
                <w:sz w:val="24"/>
                <w:szCs w:val="24"/>
                <w:lang w:val="en-US" w:eastAsia="zh-CN" w:bidi="ar-SA"/>
              </w:rPr>
              <w:t>豚 鼠</w:t>
            </w:r>
          </w:p>
        </w:tc>
        <w:tc>
          <w:tcPr>
            <w:tcW w:w="850" w:type="dxa"/>
          </w:tcPr>
          <w:p w14:paraId="2BDF7BE2">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993" w:type="dxa"/>
            <w:gridSpan w:val="2"/>
          </w:tcPr>
          <w:p w14:paraId="40745DE0">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1134" w:type="dxa"/>
          </w:tcPr>
          <w:p w14:paraId="14CD25DF">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1134" w:type="dxa"/>
            <w:gridSpan w:val="2"/>
          </w:tcPr>
          <w:p w14:paraId="15A7F481">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850" w:type="dxa"/>
          </w:tcPr>
          <w:p w14:paraId="3AE7AD89">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6" w:type="dxa"/>
            <w:gridSpan w:val="2"/>
          </w:tcPr>
          <w:p w14:paraId="2364B785">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7" w:type="dxa"/>
          </w:tcPr>
          <w:p w14:paraId="29BA15DD">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701" w:type="dxa"/>
            <w:gridSpan w:val="2"/>
          </w:tcPr>
          <w:p w14:paraId="61D55230">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300" w:type="dxa"/>
          </w:tcPr>
          <w:p w14:paraId="6C93A236">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r>
      <w:tr w14:paraId="538115B8">
        <w:trPr>
          <w:jc w:val="center"/>
        </w:trPr>
        <w:tc>
          <w:tcPr>
            <w:tcW w:w="540" w:type="dxa"/>
            <w:vMerge w:val="continue"/>
          </w:tcPr>
          <w:p w14:paraId="7B7ACC9B">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954" w:type="dxa"/>
          </w:tcPr>
          <w:p w14:paraId="4ABA94FF">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4</w:t>
            </w:r>
          </w:p>
        </w:tc>
        <w:tc>
          <w:tcPr>
            <w:tcW w:w="851" w:type="dxa"/>
            <w:gridSpan w:val="2"/>
          </w:tcPr>
          <w:p w14:paraId="68FC1CBD">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kern w:val="2"/>
                <w:sz w:val="24"/>
                <w:szCs w:val="24"/>
                <w:lang w:val="en-US" w:eastAsia="zh-CN" w:bidi="ar-SA"/>
              </w:rPr>
              <w:t>地 鼠</w:t>
            </w:r>
          </w:p>
        </w:tc>
        <w:tc>
          <w:tcPr>
            <w:tcW w:w="850" w:type="dxa"/>
          </w:tcPr>
          <w:p w14:paraId="62D42093">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993" w:type="dxa"/>
            <w:gridSpan w:val="2"/>
          </w:tcPr>
          <w:p w14:paraId="7596E446">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1134" w:type="dxa"/>
          </w:tcPr>
          <w:p w14:paraId="7EB1383C">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1134" w:type="dxa"/>
            <w:gridSpan w:val="2"/>
          </w:tcPr>
          <w:p w14:paraId="15C50691">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850" w:type="dxa"/>
          </w:tcPr>
          <w:p w14:paraId="1DE06477">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6" w:type="dxa"/>
            <w:gridSpan w:val="2"/>
          </w:tcPr>
          <w:p w14:paraId="5F1D9D35">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7" w:type="dxa"/>
          </w:tcPr>
          <w:p w14:paraId="13E3B0F7">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701" w:type="dxa"/>
            <w:gridSpan w:val="2"/>
          </w:tcPr>
          <w:p w14:paraId="7756626A">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300" w:type="dxa"/>
          </w:tcPr>
          <w:p w14:paraId="3F8D98B0">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r>
      <w:tr w14:paraId="574EAFCB">
        <w:trPr>
          <w:jc w:val="center"/>
        </w:trPr>
        <w:tc>
          <w:tcPr>
            <w:tcW w:w="540" w:type="dxa"/>
            <w:vMerge w:val="continue"/>
          </w:tcPr>
          <w:p w14:paraId="034666C6">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954" w:type="dxa"/>
          </w:tcPr>
          <w:p w14:paraId="2700EA61">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5</w:t>
            </w:r>
          </w:p>
        </w:tc>
        <w:tc>
          <w:tcPr>
            <w:tcW w:w="851" w:type="dxa"/>
            <w:gridSpan w:val="2"/>
          </w:tcPr>
          <w:p w14:paraId="11E3803D">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kern w:val="2"/>
                <w:sz w:val="24"/>
                <w:szCs w:val="24"/>
                <w:lang w:val="en-US" w:eastAsia="zh-CN" w:bidi="ar-SA"/>
              </w:rPr>
              <w:t>兔</w:t>
            </w:r>
          </w:p>
        </w:tc>
        <w:tc>
          <w:tcPr>
            <w:tcW w:w="850" w:type="dxa"/>
          </w:tcPr>
          <w:p w14:paraId="6ADC733C">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993" w:type="dxa"/>
            <w:gridSpan w:val="2"/>
          </w:tcPr>
          <w:p w14:paraId="6079DF96">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1134" w:type="dxa"/>
          </w:tcPr>
          <w:p w14:paraId="043614D2">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1134" w:type="dxa"/>
            <w:gridSpan w:val="2"/>
          </w:tcPr>
          <w:p w14:paraId="470D9ECA">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850" w:type="dxa"/>
          </w:tcPr>
          <w:p w14:paraId="52F3DBB7">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6" w:type="dxa"/>
            <w:gridSpan w:val="2"/>
          </w:tcPr>
          <w:p w14:paraId="4B555A15">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7" w:type="dxa"/>
          </w:tcPr>
          <w:p w14:paraId="15798E22">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701" w:type="dxa"/>
            <w:gridSpan w:val="2"/>
          </w:tcPr>
          <w:p w14:paraId="1AFF23FD">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300" w:type="dxa"/>
          </w:tcPr>
          <w:p w14:paraId="0C0B2165">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r>
      <w:tr w14:paraId="6BAE3E6B">
        <w:trPr>
          <w:jc w:val="center"/>
        </w:trPr>
        <w:tc>
          <w:tcPr>
            <w:tcW w:w="540" w:type="dxa"/>
            <w:vMerge w:val="continue"/>
          </w:tcPr>
          <w:p w14:paraId="0C8B382A">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954" w:type="dxa"/>
          </w:tcPr>
          <w:p w14:paraId="6948E808">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6</w:t>
            </w:r>
          </w:p>
        </w:tc>
        <w:tc>
          <w:tcPr>
            <w:tcW w:w="851" w:type="dxa"/>
            <w:gridSpan w:val="2"/>
          </w:tcPr>
          <w:p w14:paraId="3D39F5BC">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kern w:val="2"/>
                <w:sz w:val="24"/>
                <w:szCs w:val="24"/>
                <w:lang w:val="en-US" w:eastAsia="zh-CN" w:bidi="ar-SA"/>
              </w:rPr>
              <w:t>犬</w:t>
            </w:r>
          </w:p>
        </w:tc>
        <w:tc>
          <w:tcPr>
            <w:tcW w:w="850" w:type="dxa"/>
          </w:tcPr>
          <w:p w14:paraId="579A8910">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993" w:type="dxa"/>
            <w:gridSpan w:val="2"/>
          </w:tcPr>
          <w:p w14:paraId="09615884">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w:t>
            </w:r>
          </w:p>
        </w:tc>
        <w:tc>
          <w:tcPr>
            <w:tcW w:w="1134" w:type="dxa"/>
          </w:tcPr>
          <w:p w14:paraId="1A6E20CC">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w:t>
            </w:r>
          </w:p>
        </w:tc>
        <w:tc>
          <w:tcPr>
            <w:tcW w:w="1134" w:type="dxa"/>
            <w:gridSpan w:val="2"/>
          </w:tcPr>
          <w:p w14:paraId="60F60609">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w:t>
            </w:r>
          </w:p>
        </w:tc>
        <w:tc>
          <w:tcPr>
            <w:tcW w:w="850" w:type="dxa"/>
          </w:tcPr>
          <w:p w14:paraId="0AB840A6">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6" w:type="dxa"/>
            <w:gridSpan w:val="2"/>
          </w:tcPr>
          <w:p w14:paraId="468649CB">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7" w:type="dxa"/>
          </w:tcPr>
          <w:p w14:paraId="71834EAC">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701" w:type="dxa"/>
            <w:gridSpan w:val="2"/>
          </w:tcPr>
          <w:p w14:paraId="449CD2BC">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300" w:type="dxa"/>
          </w:tcPr>
          <w:p w14:paraId="7CE77D9B">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r>
      <w:tr w14:paraId="14D81080">
        <w:trPr>
          <w:jc w:val="center"/>
        </w:trPr>
        <w:tc>
          <w:tcPr>
            <w:tcW w:w="540" w:type="dxa"/>
            <w:vMerge w:val="continue"/>
          </w:tcPr>
          <w:p w14:paraId="1143B352">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954" w:type="dxa"/>
          </w:tcPr>
          <w:p w14:paraId="5DE00C73">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7</w:t>
            </w:r>
          </w:p>
        </w:tc>
        <w:tc>
          <w:tcPr>
            <w:tcW w:w="851" w:type="dxa"/>
            <w:gridSpan w:val="2"/>
            <w:vAlign w:val="center"/>
          </w:tcPr>
          <w:p w14:paraId="5E855377">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sz w:val="24"/>
                <w:szCs w:val="24"/>
              </w:rPr>
              <w:t>猴</w:t>
            </w:r>
          </w:p>
        </w:tc>
        <w:tc>
          <w:tcPr>
            <w:tcW w:w="850" w:type="dxa"/>
          </w:tcPr>
          <w:p w14:paraId="43F23BEE">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w:t>
            </w:r>
          </w:p>
        </w:tc>
        <w:tc>
          <w:tcPr>
            <w:tcW w:w="993" w:type="dxa"/>
            <w:gridSpan w:val="2"/>
          </w:tcPr>
          <w:p w14:paraId="40C67FF5">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w:t>
            </w:r>
          </w:p>
        </w:tc>
        <w:tc>
          <w:tcPr>
            <w:tcW w:w="1134" w:type="dxa"/>
          </w:tcPr>
          <w:p w14:paraId="36B3DAC3">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w:t>
            </w:r>
          </w:p>
        </w:tc>
        <w:tc>
          <w:tcPr>
            <w:tcW w:w="1134" w:type="dxa"/>
            <w:gridSpan w:val="2"/>
          </w:tcPr>
          <w:p w14:paraId="10F94EFC">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w:t>
            </w:r>
          </w:p>
        </w:tc>
        <w:tc>
          <w:tcPr>
            <w:tcW w:w="850" w:type="dxa"/>
          </w:tcPr>
          <w:p w14:paraId="79764A07">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6" w:type="dxa"/>
            <w:gridSpan w:val="2"/>
          </w:tcPr>
          <w:p w14:paraId="6B8B0904">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7" w:type="dxa"/>
          </w:tcPr>
          <w:p w14:paraId="1D76A0BC">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701" w:type="dxa"/>
            <w:gridSpan w:val="2"/>
          </w:tcPr>
          <w:p w14:paraId="3020781A">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300" w:type="dxa"/>
          </w:tcPr>
          <w:p w14:paraId="3F0B5590">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r>
      <w:tr w14:paraId="04829CEA">
        <w:trPr>
          <w:jc w:val="center"/>
        </w:trPr>
        <w:tc>
          <w:tcPr>
            <w:tcW w:w="540" w:type="dxa"/>
            <w:vMerge w:val="continue"/>
          </w:tcPr>
          <w:p w14:paraId="63B5D630">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954" w:type="dxa"/>
          </w:tcPr>
          <w:p w14:paraId="0756C914">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8</w:t>
            </w:r>
          </w:p>
        </w:tc>
        <w:tc>
          <w:tcPr>
            <w:tcW w:w="851" w:type="dxa"/>
            <w:gridSpan w:val="2"/>
            <w:vAlign w:val="center"/>
          </w:tcPr>
          <w:p w14:paraId="606E6DAE">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sz w:val="24"/>
                <w:szCs w:val="24"/>
              </w:rPr>
              <w:t>猪</w:t>
            </w:r>
            <w:r>
              <w:rPr>
                <w:rFonts w:hint="eastAsia" w:ascii="仿宋_GB2312" w:hAnsi="仿宋_GB2312" w:eastAsia="仿宋_GB2312" w:cs="仿宋_GB2312"/>
                <w:sz w:val="24"/>
                <w:szCs w:val="24"/>
                <w:vertAlign w:val="superscript"/>
              </w:rPr>
              <w:t>*</w:t>
            </w:r>
          </w:p>
        </w:tc>
        <w:tc>
          <w:tcPr>
            <w:tcW w:w="850" w:type="dxa"/>
          </w:tcPr>
          <w:p w14:paraId="56EDB126">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w:t>
            </w:r>
          </w:p>
        </w:tc>
        <w:tc>
          <w:tcPr>
            <w:tcW w:w="993" w:type="dxa"/>
            <w:gridSpan w:val="2"/>
          </w:tcPr>
          <w:p w14:paraId="0AF049DB">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w:t>
            </w:r>
          </w:p>
        </w:tc>
        <w:tc>
          <w:tcPr>
            <w:tcW w:w="1134" w:type="dxa"/>
          </w:tcPr>
          <w:p w14:paraId="37B2CE41">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w:t>
            </w:r>
          </w:p>
        </w:tc>
        <w:tc>
          <w:tcPr>
            <w:tcW w:w="1134" w:type="dxa"/>
            <w:gridSpan w:val="2"/>
          </w:tcPr>
          <w:p w14:paraId="6E876D43">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w:t>
            </w:r>
          </w:p>
        </w:tc>
        <w:tc>
          <w:tcPr>
            <w:tcW w:w="850" w:type="dxa"/>
          </w:tcPr>
          <w:p w14:paraId="13339FB0">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6" w:type="dxa"/>
            <w:gridSpan w:val="2"/>
          </w:tcPr>
          <w:p w14:paraId="043419C9">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7" w:type="dxa"/>
          </w:tcPr>
          <w:p w14:paraId="55E59C63">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701" w:type="dxa"/>
            <w:gridSpan w:val="2"/>
          </w:tcPr>
          <w:p w14:paraId="0C8AD3DD">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300" w:type="dxa"/>
          </w:tcPr>
          <w:p w14:paraId="3F59CED0">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r>
      <w:tr w14:paraId="633CCAC7">
        <w:trPr>
          <w:jc w:val="center"/>
        </w:trPr>
        <w:tc>
          <w:tcPr>
            <w:tcW w:w="540" w:type="dxa"/>
            <w:vMerge w:val="continue"/>
          </w:tcPr>
          <w:p w14:paraId="6741C9AD">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954" w:type="dxa"/>
          </w:tcPr>
          <w:p w14:paraId="486E3382">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9</w:t>
            </w:r>
          </w:p>
        </w:tc>
        <w:tc>
          <w:tcPr>
            <w:tcW w:w="851" w:type="dxa"/>
            <w:gridSpan w:val="2"/>
            <w:vAlign w:val="center"/>
          </w:tcPr>
          <w:p w14:paraId="558B71B5">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sz w:val="24"/>
                <w:szCs w:val="24"/>
              </w:rPr>
              <w:t>鸡</w:t>
            </w:r>
          </w:p>
        </w:tc>
        <w:tc>
          <w:tcPr>
            <w:tcW w:w="850" w:type="dxa"/>
          </w:tcPr>
          <w:p w14:paraId="0A2994EA">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w:t>
            </w:r>
          </w:p>
        </w:tc>
        <w:tc>
          <w:tcPr>
            <w:tcW w:w="993" w:type="dxa"/>
            <w:gridSpan w:val="2"/>
          </w:tcPr>
          <w:p w14:paraId="4690178B">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w:t>
            </w:r>
          </w:p>
        </w:tc>
        <w:tc>
          <w:tcPr>
            <w:tcW w:w="1134" w:type="dxa"/>
          </w:tcPr>
          <w:p w14:paraId="1821A5E9">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w:t>
            </w:r>
          </w:p>
        </w:tc>
        <w:tc>
          <w:tcPr>
            <w:tcW w:w="1134" w:type="dxa"/>
            <w:gridSpan w:val="2"/>
          </w:tcPr>
          <w:p w14:paraId="2F9A4BE3">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w:t>
            </w:r>
          </w:p>
        </w:tc>
        <w:tc>
          <w:tcPr>
            <w:tcW w:w="850" w:type="dxa"/>
          </w:tcPr>
          <w:p w14:paraId="5F5A9B5A">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6" w:type="dxa"/>
            <w:gridSpan w:val="2"/>
          </w:tcPr>
          <w:p w14:paraId="6379A06D">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7" w:type="dxa"/>
          </w:tcPr>
          <w:p w14:paraId="7BC13B5E">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701" w:type="dxa"/>
            <w:gridSpan w:val="2"/>
          </w:tcPr>
          <w:p w14:paraId="2D003C68">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300" w:type="dxa"/>
          </w:tcPr>
          <w:p w14:paraId="6B794535">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r>
      <w:tr w14:paraId="763FB023">
        <w:trPr>
          <w:jc w:val="center"/>
        </w:trPr>
        <w:tc>
          <w:tcPr>
            <w:tcW w:w="540" w:type="dxa"/>
            <w:vMerge w:val="restart"/>
          </w:tcPr>
          <w:p w14:paraId="120FE71E">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r>
              <w:rPr>
                <w:rFonts w:hint="eastAsia" w:ascii="仿宋_GB2312" w:hAnsi="仿宋_GB2312" w:cs="仿宋_GB2312"/>
                <w:bCs/>
                <w:sz w:val="24"/>
                <w:szCs w:val="24"/>
                <w:lang w:eastAsia="zh-CN"/>
              </w:rPr>
              <w:t>其他</w:t>
            </w:r>
            <w:r>
              <w:rPr>
                <w:rFonts w:hint="eastAsia" w:ascii="仿宋_GB2312" w:hAnsi="仿宋_GB2312" w:eastAsia="仿宋_GB2312" w:cs="仿宋_GB2312"/>
                <w:bCs/>
                <w:sz w:val="24"/>
                <w:szCs w:val="24"/>
              </w:rPr>
              <w:t>实验用动物</w:t>
            </w:r>
          </w:p>
        </w:tc>
        <w:tc>
          <w:tcPr>
            <w:tcW w:w="954" w:type="dxa"/>
          </w:tcPr>
          <w:p w14:paraId="622F5EE9">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10</w:t>
            </w:r>
          </w:p>
        </w:tc>
        <w:tc>
          <w:tcPr>
            <w:tcW w:w="851" w:type="dxa"/>
            <w:gridSpan w:val="2"/>
          </w:tcPr>
          <w:p w14:paraId="1422AE82">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850" w:type="dxa"/>
          </w:tcPr>
          <w:p w14:paraId="545A5064">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993" w:type="dxa"/>
            <w:gridSpan w:val="2"/>
          </w:tcPr>
          <w:p w14:paraId="780E2678">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1134" w:type="dxa"/>
          </w:tcPr>
          <w:p w14:paraId="221894D8">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1134" w:type="dxa"/>
            <w:gridSpan w:val="2"/>
          </w:tcPr>
          <w:p w14:paraId="02FD0406">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850" w:type="dxa"/>
          </w:tcPr>
          <w:p w14:paraId="686A4772">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6" w:type="dxa"/>
            <w:gridSpan w:val="2"/>
          </w:tcPr>
          <w:p w14:paraId="6A3FD594">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7" w:type="dxa"/>
          </w:tcPr>
          <w:p w14:paraId="626A007C">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701" w:type="dxa"/>
            <w:gridSpan w:val="2"/>
          </w:tcPr>
          <w:p w14:paraId="650A750B">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300" w:type="dxa"/>
          </w:tcPr>
          <w:p w14:paraId="598F2464">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r>
      <w:tr w14:paraId="51E8DBBC">
        <w:trPr>
          <w:jc w:val="center"/>
        </w:trPr>
        <w:tc>
          <w:tcPr>
            <w:tcW w:w="540" w:type="dxa"/>
            <w:vMerge w:val="continue"/>
          </w:tcPr>
          <w:p w14:paraId="2D234199">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954" w:type="dxa"/>
          </w:tcPr>
          <w:p w14:paraId="3D36EB31">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11</w:t>
            </w:r>
          </w:p>
        </w:tc>
        <w:tc>
          <w:tcPr>
            <w:tcW w:w="851" w:type="dxa"/>
            <w:gridSpan w:val="2"/>
          </w:tcPr>
          <w:p w14:paraId="01BAA980">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850" w:type="dxa"/>
          </w:tcPr>
          <w:p w14:paraId="2730A0BD">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993" w:type="dxa"/>
            <w:gridSpan w:val="2"/>
          </w:tcPr>
          <w:p w14:paraId="0F12A8CE">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1134" w:type="dxa"/>
          </w:tcPr>
          <w:p w14:paraId="4BF6004B">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1134" w:type="dxa"/>
            <w:gridSpan w:val="2"/>
          </w:tcPr>
          <w:p w14:paraId="07382D79">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850" w:type="dxa"/>
          </w:tcPr>
          <w:p w14:paraId="4BC71C98">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6" w:type="dxa"/>
            <w:gridSpan w:val="2"/>
          </w:tcPr>
          <w:p w14:paraId="2FDD8AAB">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7" w:type="dxa"/>
          </w:tcPr>
          <w:p w14:paraId="103115AE">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701" w:type="dxa"/>
            <w:gridSpan w:val="2"/>
          </w:tcPr>
          <w:p w14:paraId="70780F78">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300" w:type="dxa"/>
          </w:tcPr>
          <w:p w14:paraId="1F4582E7">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r>
      <w:tr w14:paraId="67FEB951">
        <w:trPr>
          <w:jc w:val="center"/>
        </w:trPr>
        <w:tc>
          <w:tcPr>
            <w:tcW w:w="540" w:type="dxa"/>
            <w:vMerge w:val="continue"/>
          </w:tcPr>
          <w:p w14:paraId="377A7B84">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954" w:type="dxa"/>
          </w:tcPr>
          <w:p w14:paraId="4FC77594">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12</w:t>
            </w:r>
          </w:p>
        </w:tc>
        <w:tc>
          <w:tcPr>
            <w:tcW w:w="851" w:type="dxa"/>
            <w:gridSpan w:val="2"/>
          </w:tcPr>
          <w:p w14:paraId="6ACE0396">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850" w:type="dxa"/>
          </w:tcPr>
          <w:p w14:paraId="595DA2C6">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993" w:type="dxa"/>
            <w:gridSpan w:val="2"/>
          </w:tcPr>
          <w:p w14:paraId="4CA5BC5A">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1134" w:type="dxa"/>
          </w:tcPr>
          <w:p w14:paraId="198F9625">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1134" w:type="dxa"/>
            <w:gridSpan w:val="2"/>
          </w:tcPr>
          <w:p w14:paraId="0B2DDB5D">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850" w:type="dxa"/>
          </w:tcPr>
          <w:p w14:paraId="2F51DD6F">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6" w:type="dxa"/>
            <w:gridSpan w:val="2"/>
          </w:tcPr>
          <w:p w14:paraId="45F534CA">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7" w:type="dxa"/>
          </w:tcPr>
          <w:p w14:paraId="099540A8">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701" w:type="dxa"/>
            <w:gridSpan w:val="2"/>
          </w:tcPr>
          <w:p w14:paraId="66BD79A0">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300" w:type="dxa"/>
          </w:tcPr>
          <w:p w14:paraId="77294396">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r>
      <w:tr w14:paraId="5D47B6C2">
        <w:trPr>
          <w:jc w:val="center"/>
        </w:trPr>
        <w:tc>
          <w:tcPr>
            <w:tcW w:w="540" w:type="dxa"/>
            <w:vMerge w:val="continue"/>
          </w:tcPr>
          <w:p w14:paraId="4C76763F">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954" w:type="dxa"/>
          </w:tcPr>
          <w:p w14:paraId="5E6632B0">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13</w:t>
            </w:r>
          </w:p>
        </w:tc>
        <w:tc>
          <w:tcPr>
            <w:tcW w:w="851" w:type="dxa"/>
            <w:gridSpan w:val="2"/>
          </w:tcPr>
          <w:p w14:paraId="4CEAD07E">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850" w:type="dxa"/>
          </w:tcPr>
          <w:p w14:paraId="7A3F3030">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993" w:type="dxa"/>
            <w:gridSpan w:val="2"/>
          </w:tcPr>
          <w:p w14:paraId="3802FCEB">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1134" w:type="dxa"/>
          </w:tcPr>
          <w:p w14:paraId="5212A553">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1134" w:type="dxa"/>
            <w:gridSpan w:val="2"/>
          </w:tcPr>
          <w:p w14:paraId="2C8F3309">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w:t>
            </w:r>
          </w:p>
        </w:tc>
        <w:tc>
          <w:tcPr>
            <w:tcW w:w="850" w:type="dxa"/>
          </w:tcPr>
          <w:p w14:paraId="2A901E6A">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6" w:type="dxa"/>
            <w:gridSpan w:val="2"/>
          </w:tcPr>
          <w:p w14:paraId="38972617">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7" w:type="dxa"/>
          </w:tcPr>
          <w:p w14:paraId="3CBF90FE">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701" w:type="dxa"/>
            <w:gridSpan w:val="2"/>
          </w:tcPr>
          <w:p w14:paraId="3CD0C951">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300" w:type="dxa"/>
          </w:tcPr>
          <w:p w14:paraId="7151D466">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r>
      <w:tr w14:paraId="40FEB14D">
        <w:trPr>
          <w:jc w:val="center"/>
        </w:trPr>
        <w:tc>
          <w:tcPr>
            <w:tcW w:w="540" w:type="dxa"/>
            <w:vMerge w:val="continue"/>
          </w:tcPr>
          <w:p w14:paraId="7CE1E3EA">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954" w:type="dxa"/>
          </w:tcPr>
          <w:p w14:paraId="58C6FCAA">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14</w:t>
            </w:r>
          </w:p>
        </w:tc>
        <w:tc>
          <w:tcPr>
            <w:tcW w:w="851" w:type="dxa"/>
            <w:gridSpan w:val="2"/>
          </w:tcPr>
          <w:p w14:paraId="29306B35">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850" w:type="dxa"/>
          </w:tcPr>
          <w:p w14:paraId="53E9A3B0">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w:t>
            </w:r>
          </w:p>
        </w:tc>
        <w:tc>
          <w:tcPr>
            <w:tcW w:w="993" w:type="dxa"/>
            <w:gridSpan w:val="2"/>
          </w:tcPr>
          <w:p w14:paraId="253BE2B5">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w:t>
            </w:r>
          </w:p>
        </w:tc>
        <w:tc>
          <w:tcPr>
            <w:tcW w:w="1134" w:type="dxa"/>
          </w:tcPr>
          <w:p w14:paraId="58402D6B">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w:t>
            </w:r>
          </w:p>
        </w:tc>
        <w:tc>
          <w:tcPr>
            <w:tcW w:w="1134" w:type="dxa"/>
            <w:gridSpan w:val="2"/>
          </w:tcPr>
          <w:p w14:paraId="619AA75B">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w:t>
            </w:r>
          </w:p>
        </w:tc>
        <w:tc>
          <w:tcPr>
            <w:tcW w:w="850" w:type="dxa"/>
          </w:tcPr>
          <w:p w14:paraId="25033A6C">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6" w:type="dxa"/>
            <w:gridSpan w:val="2"/>
          </w:tcPr>
          <w:p w14:paraId="6C6F99A6">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7" w:type="dxa"/>
          </w:tcPr>
          <w:p w14:paraId="11814B6C">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701" w:type="dxa"/>
            <w:gridSpan w:val="2"/>
          </w:tcPr>
          <w:p w14:paraId="68565283">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300" w:type="dxa"/>
          </w:tcPr>
          <w:p w14:paraId="5C2714C0">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r>
      <w:tr w14:paraId="0B7215F3">
        <w:trPr>
          <w:jc w:val="center"/>
        </w:trPr>
        <w:tc>
          <w:tcPr>
            <w:tcW w:w="540" w:type="dxa"/>
            <w:vMerge w:val="continue"/>
          </w:tcPr>
          <w:p w14:paraId="52A63270">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954" w:type="dxa"/>
          </w:tcPr>
          <w:p w14:paraId="5530DE0A">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15</w:t>
            </w:r>
          </w:p>
        </w:tc>
        <w:tc>
          <w:tcPr>
            <w:tcW w:w="851" w:type="dxa"/>
            <w:gridSpan w:val="2"/>
          </w:tcPr>
          <w:p w14:paraId="6D972EF1">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850" w:type="dxa"/>
          </w:tcPr>
          <w:p w14:paraId="655BEF62">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w:t>
            </w:r>
          </w:p>
        </w:tc>
        <w:tc>
          <w:tcPr>
            <w:tcW w:w="993" w:type="dxa"/>
            <w:gridSpan w:val="2"/>
          </w:tcPr>
          <w:p w14:paraId="20EA69B4">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w:t>
            </w:r>
          </w:p>
        </w:tc>
        <w:tc>
          <w:tcPr>
            <w:tcW w:w="1134" w:type="dxa"/>
          </w:tcPr>
          <w:p w14:paraId="68121675">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w:t>
            </w:r>
          </w:p>
        </w:tc>
        <w:tc>
          <w:tcPr>
            <w:tcW w:w="1134" w:type="dxa"/>
            <w:gridSpan w:val="2"/>
          </w:tcPr>
          <w:p w14:paraId="19880D3C">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w:t>
            </w:r>
          </w:p>
        </w:tc>
        <w:tc>
          <w:tcPr>
            <w:tcW w:w="850" w:type="dxa"/>
          </w:tcPr>
          <w:p w14:paraId="245A4122">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6" w:type="dxa"/>
            <w:gridSpan w:val="2"/>
          </w:tcPr>
          <w:p w14:paraId="727D15A3">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7" w:type="dxa"/>
          </w:tcPr>
          <w:p w14:paraId="32504A46">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701" w:type="dxa"/>
            <w:gridSpan w:val="2"/>
          </w:tcPr>
          <w:p w14:paraId="1A50A06F">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300" w:type="dxa"/>
          </w:tcPr>
          <w:p w14:paraId="53CC9226">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r>
      <w:tr w14:paraId="534998AA">
        <w:trPr>
          <w:jc w:val="center"/>
        </w:trPr>
        <w:tc>
          <w:tcPr>
            <w:tcW w:w="540" w:type="dxa"/>
            <w:vMerge w:val="continue"/>
            <w:tcBorders>
              <w:bottom w:val="double" w:color="auto" w:sz="4" w:space="0"/>
            </w:tcBorders>
          </w:tcPr>
          <w:p w14:paraId="7C1AC884">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954" w:type="dxa"/>
            <w:tcBorders>
              <w:bottom w:val="double" w:color="auto" w:sz="4" w:space="0"/>
            </w:tcBorders>
          </w:tcPr>
          <w:p w14:paraId="257B8782">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16</w:t>
            </w:r>
          </w:p>
        </w:tc>
        <w:tc>
          <w:tcPr>
            <w:tcW w:w="851" w:type="dxa"/>
            <w:gridSpan w:val="2"/>
            <w:tcBorders>
              <w:bottom w:val="double" w:color="auto" w:sz="4" w:space="0"/>
            </w:tcBorders>
          </w:tcPr>
          <w:p w14:paraId="4865D88F">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850" w:type="dxa"/>
            <w:tcBorders>
              <w:bottom w:val="double" w:color="auto" w:sz="4" w:space="0"/>
            </w:tcBorders>
          </w:tcPr>
          <w:p w14:paraId="366501D6">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w:t>
            </w:r>
          </w:p>
        </w:tc>
        <w:tc>
          <w:tcPr>
            <w:tcW w:w="993" w:type="dxa"/>
            <w:gridSpan w:val="2"/>
            <w:tcBorders>
              <w:bottom w:val="double" w:color="auto" w:sz="4" w:space="0"/>
            </w:tcBorders>
          </w:tcPr>
          <w:p w14:paraId="1A954392">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w:t>
            </w:r>
          </w:p>
        </w:tc>
        <w:tc>
          <w:tcPr>
            <w:tcW w:w="1134" w:type="dxa"/>
            <w:tcBorders>
              <w:bottom w:val="double" w:color="auto" w:sz="4" w:space="0"/>
            </w:tcBorders>
          </w:tcPr>
          <w:p w14:paraId="6551FAC1">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w:t>
            </w:r>
          </w:p>
        </w:tc>
        <w:tc>
          <w:tcPr>
            <w:tcW w:w="1134" w:type="dxa"/>
            <w:gridSpan w:val="2"/>
            <w:tcBorders>
              <w:bottom w:val="double" w:color="auto" w:sz="4" w:space="0"/>
            </w:tcBorders>
          </w:tcPr>
          <w:p w14:paraId="7ADCDBE6">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w:t>
            </w:r>
          </w:p>
        </w:tc>
        <w:tc>
          <w:tcPr>
            <w:tcW w:w="850" w:type="dxa"/>
            <w:tcBorders>
              <w:bottom w:val="double" w:color="auto" w:sz="4" w:space="0"/>
            </w:tcBorders>
          </w:tcPr>
          <w:p w14:paraId="7CA6B5D7">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6" w:type="dxa"/>
            <w:gridSpan w:val="2"/>
            <w:tcBorders>
              <w:bottom w:val="double" w:color="auto" w:sz="4" w:space="0"/>
            </w:tcBorders>
          </w:tcPr>
          <w:p w14:paraId="1C04357A">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7" w:type="dxa"/>
            <w:tcBorders>
              <w:bottom w:val="double" w:color="auto" w:sz="4" w:space="0"/>
            </w:tcBorders>
          </w:tcPr>
          <w:p w14:paraId="4304E942">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701" w:type="dxa"/>
            <w:gridSpan w:val="2"/>
            <w:tcBorders>
              <w:bottom w:val="double" w:color="auto" w:sz="4" w:space="0"/>
            </w:tcBorders>
          </w:tcPr>
          <w:p w14:paraId="3659B706">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300" w:type="dxa"/>
            <w:tcBorders>
              <w:bottom w:val="double" w:color="auto" w:sz="4" w:space="0"/>
            </w:tcBorders>
          </w:tcPr>
          <w:p w14:paraId="0F0E078E">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r>
      <w:tr w14:paraId="2E809061">
        <w:trPr>
          <w:trHeight w:val="1159" w:hRule="atLeast"/>
          <w:jc w:val="center"/>
        </w:trPr>
        <w:tc>
          <w:tcPr>
            <w:tcW w:w="1494" w:type="dxa"/>
            <w:gridSpan w:val="2"/>
            <w:tcBorders>
              <w:top w:val="double" w:color="auto" w:sz="4" w:space="0"/>
            </w:tcBorders>
            <w:vAlign w:val="center"/>
          </w:tcPr>
          <w:p w14:paraId="27EB309D">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r>
              <w:rPr>
                <w:rFonts w:hint="eastAsia" w:ascii="仿宋_GB2312" w:hAnsi="仿宋_GB2312" w:eastAsia="仿宋_GB2312" w:cs="仿宋_GB2312"/>
                <w:bCs/>
                <w:sz w:val="24"/>
                <w:szCs w:val="24"/>
              </w:rPr>
              <w:t>提供使用许可证单位部门盖章</w:t>
            </w:r>
          </w:p>
        </w:tc>
        <w:tc>
          <w:tcPr>
            <w:tcW w:w="13066" w:type="dxa"/>
            <w:gridSpan w:val="15"/>
            <w:tcBorders>
              <w:top w:val="double" w:color="auto" w:sz="4" w:space="0"/>
            </w:tcBorders>
          </w:tcPr>
          <w:p w14:paraId="3ADB3831">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r>
    </w:tbl>
    <w:p w14:paraId="5DA68767">
      <w:pPr>
        <w:keepNext w:val="0"/>
        <w:keepLines w:val="0"/>
        <w:pageBreakBefore w:val="0"/>
        <w:widowControl w:val="0"/>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p w14:paraId="1C241441">
      <w:pPr>
        <w:keepNext w:val="0"/>
        <w:keepLines w:val="0"/>
        <w:pageBreakBefore w:val="0"/>
        <w:widowControl w:val="0"/>
        <w:kinsoku/>
        <w:wordWrap/>
        <w:overflowPunct/>
        <w:topLinePunct w:val="0"/>
        <w:autoSpaceDE/>
        <w:autoSpaceDN/>
        <w:bidi w:val="0"/>
        <w:adjustRightInd/>
        <w:snapToGrid w:val="0"/>
        <w:spacing w:beforeAutospacing="0" w:afterAutospacing="0" w:line="320" w:lineRule="exact"/>
        <w:ind w:left="0" w:leftChars="0" w:right="0" w:firstLine="480" w:firstLineChars="200"/>
        <w:jc w:val="left"/>
        <w:textAlignment w:val="auto"/>
        <w:rPr>
          <w:rFonts w:hint="eastAsia" w:ascii="仿宋_GB2312" w:hAnsi="仿宋_GB2312" w:eastAsia="仿宋_GB2312" w:cs="仿宋_GB2312"/>
          <w:color w:val="2D00C7"/>
          <w:sz w:val="24"/>
          <w:szCs w:val="24"/>
        </w:rPr>
      </w:pPr>
      <w:r>
        <w:rPr>
          <w:rFonts w:hint="eastAsia" w:ascii="仿宋_GB2312" w:hAnsi="仿宋_GB2312" w:eastAsia="仿宋_GB2312" w:cs="仿宋_GB2312"/>
          <w:color w:val="2D00C7"/>
          <w:sz w:val="24"/>
          <w:szCs w:val="24"/>
        </w:rPr>
        <w:t>注：</w:t>
      </w:r>
    </w:p>
    <w:p w14:paraId="4ABB6BEF">
      <w:pPr>
        <w:keepNext w:val="0"/>
        <w:keepLines w:val="0"/>
        <w:pageBreakBefore w:val="0"/>
        <w:widowControl w:val="0"/>
        <w:kinsoku/>
        <w:wordWrap/>
        <w:overflowPunct/>
        <w:topLinePunct w:val="0"/>
        <w:autoSpaceDE/>
        <w:autoSpaceDN/>
        <w:bidi w:val="0"/>
        <w:adjustRightInd/>
        <w:snapToGrid w:val="0"/>
        <w:spacing w:beforeAutospacing="0" w:afterAutospacing="0" w:line="320" w:lineRule="exact"/>
        <w:ind w:left="0" w:leftChars="0" w:right="0" w:firstLine="480" w:firstLineChars="200"/>
        <w:jc w:val="left"/>
        <w:textAlignment w:val="auto"/>
        <w:rPr>
          <w:rFonts w:hint="eastAsia" w:ascii="仿宋_GB2312" w:hAnsi="仿宋_GB2312" w:eastAsia="仿宋_GB2312" w:cs="仿宋_GB2312"/>
          <w:color w:val="2D00C7"/>
          <w:sz w:val="24"/>
          <w:szCs w:val="24"/>
        </w:rPr>
      </w:pPr>
      <w:r>
        <w:rPr>
          <w:rFonts w:hint="eastAsia" w:ascii="仿宋_GB2312" w:hAnsi="仿宋_GB2312" w:eastAsia="仿宋_GB2312" w:cs="仿宋_GB2312"/>
          <w:color w:val="2D00C7"/>
          <w:sz w:val="24"/>
          <w:szCs w:val="24"/>
        </w:rPr>
        <w:t>1、本表内容已纳入项目立项审核流程，请在正式提交后将本表（一份）打印盖章寄至</w:t>
      </w:r>
      <w:r>
        <w:rPr>
          <w:rFonts w:hint="eastAsia" w:ascii="仿宋_GB2312" w:hAnsi="仿宋_GB2312" w:eastAsia="仿宋_GB2312" w:cs="仿宋_GB2312"/>
          <w:b/>
          <w:color w:val="2D00C7"/>
          <w:sz w:val="24"/>
          <w:szCs w:val="24"/>
        </w:rPr>
        <w:t>上海市实验动物管理办公室</w:t>
      </w:r>
      <w:r>
        <w:rPr>
          <w:rFonts w:hint="eastAsia" w:ascii="仿宋_GB2312" w:hAnsi="仿宋_GB2312" w:eastAsia="仿宋_GB2312" w:cs="仿宋_GB2312"/>
          <w:color w:val="2D00C7"/>
          <w:sz w:val="24"/>
          <w:szCs w:val="24"/>
        </w:rPr>
        <w:t>，市科委将据此对本项目进行审核。</w:t>
      </w:r>
    </w:p>
    <w:p w14:paraId="572E85E6">
      <w:pPr>
        <w:keepNext w:val="0"/>
        <w:keepLines w:val="0"/>
        <w:pageBreakBefore w:val="0"/>
        <w:widowControl w:val="0"/>
        <w:kinsoku/>
        <w:wordWrap/>
        <w:overflowPunct/>
        <w:topLinePunct w:val="0"/>
        <w:autoSpaceDE/>
        <w:autoSpaceDN/>
        <w:bidi w:val="0"/>
        <w:adjustRightInd/>
        <w:snapToGrid w:val="0"/>
        <w:spacing w:beforeAutospacing="0" w:afterAutospacing="0" w:line="320" w:lineRule="exact"/>
        <w:ind w:left="0" w:leftChars="0" w:right="0" w:firstLine="480" w:firstLineChars="200"/>
        <w:jc w:val="left"/>
        <w:textAlignment w:val="auto"/>
        <w:rPr>
          <w:rFonts w:hint="eastAsia" w:ascii="仿宋_GB2312" w:hAnsi="仿宋_GB2312" w:eastAsia="仿宋_GB2312" w:cs="仿宋_GB2312"/>
          <w:color w:val="2D00C7"/>
          <w:sz w:val="24"/>
          <w:szCs w:val="24"/>
        </w:rPr>
      </w:pPr>
      <w:r>
        <w:rPr>
          <w:rFonts w:hint="eastAsia" w:ascii="仿宋_GB2312" w:hAnsi="仿宋_GB2312" w:eastAsia="仿宋_GB2312" w:cs="仿宋_GB2312"/>
          <w:color w:val="2D00C7"/>
          <w:sz w:val="24"/>
          <w:szCs w:val="24"/>
        </w:rPr>
        <w:t>地址：浦东张江金科路3577号1号楼1210－1211室，邮编：201203，电话：58955325，50563529，50339079</w:t>
      </w:r>
    </w:p>
    <w:p w14:paraId="6F5DBE71">
      <w:pPr>
        <w:keepNext w:val="0"/>
        <w:keepLines w:val="0"/>
        <w:pageBreakBefore w:val="0"/>
        <w:widowControl w:val="0"/>
        <w:kinsoku/>
        <w:wordWrap/>
        <w:overflowPunct/>
        <w:topLinePunct w:val="0"/>
        <w:autoSpaceDE/>
        <w:autoSpaceDN/>
        <w:bidi w:val="0"/>
        <w:adjustRightInd/>
        <w:snapToGrid w:val="0"/>
        <w:spacing w:beforeAutospacing="0" w:afterAutospacing="0" w:line="320" w:lineRule="exact"/>
        <w:ind w:left="0" w:leftChars="0" w:right="0" w:firstLine="480" w:firstLineChars="200"/>
        <w:jc w:val="left"/>
        <w:textAlignment w:val="auto"/>
        <w:outlineLvl w:val="1"/>
        <w:rPr>
          <w:rFonts w:hint="eastAsia" w:ascii="仿宋_GB2312" w:hAnsi="仿宋_GB2312" w:eastAsia="仿宋_GB2312" w:cs="仿宋_GB2312"/>
          <w:color w:val="2D00C7"/>
          <w:sz w:val="24"/>
          <w:szCs w:val="24"/>
        </w:rPr>
      </w:pPr>
      <w:r>
        <w:rPr>
          <w:rFonts w:hint="eastAsia" w:ascii="仿宋_GB2312" w:hAnsi="仿宋_GB2312" w:eastAsia="仿宋_GB2312" w:cs="仿宋_GB2312"/>
          <w:color w:val="2D00C7"/>
          <w:sz w:val="24"/>
          <w:szCs w:val="24"/>
        </w:rPr>
        <w:t>2、实验动物的种类、级别必须符合实验动物许可证的适用范围。</w:t>
      </w:r>
    </w:p>
    <w:p w14:paraId="3BABEF37">
      <w:pPr>
        <w:keepNext w:val="0"/>
        <w:keepLines w:val="0"/>
        <w:pageBreakBefore w:val="0"/>
        <w:widowControl w:val="0"/>
        <w:kinsoku/>
        <w:wordWrap/>
        <w:overflowPunct/>
        <w:topLinePunct w:val="0"/>
        <w:autoSpaceDE/>
        <w:autoSpaceDN/>
        <w:bidi w:val="0"/>
        <w:adjustRightInd/>
        <w:snapToGrid w:val="0"/>
        <w:spacing w:beforeAutospacing="0" w:afterAutospacing="0" w:line="320" w:lineRule="exact"/>
        <w:ind w:left="0" w:leftChars="0" w:right="0" w:firstLine="480" w:firstLineChars="200"/>
        <w:jc w:val="left"/>
        <w:textAlignment w:val="auto"/>
        <w:rPr>
          <w:rFonts w:hint="eastAsia" w:ascii="仿宋_GB2312" w:hAnsi="仿宋_GB2312" w:eastAsia="仿宋_GB2312" w:cs="仿宋_GB2312"/>
          <w:color w:val="2D00C7"/>
          <w:sz w:val="24"/>
          <w:szCs w:val="24"/>
        </w:rPr>
      </w:pPr>
      <w:r>
        <w:rPr>
          <w:rFonts w:hint="eastAsia" w:ascii="仿宋_GB2312" w:hAnsi="仿宋_GB2312" w:eastAsia="仿宋_GB2312" w:cs="仿宋_GB2312"/>
          <w:color w:val="2D00C7"/>
          <w:sz w:val="24"/>
          <w:szCs w:val="24"/>
        </w:rPr>
        <w:t>3、其</w:t>
      </w:r>
      <w:r>
        <w:rPr>
          <w:rFonts w:hint="eastAsia" w:ascii="仿宋_GB2312" w:hAnsi="仿宋_GB2312" w:cs="仿宋_GB2312"/>
          <w:color w:val="2D00C7"/>
          <w:sz w:val="24"/>
          <w:szCs w:val="24"/>
          <w:lang w:val="en-US" w:eastAsia="zh-CN"/>
        </w:rPr>
        <w:t>他</w:t>
      </w:r>
      <w:r>
        <w:rPr>
          <w:rFonts w:hint="eastAsia" w:ascii="仿宋_GB2312" w:hAnsi="仿宋_GB2312" w:eastAsia="仿宋_GB2312" w:cs="仿宋_GB2312"/>
          <w:color w:val="2D00C7"/>
          <w:sz w:val="24"/>
          <w:szCs w:val="24"/>
        </w:rPr>
        <w:t>实验用动物部分：必须填写动物种类名、级别、用途和动物来源。</w:t>
      </w:r>
    </w:p>
    <w:p w14:paraId="491B320E">
      <w:pPr>
        <w:keepNext w:val="0"/>
        <w:keepLines w:val="0"/>
        <w:pageBreakBefore w:val="0"/>
        <w:widowControl w:val="0"/>
        <w:kinsoku/>
        <w:wordWrap/>
        <w:overflowPunct/>
        <w:topLinePunct w:val="0"/>
        <w:autoSpaceDE/>
        <w:autoSpaceDN/>
        <w:bidi w:val="0"/>
        <w:adjustRightInd/>
        <w:snapToGrid w:val="0"/>
        <w:spacing w:beforeAutospacing="0" w:afterAutospacing="0" w:line="320" w:lineRule="exact"/>
        <w:ind w:left="0" w:leftChars="0" w:right="0" w:firstLine="480" w:firstLineChars="200"/>
        <w:jc w:val="left"/>
        <w:textAlignment w:val="auto"/>
        <w:rPr>
          <w:rFonts w:hint="eastAsia" w:ascii="仿宋_GB2312" w:hAnsi="仿宋_GB2312" w:eastAsia="仿宋_GB2312" w:cs="仿宋_GB2312"/>
          <w:color w:val="2D00C7"/>
          <w:sz w:val="24"/>
          <w:szCs w:val="24"/>
        </w:rPr>
      </w:pPr>
      <w:r>
        <w:rPr>
          <w:rFonts w:hint="eastAsia" w:ascii="仿宋_GB2312" w:hAnsi="仿宋_GB2312" w:eastAsia="仿宋_GB2312" w:cs="仿宋_GB2312"/>
          <w:color w:val="2D00C7"/>
          <w:sz w:val="24"/>
          <w:szCs w:val="24"/>
        </w:rPr>
        <w:t>4、以上动物实验不含放射性动物实验、感染性动物实验和化学毒性动物实验，如有以上相关实验，不填本表，请上</w:t>
      </w:r>
      <w:r>
        <w:rPr>
          <w:rFonts w:hint="eastAsia" w:ascii="仿宋_GB2312" w:hAnsi="仿宋_GB2312" w:eastAsia="仿宋_GB2312" w:cs="仿宋_GB2312"/>
          <w:color w:val="2D00C7"/>
          <w:sz w:val="24"/>
          <w:szCs w:val="24"/>
        </w:rPr>
        <w:fldChar w:fldCharType="begin"/>
      </w:r>
      <w:r>
        <w:rPr>
          <w:rFonts w:hint="eastAsia" w:ascii="仿宋_GB2312" w:hAnsi="仿宋_GB2312" w:eastAsia="仿宋_GB2312" w:cs="仿宋_GB2312"/>
          <w:color w:val="2D00C7"/>
          <w:sz w:val="24"/>
          <w:szCs w:val="24"/>
        </w:rPr>
        <w:instrText xml:space="preserve"> HYPERLINK "http://www.la-res.cn" </w:instrText>
      </w:r>
      <w:r>
        <w:rPr>
          <w:rFonts w:hint="eastAsia" w:ascii="仿宋_GB2312" w:hAnsi="仿宋_GB2312" w:eastAsia="仿宋_GB2312" w:cs="仿宋_GB2312"/>
          <w:color w:val="2D00C7"/>
          <w:sz w:val="24"/>
          <w:szCs w:val="24"/>
        </w:rPr>
        <w:fldChar w:fldCharType="separate"/>
      </w:r>
      <w:r>
        <w:rPr>
          <w:rFonts w:hint="eastAsia" w:ascii="仿宋_GB2312" w:hAnsi="仿宋_GB2312" w:eastAsia="仿宋_GB2312" w:cs="仿宋_GB2312"/>
          <w:color w:val="2D00C7"/>
          <w:sz w:val="24"/>
          <w:szCs w:val="24"/>
          <w:u w:val="single"/>
        </w:rPr>
        <w:t>www.la-res.cn</w:t>
      </w:r>
      <w:r>
        <w:rPr>
          <w:rFonts w:hint="eastAsia" w:ascii="仿宋_GB2312" w:hAnsi="仿宋_GB2312" w:eastAsia="仿宋_GB2312" w:cs="仿宋_GB2312"/>
          <w:color w:val="2D00C7"/>
          <w:sz w:val="24"/>
          <w:szCs w:val="24"/>
          <w:u w:val="single"/>
        </w:rPr>
        <w:fldChar w:fldCharType="end"/>
      </w:r>
      <w:r>
        <w:rPr>
          <w:rFonts w:hint="eastAsia" w:ascii="仿宋_GB2312" w:hAnsi="仿宋_GB2312" w:eastAsia="仿宋_GB2312" w:cs="仿宋_GB2312"/>
          <w:color w:val="2D00C7"/>
          <w:sz w:val="24"/>
          <w:szCs w:val="24"/>
        </w:rPr>
        <w:t>查询相关信息。</w:t>
      </w:r>
    </w:p>
    <w:p w14:paraId="12FC6403">
      <w:pPr>
        <w:keepNext w:val="0"/>
        <w:keepLines w:val="0"/>
        <w:pageBreakBefore w:val="0"/>
        <w:widowControl w:val="0"/>
        <w:kinsoku/>
        <w:wordWrap/>
        <w:overflowPunct/>
        <w:topLinePunct w:val="0"/>
        <w:autoSpaceDE/>
        <w:autoSpaceDN/>
        <w:bidi w:val="0"/>
        <w:adjustRightInd/>
        <w:snapToGrid w:val="0"/>
        <w:spacing w:beforeAutospacing="0" w:afterAutospacing="0" w:line="320" w:lineRule="exact"/>
        <w:ind w:left="0" w:leftChars="0" w:right="0" w:firstLine="480" w:firstLineChars="200"/>
        <w:jc w:val="left"/>
        <w:textAlignment w:val="auto"/>
        <w:rPr>
          <w:rFonts w:hint="eastAsia" w:ascii="仿宋_GB2312" w:hAnsi="仿宋_GB2312" w:eastAsia="仿宋_GB2312" w:cs="仿宋_GB2312"/>
          <w:color w:val="2D00C7"/>
          <w:sz w:val="24"/>
          <w:szCs w:val="24"/>
        </w:rPr>
      </w:pPr>
      <w:r>
        <w:rPr>
          <w:rFonts w:hint="eastAsia" w:ascii="仿宋_GB2312" w:hAnsi="仿宋_GB2312" w:eastAsia="仿宋_GB2312" w:cs="仿宋_GB2312"/>
          <w:color w:val="2D00C7"/>
          <w:sz w:val="24"/>
          <w:szCs w:val="24"/>
        </w:rPr>
        <w:t>5、请项目单位如实填报本表并按表格内容实施，如有变更，请及时修改合同，否则将影响项目的验收及后续经费的拨付。</w:t>
      </w:r>
    </w:p>
    <w:p w14:paraId="6ECFA514">
      <w:pPr>
        <w:keepNext w:val="0"/>
        <w:keepLines w:val="0"/>
        <w:pageBreakBefore w:val="0"/>
        <w:widowControl w:val="0"/>
        <w:kinsoku/>
        <w:wordWrap/>
        <w:overflowPunct/>
        <w:topLinePunct w:val="0"/>
        <w:autoSpaceDE/>
        <w:autoSpaceDN/>
        <w:bidi w:val="0"/>
        <w:adjustRightInd/>
        <w:snapToGrid w:val="0"/>
        <w:spacing w:beforeAutospacing="0" w:afterAutospacing="0" w:line="320" w:lineRule="exact"/>
        <w:ind w:left="0" w:leftChars="0" w:right="0" w:firstLine="480" w:firstLineChars="200"/>
        <w:jc w:val="left"/>
        <w:textAlignment w:val="auto"/>
        <w:rPr>
          <w:rFonts w:hint="eastAsia" w:ascii="仿宋_GB2312" w:hAnsi="仿宋_GB2312" w:eastAsia="仿宋_GB2312" w:cs="仿宋_GB2312"/>
          <w:color w:val="2D00C7"/>
          <w:sz w:val="24"/>
          <w:szCs w:val="24"/>
        </w:rPr>
      </w:pPr>
      <w:r>
        <w:rPr>
          <w:rFonts w:hint="eastAsia" w:ascii="仿宋_GB2312" w:hAnsi="仿宋_GB2312" w:eastAsia="仿宋_GB2312" w:cs="仿宋_GB2312"/>
          <w:color w:val="2D00C7"/>
          <w:sz w:val="24"/>
          <w:szCs w:val="24"/>
        </w:rPr>
        <w:t>6、市科委将定期对本表的实施情况进行检查，其结果将作为项目承担单位和承担人的科研诚信记录之一。</w:t>
      </w:r>
    </w:p>
    <w:p w14:paraId="2344D27F">
      <w:pPr>
        <w:keepNext w:val="0"/>
        <w:keepLines w:val="0"/>
        <w:pageBreakBefore w:val="0"/>
        <w:widowControl w:val="0"/>
        <w:kinsoku/>
        <w:wordWrap/>
        <w:overflowPunct/>
        <w:topLinePunct w:val="0"/>
        <w:autoSpaceDE/>
        <w:autoSpaceDN/>
        <w:bidi w:val="0"/>
        <w:adjustRightInd/>
        <w:snapToGrid w:val="0"/>
        <w:spacing w:beforeAutospacing="0" w:afterAutospacing="0" w:line="320" w:lineRule="exact"/>
        <w:ind w:left="0" w:leftChars="0" w:right="0" w:firstLine="480" w:firstLineChars="200"/>
        <w:jc w:val="left"/>
        <w:textAlignment w:val="auto"/>
        <w:rPr>
          <w:rFonts w:hint="eastAsia" w:ascii="仿宋_GB2312" w:hAnsi="仿宋_GB2312" w:eastAsia="仿宋_GB2312" w:cs="仿宋_GB2312"/>
          <w:color w:val="2D00C7"/>
          <w:sz w:val="24"/>
          <w:szCs w:val="24"/>
        </w:rPr>
      </w:pPr>
      <w:r>
        <w:rPr>
          <w:rFonts w:hint="eastAsia" w:ascii="仿宋_GB2312" w:hAnsi="仿宋_GB2312" w:eastAsia="仿宋_GB2312" w:cs="仿宋_GB2312"/>
          <w:color w:val="2D00C7"/>
          <w:sz w:val="24"/>
          <w:szCs w:val="24"/>
        </w:rPr>
        <w:t>7、有关实验动物许可证申领和管理的详细情况请参阅“上海科技”网站（www.stcsm.gov.cn）上的网上办事事项- A02.1实验动物生产许可证和A02.2实验动物使用许可证。</w:t>
      </w:r>
    </w:p>
    <w:p w14:paraId="66433EF0">
      <w:pPr>
        <w:keepNext w:val="0"/>
        <w:keepLines w:val="0"/>
        <w:pageBreakBefore w:val="0"/>
        <w:widowControl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sectPr>
          <w:pgSz w:w="16838" w:h="11906" w:orient="landscape"/>
          <w:pgMar w:top="1531" w:right="1361" w:bottom="1361" w:left="1361" w:header="284" w:footer="425" w:gutter="0"/>
          <w:pgNumType w:fmt="decimal"/>
          <w:cols w:space="425" w:num="1"/>
          <w:docGrid w:type="lines" w:linePitch="381" w:charSpace="0"/>
        </w:sectPr>
      </w:pPr>
    </w:p>
    <w:p w14:paraId="31E64C32">
      <w:pPr>
        <w:pageBreakBefore w:val="0"/>
        <w:widowControl w:val="0"/>
        <w:kinsoku/>
        <w:overflowPunct/>
        <w:topLinePunct w:val="0"/>
        <w:autoSpaceDE w:val="0"/>
        <w:autoSpaceDN w:val="0"/>
        <w:bidi w:val="0"/>
        <w:adjustRightInd/>
        <w:spacing w:line="560" w:lineRule="exact"/>
        <w:ind w:left="0" w:leftChars="0" w:firstLine="0" w:firstLineChars="0"/>
        <w:jc w:val="both"/>
        <w:textAlignment w:val="auto"/>
        <w:outlineLvl w:val="0"/>
        <w:rPr>
          <w:rFonts w:ascii="黑体" w:hAnsi="黑体" w:eastAsia="黑体" w:cs="Times New Roman"/>
          <w:kern w:val="2"/>
          <w:sz w:val="32"/>
          <w:szCs w:val="24"/>
          <w:lang w:val="en-US" w:eastAsia="zh-CN" w:bidi="ar-SA"/>
        </w:rPr>
      </w:pPr>
      <w:r>
        <w:rPr>
          <w:rFonts w:hint="eastAsia" w:ascii="黑体" w:hAnsi="黑体" w:eastAsia="黑体" w:cs="Times New Roman"/>
          <w:kern w:val="2"/>
          <w:sz w:val="32"/>
          <w:szCs w:val="24"/>
          <w:lang w:val="en-US" w:eastAsia="zh-CN" w:bidi="ar-SA"/>
        </w:rPr>
        <w:t>附表10 国际合作基本信息表</w:t>
      </w:r>
    </w:p>
    <w:p w14:paraId="7D20EFBD">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color w:val="2D00C7"/>
          <w:kern w:val="2"/>
          <w:sz w:val="24"/>
          <w:szCs w:val="24"/>
          <w:lang w:val="en-US" w:eastAsia="zh-CN" w:bidi="ar-SA"/>
        </w:rPr>
      </w:pPr>
      <w:r>
        <w:rPr>
          <w:rFonts w:hint="eastAsia" w:ascii="仿宋_GB2312" w:hAnsi="仿宋_GB2312" w:eastAsia="仿宋_GB2312" w:cs="仿宋_GB2312"/>
          <w:color w:val="2D00C7"/>
          <w:kern w:val="2"/>
          <w:sz w:val="24"/>
          <w:szCs w:val="24"/>
          <w:lang w:val="en-US" w:eastAsia="zh-CN" w:bidi="ar-SA"/>
        </w:rPr>
        <w:t>（申请市科委科研计划项目无国际合作内容的，毋须填写本表）</w:t>
      </w:r>
    </w:p>
    <w:tbl>
      <w:tblPr>
        <w:tblStyle w:val="18"/>
        <w:tblW w:w="908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8"/>
        <w:gridCol w:w="964"/>
        <w:gridCol w:w="1751"/>
        <w:gridCol w:w="956"/>
        <w:gridCol w:w="805"/>
        <w:gridCol w:w="155"/>
        <w:gridCol w:w="822"/>
        <w:gridCol w:w="410"/>
        <w:gridCol w:w="551"/>
        <w:gridCol w:w="838"/>
        <w:gridCol w:w="1250"/>
      </w:tblGrid>
      <w:tr w14:paraId="4ECB4A51">
        <w:trPr>
          <w:trHeight w:val="550" w:hRule="atLeast"/>
        </w:trPr>
        <w:tc>
          <w:tcPr>
            <w:tcW w:w="1542" w:type="dxa"/>
            <w:gridSpan w:val="2"/>
            <w:vAlign w:val="center"/>
          </w:tcPr>
          <w:p w14:paraId="44D7FFBD">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合作方式</w:t>
            </w:r>
          </w:p>
          <w:p w14:paraId="01782D11">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（可多选）</w:t>
            </w:r>
          </w:p>
        </w:tc>
        <w:tc>
          <w:tcPr>
            <w:tcW w:w="7538" w:type="dxa"/>
            <w:gridSpan w:val="9"/>
          </w:tcPr>
          <w:p w14:paraId="44DE48A2">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sym w:font="Wingdings" w:char="F0A8"/>
            </w:r>
            <w:r>
              <w:rPr>
                <w:rFonts w:hint="eastAsia" w:ascii="仿宋_GB2312" w:hAnsi="仿宋_GB2312" w:eastAsia="仿宋_GB2312" w:cs="仿宋_GB2312"/>
                <w:sz w:val="24"/>
                <w:szCs w:val="24"/>
              </w:rPr>
              <w:t xml:space="preserve"> 01人员交流；</w:t>
            </w:r>
            <w:r>
              <w:rPr>
                <w:rFonts w:hint="eastAsia" w:ascii="仿宋_GB2312" w:hAnsi="仿宋_GB2312" w:eastAsia="仿宋_GB2312" w:cs="仿宋_GB2312"/>
                <w:sz w:val="24"/>
                <w:szCs w:val="24"/>
              </w:rPr>
              <w:sym w:font="Wingdings" w:char="F0A8"/>
            </w:r>
            <w:r>
              <w:rPr>
                <w:rFonts w:hint="eastAsia" w:ascii="仿宋_GB2312" w:hAnsi="仿宋_GB2312" w:eastAsia="仿宋_GB2312" w:cs="仿宋_GB2312"/>
                <w:sz w:val="24"/>
                <w:szCs w:val="24"/>
              </w:rPr>
              <w:t xml:space="preserve"> 02信息资料交流；</w:t>
            </w:r>
            <w:r>
              <w:rPr>
                <w:rFonts w:hint="eastAsia" w:ascii="仿宋_GB2312" w:hAnsi="仿宋_GB2312" w:eastAsia="仿宋_GB2312" w:cs="仿宋_GB2312"/>
                <w:sz w:val="24"/>
                <w:szCs w:val="24"/>
              </w:rPr>
              <w:sym w:font="Wingdings" w:char="F0A8"/>
            </w:r>
            <w:r>
              <w:rPr>
                <w:rFonts w:hint="eastAsia" w:ascii="仿宋_GB2312" w:hAnsi="仿宋_GB2312" w:eastAsia="仿宋_GB2312" w:cs="仿宋_GB2312"/>
                <w:sz w:val="24"/>
                <w:szCs w:val="24"/>
              </w:rPr>
              <w:t xml:space="preserve"> 03技术咨询培训；</w:t>
            </w:r>
            <w:r>
              <w:rPr>
                <w:rFonts w:hint="eastAsia" w:ascii="仿宋_GB2312" w:hAnsi="仿宋_GB2312" w:eastAsia="仿宋_GB2312" w:cs="仿宋_GB2312"/>
                <w:sz w:val="24"/>
                <w:szCs w:val="24"/>
              </w:rPr>
              <w:sym w:font="Wingdings" w:char="F0A8"/>
            </w:r>
            <w:r>
              <w:rPr>
                <w:rFonts w:hint="eastAsia" w:ascii="仿宋_GB2312" w:hAnsi="仿宋_GB2312" w:eastAsia="仿宋_GB2312" w:cs="仿宋_GB2312"/>
                <w:sz w:val="24"/>
                <w:szCs w:val="24"/>
              </w:rPr>
              <w:t xml:space="preserve"> 04引进技术；</w:t>
            </w:r>
          </w:p>
          <w:p w14:paraId="13B07D97">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sym w:font="Wingdings" w:char="F0A8"/>
            </w:r>
            <w:r>
              <w:rPr>
                <w:rFonts w:hint="eastAsia" w:ascii="仿宋_GB2312" w:hAnsi="仿宋_GB2312" w:eastAsia="仿宋_GB2312" w:cs="仿宋_GB2312"/>
                <w:sz w:val="24"/>
                <w:szCs w:val="24"/>
              </w:rPr>
              <w:t xml:space="preserve"> 05引进人员（来华工作）；</w:t>
            </w:r>
            <w:r>
              <w:rPr>
                <w:rFonts w:hint="eastAsia" w:ascii="仿宋_GB2312" w:hAnsi="仿宋_GB2312" w:eastAsia="仿宋_GB2312" w:cs="仿宋_GB2312"/>
                <w:sz w:val="24"/>
                <w:szCs w:val="24"/>
              </w:rPr>
              <w:sym w:font="Wingdings" w:char="F0A8"/>
            </w:r>
            <w:r>
              <w:rPr>
                <w:rFonts w:hint="eastAsia" w:ascii="仿宋_GB2312" w:hAnsi="仿宋_GB2312" w:eastAsia="仿宋_GB2312" w:cs="仿宋_GB2312"/>
                <w:sz w:val="24"/>
                <w:szCs w:val="24"/>
              </w:rPr>
              <w:t xml:space="preserve"> 06引进设备；</w:t>
            </w:r>
            <w:r>
              <w:rPr>
                <w:rFonts w:hint="eastAsia" w:ascii="仿宋_GB2312" w:hAnsi="仿宋_GB2312" w:eastAsia="仿宋_GB2312" w:cs="仿宋_GB2312"/>
                <w:sz w:val="24"/>
                <w:szCs w:val="24"/>
              </w:rPr>
              <w:sym w:font="Wingdings" w:char="F0A8"/>
            </w:r>
            <w:r>
              <w:rPr>
                <w:rFonts w:hint="eastAsia" w:ascii="仿宋_GB2312" w:hAnsi="仿宋_GB2312" w:eastAsia="仿宋_GB2312" w:cs="仿宋_GB2312"/>
                <w:sz w:val="24"/>
                <w:szCs w:val="24"/>
              </w:rPr>
              <w:t xml:space="preserve"> 07分工合作研发；</w:t>
            </w:r>
          </w:p>
          <w:p w14:paraId="4F1661D4">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sym w:font="Wingdings" w:char="F0A8"/>
            </w:r>
            <w:r>
              <w:rPr>
                <w:rFonts w:hint="eastAsia" w:ascii="仿宋_GB2312" w:hAnsi="仿宋_GB2312" w:eastAsia="仿宋_GB2312" w:cs="仿宋_GB2312"/>
                <w:sz w:val="24"/>
                <w:szCs w:val="24"/>
              </w:rPr>
              <w:t xml:space="preserve"> 08国外资源利用；</w:t>
            </w:r>
            <w:r>
              <w:rPr>
                <w:rFonts w:hint="eastAsia" w:ascii="仿宋_GB2312" w:hAnsi="仿宋_GB2312" w:eastAsia="仿宋_GB2312" w:cs="仿宋_GB2312"/>
                <w:sz w:val="24"/>
                <w:szCs w:val="24"/>
              </w:rPr>
              <w:sym w:font="Wingdings" w:char="F0A8"/>
            </w:r>
            <w:r>
              <w:rPr>
                <w:rFonts w:hint="eastAsia" w:ascii="仿宋_GB2312" w:hAnsi="仿宋_GB2312" w:eastAsia="仿宋_GB2312" w:cs="仿宋_GB2312"/>
                <w:sz w:val="24"/>
                <w:szCs w:val="24"/>
              </w:rPr>
              <w:t xml:space="preserve"> 09其他形式</w:t>
            </w:r>
          </w:p>
        </w:tc>
      </w:tr>
      <w:tr w14:paraId="615CF72B">
        <w:trPr>
          <w:trHeight w:val="297" w:hRule="atLeast"/>
        </w:trPr>
        <w:tc>
          <w:tcPr>
            <w:tcW w:w="1542" w:type="dxa"/>
            <w:gridSpan w:val="2"/>
            <w:vAlign w:val="center"/>
          </w:tcPr>
          <w:p w14:paraId="487D25BB">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项目合作协议</w:t>
            </w:r>
          </w:p>
        </w:tc>
        <w:tc>
          <w:tcPr>
            <w:tcW w:w="7538" w:type="dxa"/>
            <w:gridSpan w:val="9"/>
          </w:tcPr>
          <w:p w14:paraId="6FF3B429">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sym w:font="Wingdings" w:char="F0A8"/>
            </w:r>
            <w:r>
              <w:rPr>
                <w:rFonts w:hint="eastAsia" w:ascii="仿宋_GB2312" w:hAnsi="仿宋_GB2312" w:eastAsia="仿宋_GB2312" w:cs="仿宋_GB2312"/>
                <w:sz w:val="24"/>
                <w:szCs w:val="24"/>
              </w:rPr>
              <w:t xml:space="preserve"> 有，名称：</w:t>
            </w:r>
            <w:r>
              <w:rPr>
                <w:rFonts w:hint="eastAsia" w:ascii="仿宋_GB2312" w:hAnsi="仿宋_GB2312" w:eastAsia="仿宋_GB2312" w:cs="仿宋_GB2312"/>
                <w:sz w:val="24"/>
                <w:szCs w:val="24"/>
                <w:u w:val="single"/>
              </w:rPr>
              <w:t xml:space="preserve">                          </w:t>
            </w:r>
            <w:r>
              <w:rPr>
                <w:rFonts w:hint="eastAsia" w:ascii="仿宋_GB2312" w:hAnsi="仿宋_GB2312" w:eastAsia="仿宋_GB2312" w:cs="仿宋_GB2312"/>
                <w:sz w:val="24"/>
                <w:szCs w:val="24"/>
              </w:rPr>
              <w:t>；</w:t>
            </w:r>
            <w:r>
              <w:rPr>
                <w:rFonts w:hint="eastAsia" w:ascii="仿宋_GB2312" w:hAnsi="仿宋_GB2312" w:eastAsia="仿宋_GB2312" w:cs="仿宋_GB2312"/>
                <w:sz w:val="24"/>
                <w:szCs w:val="24"/>
              </w:rPr>
              <w:sym w:font="Wingdings" w:char="F0A8"/>
            </w:r>
            <w:r>
              <w:rPr>
                <w:rFonts w:hint="eastAsia" w:ascii="仿宋_GB2312" w:hAnsi="仿宋_GB2312" w:eastAsia="仿宋_GB2312" w:cs="仿宋_GB2312"/>
                <w:sz w:val="24"/>
                <w:szCs w:val="24"/>
              </w:rPr>
              <w:t xml:space="preserve"> 无</w:t>
            </w:r>
          </w:p>
        </w:tc>
      </w:tr>
      <w:tr w14:paraId="000CEA3A">
        <w:trPr>
          <w:trHeight w:val="143" w:hRule="atLeast"/>
        </w:trPr>
        <w:tc>
          <w:tcPr>
            <w:tcW w:w="1542" w:type="dxa"/>
            <w:gridSpan w:val="2"/>
            <w:vAlign w:val="center"/>
          </w:tcPr>
          <w:p w14:paraId="5D7DBCC4">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项目合作</w:t>
            </w:r>
          </w:p>
          <w:p w14:paraId="761C6438">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起止日期</w:t>
            </w:r>
          </w:p>
        </w:tc>
        <w:tc>
          <w:tcPr>
            <w:tcW w:w="7538" w:type="dxa"/>
            <w:gridSpan w:val="9"/>
            <w:vAlign w:val="center"/>
          </w:tcPr>
          <w:p w14:paraId="5CB148A8">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240" w:firstLineChars="100"/>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u w:val="single"/>
              </w:rPr>
              <w:t xml:space="preserve">       </w:t>
            </w:r>
            <w:r>
              <w:rPr>
                <w:rFonts w:hint="eastAsia" w:ascii="仿宋_GB2312" w:hAnsi="仿宋_GB2312" w:eastAsia="仿宋_GB2312" w:cs="仿宋_GB2312"/>
                <w:sz w:val="24"/>
                <w:szCs w:val="24"/>
              </w:rPr>
              <w:t xml:space="preserve">年 </w:t>
            </w:r>
            <w:r>
              <w:rPr>
                <w:rFonts w:hint="eastAsia" w:ascii="仿宋_GB2312" w:hAnsi="仿宋_GB2312" w:eastAsia="仿宋_GB2312" w:cs="仿宋_GB2312"/>
                <w:sz w:val="24"/>
                <w:szCs w:val="24"/>
                <w:u w:val="single"/>
              </w:rPr>
              <w:t xml:space="preserve">    </w:t>
            </w:r>
            <w:r>
              <w:rPr>
                <w:rFonts w:hint="eastAsia" w:ascii="仿宋_GB2312" w:hAnsi="仿宋_GB2312" w:eastAsia="仿宋_GB2312" w:cs="仿宋_GB2312"/>
                <w:sz w:val="24"/>
                <w:szCs w:val="24"/>
              </w:rPr>
              <w:t xml:space="preserve">月  至  </w:t>
            </w:r>
            <w:r>
              <w:rPr>
                <w:rFonts w:hint="eastAsia" w:ascii="仿宋_GB2312" w:hAnsi="仿宋_GB2312" w:eastAsia="仿宋_GB2312" w:cs="仿宋_GB2312"/>
                <w:sz w:val="24"/>
                <w:szCs w:val="24"/>
                <w:u w:val="single"/>
              </w:rPr>
              <w:t xml:space="preserve">       </w:t>
            </w:r>
            <w:r>
              <w:rPr>
                <w:rFonts w:hint="eastAsia" w:ascii="仿宋_GB2312" w:hAnsi="仿宋_GB2312" w:eastAsia="仿宋_GB2312" w:cs="仿宋_GB2312"/>
                <w:sz w:val="24"/>
                <w:szCs w:val="24"/>
              </w:rPr>
              <w:t xml:space="preserve">年 </w:t>
            </w:r>
            <w:r>
              <w:rPr>
                <w:rFonts w:hint="eastAsia" w:ascii="仿宋_GB2312" w:hAnsi="仿宋_GB2312" w:eastAsia="仿宋_GB2312" w:cs="仿宋_GB2312"/>
                <w:sz w:val="24"/>
                <w:szCs w:val="24"/>
                <w:u w:val="single"/>
              </w:rPr>
              <w:t xml:space="preserve">    </w:t>
            </w:r>
            <w:r>
              <w:rPr>
                <w:rFonts w:hint="eastAsia" w:ascii="仿宋_GB2312" w:hAnsi="仿宋_GB2312" w:eastAsia="仿宋_GB2312" w:cs="仿宋_GB2312"/>
                <w:sz w:val="24"/>
                <w:szCs w:val="24"/>
              </w:rPr>
              <w:t xml:space="preserve">月                                 </w:t>
            </w:r>
          </w:p>
        </w:tc>
      </w:tr>
      <w:tr w14:paraId="2175419E">
        <w:trPr>
          <w:trHeight w:val="143" w:hRule="atLeast"/>
        </w:trPr>
        <w:tc>
          <w:tcPr>
            <w:tcW w:w="1542" w:type="dxa"/>
            <w:gridSpan w:val="2"/>
            <w:vAlign w:val="center"/>
          </w:tcPr>
          <w:p w14:paraId="119A790E">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合作国别</w:t>
            </w:r>
          </w:p>
        </w:tc>
        <w:tc>
          <w:tcPr>
            <w:tcW w:w="3512" w:type="dxa"/>
            <w:gridSpan w:val="3"/>
          </w:tcPr>
          <w:p w14:paraId="2792D8DE">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240" w:firstLineChars="100"/>
              <w:textAlignment w:val="auto"/>
              <w:rPr>
                <w:rFonts w:hint="eastAsia" w:ascii="仿宋_GB2312" w:hAnsi="仿宋_GB2312" w:eastAsia="仿宋_GB2312" w:cs="仿宋_GB2312"/>
                <w:sz w:val="24"/>
                <w:szCs w:val="24"/>
                <w:u w:val="single"/>
              </w:rPr>
            </w:pPr>
          </w:p>
        </w:tc>
        <w:tc>
          <w:tcPr>
            <w:tcW w:w="1938" w:type="dxa"/>
            <w:gridSpan w:val="4"/>
          </w:tcPr>
          <w:p w14:paraId="4CB75114">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省级行政区域名称</w:t>
            </w:r>
          </w:p>
        </w:tc>
        <w:tc>
          <w:tcPr>
            <w:tcW w:w="2088" w:type="dxa"/>
            <w:gridSpan w:val="2"/>
          </w:tcPr>
          <w:p w14:paraId="2BD2DDD2">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p>
        </w:tc>
      </w:tr>
      <w:tr w14:paraId="61ECF2E7">
        <w:trPr>
          <w:trHeight w:val="327" w:hRule="atLeast"/>
        </w:trPr>
        <w:tc>
          <w:tcPr>
            <w:tcW w:w="578" w:type="dxa"/>
            <w:vMerge w:val="restart"/>
          </w:tcPr>
          <w:p w14:paraId="7E56FB28">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合作外方</w:t>
            </w:r>
          </w:p>
        </w:tc>
        <w:tc>
          <w:tcPr>
            <w:tcW w:w="964" w:type="dxa"/>
          </w:tcPr>
          <w:p w14:paraId="112A9FD8">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机构名称</w:t>
            </w:r>
          </w:p>
        </w:tc>
        <w:tc>
          <w:tcPr>
            <w:tcW w:w="7538" w:type="dxa"/>
            <w:gridSpan w:val="9"/>
          </w:tcPr>
          <w:p w14:paraId="60FBE91C">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p>
        </w:tc>
      </w:tr>
      <w:tr w14:paraId="0D784863">
        <w:trPr>
          <w:trHeight w:val="307" w:hRule="atLeast"/>
        </w:trPr>
        <w:tc>
          <w:tcPr>
            <w:tcW w:w="578" w:type="dxa"/>
            <w:vMerge w:val="continue"/>
          </w:tcPr>
          <w:p w14:paraId="30FB1A34">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p>
        </w:tc>
        <w:tc>
          <w:tcPr>
            <w:tcW w:w="964" w:type="dxa"/>
          </w:tcPr>
          <w:p w14:paraId="1C92825A">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外方负责人</w:t>
            </w:r>
          </w:p>
        </w:tc>
        <w:tc>
          <w:tcPr>
            <w:tcW w:w="3512" w:type="dxa"/>
            <w:gridSpan w:val="3"/>
          </w:tcPr>
          <w:p w14:paraId="4C0B6E19">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p>
        </w:tc>
        <w:tc>
          <w:tcPr>
            <w:tcW w:w="1387" w:type="dxa"/>
            <w:gridSpan w:val="3"/>
          </w:tcPr>
          <w:p w14:paraId="66C8CB93">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电子邮件</w:t>
            </w:r>
          </w:p>
        </w:tc>
        <w:tc>
          <w:tcPr>
            <w:tcW w:w="2639" w:type="dxa"/>
            <w:gridSpan w:val="3"/>
          </w:tcPr>
          <w:p w14:paraId="64C84E6C">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p>
        </w:tc>
      </w:tr>
      <w:tr w14:paraId="6FCE0632">
        <w:trPr>
          <w:trHeight w:val="297" w:hRule="atLeast"/>
        </w:trPr>
        <w:tc>
          <w:tcPr>
            <w:tcW w:w="578" w:type="dxa"/>
            <w:vMerge w:val="continue"/>
          </w:tcPr>
          <w:p w14:paraId="650E75C2">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p>
        </w:tc>
        <w:tc>
          <w:tcPr>
            <w:tcW w:w="964" w:type="dxa"/>
          </w:tcPr>
          <w:p w14:paraId="338B828F">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通讯地址</w:t>
            </w:r>
          </w:p>
        </w:tc>
        <w:tc>
          <w:tcPr>
            <w:tcW w:w="7538" w:type="dxa"/>
            <w:gridSpan w:val="9"/>
          </w:tcPr>
          <w:p w14:paraId="6A56D94C">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p>
        </w:tc>
      </w:tr>
      <w:tr w14:paraId="38D3DEC6">
        <w:trPr>
          <w:trHeight w:val="306" w:hRule="atLeast"/>
        </w:trPr>
        <w:tc>
          <w:tcPr>
            <w:tcW w:w="578" w:type="dxa"/>
            <w:vMerge w:val="continue"/>
          </w:tcPr>
          <w:p w14:paraId="347E3745">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p>
        </w:tc>
        <w:tc>
          <w:tcPr>
            <w:tcW w:w="964" w:type="dxa"/>
          </w:tcPr>
          <w:p w14:paraId="6B04AB03">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传    真</w:t>
            </w:r>
          </w:p>
        </w:tc>
        <w:tc>
          <w:tcPr>
            <w:tcW w:w="3512" w:type="dxa"/>
            <w:gridSpan w:val="3"/>
          </w:tcPr>
          <w:p w14:paraId="648EA1FA">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p>
        </w:tc>
        <w:tc>
          <w:tcPr>
            <w:tcW w:w="977" w:type="dxa"/>
            <w:gridSpan w:val="2"/>
          </w:tcPr>
          <w:p w14:paraId="59659009">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电   话</w:t>
            </w:r>
          </w:p>
        </w:tc>
        <w:tc>
          <w:tcPr>
            <w:tcW w:w="3049" w:type="dxa"/>
            <w:gridSpan w:val="4"/>
          </w:tcPr>
          <w:p w14:paraId="3CFA3FF5">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p>
        </w:tc>
      </w:tr>
      <w:tr w14:paraId="4668876E">
        <w:trPr>
          <w:trHeight w:val="290" w:hRule="atLeast"/>
        </w:trPr>
        <w:tc>
          <w:tcPr>
            <w:tcW w:w="578" w:type="dxa"/>
            <w:vMerge w:val="restart"/>
            <w:vAlign w:val="center"/>
          </w:tcPr>
          <w:p w14:paraId="03818008">
            <w:pPr>
              <w:keepNext w:val="0"/>
              <w:keepLines w:val="0"/>
              <w:pageBreakBefore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外方合作投入</w:t>
            </w:r>
          </w:p>
          <w:p w14:paraId="060848DB">
            <w:pPr>
              <w:keepNext w:val="0"/>
              <w:keepLines w:val="0"/>
              <w:pageBreakBefore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与</w:t>
            </w:r>
          </w:p>
          <w:p w14:paraId="08CE572C">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人才技术引进</w:t>
            </w:r>
          </w:p>
        </w:tc>
        <w:tc>
          <w:tcPr>
            <w:tcW w:w="964" w:type="dxa"/>
          </w:tcPr>
          <w:p w14:paraId="53607B39">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1、经费投入</w:t>
            </w:r>
          </w:p>
        </w:tc>
        <w:tc>
          <w:tcPr>
            <w:tcW w:w="4489" w:type="dxa"/>
            <w:gridSpan w:val="5"/>
          </w:tcPr>
          <w:p w14:paraId="1FD71A5D">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用于中方：</w:t>
            </w:r>
            <w:r>
              <w:rPr>
                <w:rFonts w:hint="eastAsia" w:ascii="仿宋_GB2312" w:hAnsi="仿宋_GB2312" w:eastAsia="仿宋_GB2312" w:cs="仿宋_GB2312"/>
                <w:sz w:val="24"/>
                <w:szCs w:val="24"/>
                <w:u w:val="single"/>
              </w:rPr>
              <w:t xml:space="preserve">         </w:t>
            </w:r>
            <w:r>
              <w:rPr>
                <w:rFonts w:hint="eastAsia" w:ascii="仿宋_GB2312" w:hAnsi="仿宋_GB2312" w:eastAsia="仿宋_GB2312" w:cs="仿宋_GB2312"/>
                <w:sz w:val="24"/>
                <w:szCs w:val="24"/>
              </w:rPr>
              <w:t xml:space="preserve"> 万元（人民币）</w:t>
            </w:r>
          </w:p>
        </w:tc>
        <w:tc>
          <w:tcPr>
            <w:tcW w:w="3049" w:type="dxa"/>
            <w:gridSpan w:val="4"/>
          </w:tcPr>
          <w:p w14:paraId="531DE605">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用于外方：</w:t>
            </w:r>
            <w:r>
              <w:rPr>
                <w:rFonts w:hint="eastAsia" w:ascii="仿宋_GB2312" w:hAnsi="仿宋_GB2312" w:eastAsia="仿宋_GB2312" w:cs="仿宋_GB2312"/>
                <w:sz w:val="24"/>
                <w:szCs w:val="24"/>
                <w:u w:val="single"/>
              </w:rPr>
              <w:t xml:space="preserve">             </w:t>
            </w:r>
            <w:r>
              <w:rPr>
                <w:rFonts w:hint="eastAsia" w:ascii="仿宋_GB2312" w:hAnsi="仿宋_GB2312" w:eastAsia="仿宋_GB2312" w:cs="仿宋_GB2312"/>
                <w:sz w:val="24"/>
                <w:szCs w:val="24"/>
              </w:rPr>
              <w:t xml:space="preserve"> 万元（人民币）</w:t>
            </w:r>
          </w:p>
        </w:tc>
      </w:tr>
      <w:tr w14:paraId="03B973ED">
        <w:trPr>
          <w:trHeight w:val="140" w:hRule="atLeast"/>
        </w:trPr>
        <w:tc>
          <w:tcPr>
            <w:tcW w:w="578" w:type="dxa"/>
            <w:vMerge w:val="continue"/>
          </w:tcPr>
          <w:p w14:paraId="35519AFF">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p>
        </w:tc>
        <w:tc>
          <w:tcPr>
            <w:tcW w:w="964" w:type="dxa"/>
          </w:tcPr>
          <w:p w14:paraId="5EB128B3">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2、关键技术</w:t>
            </w:r>
          </w:p>
        </w:tc>
        <w:tc>
          <w:tcPr>
            <w:tcW w:w="1751" w:type="dxa"/>
          </w:tcPr>
          <w:p w14:paraId="0F74C98F">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引进</w:t>
            </w:r>
            <w:r>
              <w:rPr>
                <w:rFonts w:hint="eastAsia" w:ascii="仿宋_GB2312" w:hAnsi="仿宋_GB2312" w:cs="仿宋_GB2312"/>
                <w:sz w:val="24"/>
                <w:szCs w:val="24"/>
                <w:lang w:eastAsia="zh-CN"/>
              </w:rPr>
              <w:t>：</w:t>
            </w:r>
            <w:r>
              <w:rPr>
                <w:rFonts w:hint="eastAsia" w:ascii="仿宋_GB2312" w:hAnsi="仿宋_GB2312" w:eastAsia="仿宋_GB2312" w:cs="仿宋_GB2312"/>
                <w:sz w:val="24"/>
                <w:szCs w:val="24"/>
                <w:u w:val="single"/>
              </w:rPr>
              <w:t xml:space="preserve">     </w:t>
            </w:r>
            <w:r>
              <w:rPr>
                <w:rFonts w:hint="eastAsia" w:ascii="仿宋_GB2312" w:hAnsi="仿宋_GB2312" w:eastAsia="仿宋_GB2312" w:cs="仿宋_GB2312"/>
                <w:sz w:val="24"/>
                <w:szCs w:val="24"/>
              </w:rPr>
              <w:t>项</w:t>
            </w:r>
          </w:p>
        </w:tc>
        <w:tc>
          <w:tcPr>
            <w:tcW w:w="1916" w:type="dxa"/>
            <w:gridSpan w:val="3"/>
          </w:tcPr>
          <w:p w14:paraId="509B977C">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u w:val="single"/>
              </w:rPr>
            </w:pPr>
            <w:r>
              <w:rPr>
                <w:rFonts w:hint="eastAsia" w:ascii="仿宋_GB2312" w:hAnsi="仿宋_GB2312" w:eastAsia="仿宋_GB2312" w:cs="仿宋_GB2312"/>
                <w:sz w:val="24"/>
                <w:szCs w:val="24"/>
              </w:rPr>
              <w:t>技术名称</w:t>
            </w:r>
          </w:p>
        </w:tc>
        <w:tc>
          <w:tcPr>
            <w:tcW w:w="3871" w:type="dxa"/>
            <w:gridSpan w:val="5"/>
          </w:tcPr>
          <w:p w14:paraId="07531D05">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u w:val="single"/>
              </w:rPr>
            </w:pPr>
          </w:p>
        </w:tc>
      </w:tr>
      <w:tr w14:paraId="6227FC2D">
        <w:trPr>
          <w:trHeight w:val="170" w:hRule="atLeast"/>
        </w:trPr>
        <w:tc>
          <w:tcPr>
            <w:tcW w:w="578" w:type="dxa"/>
            <w:vMerge w:val="continue"/>
          </w:tcPr>
          <w:p w14:paraId="1E898F8D">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p>
        </w:tc>
        <w:tc>
          <w:tcPr>
            <w:tcW w:w="964" w:type="dxa"/>
            <w:vMerge w:val="restart"/>
            <w:vAlign w:val="center"/>
          </w:tcPr>
          <w:p w14:paraId="7E3FC7B2">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3、关键设备</w:t>
            </w:r>
          </w:p>
        </w:tc>
        <w:tc>
          <w:tcPr>
            <w:tcW w:w="1751" w:type="dxa"/>
          </w:tcPr>
          <w:p w14:paraId="5E2A98F2">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投入</w:t>
            </w:r>
            <w:r>
              <w:rPr>
                <w:rFonts w:hint="eastAsia" w:ascii="仿宋_GB2312" w:hAnsi="仿宋_GB2312" w:cs="仿宋_GB2312"/>
                <w:sz w:val="24"/>
                <w:szCs w:val="24"/>
                <w:lang w:eastAsia="zh-CN"/>
              </w:rPr>
              <w:t>：</w:t>
            </w:r>
            <w:r>
              <w:rPr>
                <w:rFonts w:hint="eastAsia" w:ascii="仿宋_GB2312" w:hAnsi="仿宋_GB2312" w:eastAsia="仿宋_GB2312" w:cs="仿宋_GB2312"/>
                <w:sz w:val="24"/>
                <w:szCs w:val="24"/>
                <w:u w:val="single"/>
              </w:rPr>
              <w:t xml:space="preserve">     </w:t>
            </w:r>
            <w:r>
              <w:rPr>
                <w:rFonts w:hint="eastAsia" w:ascii="仿宋_GB2312" w:hAnsi="仿宋_GB2312" w:eastAsia="仿宋_GB2312" w:cs="仿宋_GB2312"/>
                <w:sz w:val="24"/>
                <w:szCs w:val="24"/>
              </w:rPr>
              <w:t>项</w:t>
            </w:r>
          </w:p>
        </w:tc>
        <w:tc>
          <w:tcPr>
            <w:tcW w:w="1916" w:type="dxa"/>
            <w:gridSpan w:val="3"/>
          </w:tcPr>
          <w:p w14:paraId="7256CE3D">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设备名称</w:t>
            </w:r>
          </w:p>
        </w:tc>
        <w:tc>
          <w:tcPr>
            <w:tcW w:w="3871" w:type="dxa"/>
            <w:gridSpan w:val="5"/>
          </w:tcPr>
          <w:p w14:paraId="26103A49">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p>
        </w:tc>
      </w:tr>
      <w:tr w14:paraId="27A17F3C">
        <w:trPr>
          <w:trHeight w:val="200" w:hRule="atLeast"/>
        </w:trPr>
        <w:tc>
          <w:tcPr>
            <w:tcW w:w="578" w:type="dxa"/>
            <w:vMerge w:val="continue"/>
          </w:tcPr>
          <w:p w14:paraId="3C5ACFB5">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p>
        </w:tc>
        <w:tc>
          <w:tcPr>
            <w:tcW w:w="964" w:type="dxa"/>
            <w:vMerge w:val="continue"/>
          </w:tcPr>
          <w:p w14:paraId="1AB96CB0">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p>
        </w:tc>
        <w:tc>
          <w:tcPr>
            <w:tcW w:w="1751" w:type="dxa"/>
          </w:tcPr>
          <w:p w14:paraId="025BB472">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引进</w:t>
            </w:r>
            <w:r>
              <w:rPr>
                <w:rFonts w:hint="eastAsia" w:ascii="仿宋_GB2312" w:hAnsi="仿宋_GB2312" w:cs="仿宋_GB2312"/>
                <w:sz w:val="24"/>
                <w:szCs w:val="24"/>
                <w:lang w:eastAsia="zh-CN"/>
              </w:rPr>
              <w:t>：</w:t>
            </w:r>
            <w:r>
              <w:rPr>
                <w:rFonts w:hint="eastAsia" w:ascii="仿宋_GB2312" w:hAnsi="仿宋_GB2312" w:eastAsia="仿宋_GB2312" w:cs="仿宋_GB2312"/>
                <w:sz w:val="24"/>
                <w:szCs w:val="24"/>
                <w:u w:val="single"/>
              </w:rPr>
              <w:t xml:space="preserve">     </w:t>
            </w:r>
            <w:r>
              <w:rPr>
                <w:rFonts w:hint="eastAsia" w:ascii="仿宋_GB2312" w:hAnsi="仿宋_GB2312" w:eastAsia="仿宋_GB2312" w:cs="仿宋_GB2312"/>
                <w:sz w:val="24"/>
                <w:szCs w:val="24"/>
              </w:rPr>
              <w:t>项</w:t>
            </w:r>
          </w:p>
        </w:tc>
        <w:tc>
          <w:tcPr>
            <w:tcW w:w="1916" w:type="dxa"/>
            <w:gridSpan w:val="3"/>
          </w:tcPr>
          <w:p w14:paraId="019F1677">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设备名称</w:t>
            </w:r>
          </w:p>
        </w:tc>
        <w:tc>
          <w:tcPr>
            <w:tcW w:w="3871" w:type="dxa"/>
            <w:gridSpan w:val="5"/>
          </w:tcPr>
          <w:p w14:paraId="1D6B0A80">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p>
        </w:tc>
      </w:tr>
      <w:tr w14:paraId="1939E7C7">
        <w:trPr>
          <w:trHeight w:val="210" w:hRule="atLeast"/>
        </w:trPr>
        <w:tc>
          <w:tcPr>
            <w:tcW w:w="578" w:type="dxa"/>
            <w:vMerge w:val="continue"/>
          </w:tcPr>
          <w:p w14:paraId="04E15F4E">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p>
        </w:tc>
        <w:tc>
          <w:tcPr>
            <w:tcW w:w="964" w:type="dxa"/>
            <w:vMerge w:val="restart"/>
          </w:tcPr>
          <w:p w14:paraId="7017A5C4">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4、特有资源、信息、资料投入</w:t>
            </w:r>
          </w:p>
        </w:tc>
        <w:tc>
          <w:tcPr>
            <w:tcW w:w="1751" w:type="dxa"/>
          </w:tcPr>
          <w:p w14:paraId="7168116D">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物种数</w:t>
            </w:r>
          </w:p>
        </w:tc>
        <w:tc>
          <w:tcPr>
            <w:tcW w:w="956" w:type="dxa"/>
          </w:tcPr>
          <w:p w14:paraId="74B0034F">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样本量</w:t>
            </w:r>
          </w:p>
        </w:tc>
        <w:tc>
          <w:tcPr>
            <w:tcW w:w="960" w:type="dxa"/>
            <w:gridSpan w:val="2"/>
          </w:tcPr>
          <w:p w14:paraId="3EAC78FA">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数据量</w:t>
            </w:r>
          </w:p>
        </w:tc>
        <w:tc>
          <w:tcPr>
            <w:tcW w:w="1232" w:type="dxa"/>
            <w:gridSpan w:val="2"/>
          </w:tcPr>
          <w:p w14:paraId="5157B4BF">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图纸数</w:t>
            </w:r>
          </w:p>
        </w:tc>
        <w:tc>
          <w:tcPr>
            <w:tcW w:w="2639" w:type="dxa"/>
            <w:gridSpan w:val="3"/>
          </w:tcPr>
          <w:p w14:paraId="7DA6F0B4">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其他（名称：</w:t>
            </w:r>
            <w:r>
              <w:rPr>
                <w:rFonts w:hint="eastAsia" w:ascii="仿宋_GB2312" w:hAnsi="仿宋_GB2312" w:eastAsia="仿宋_GB2312" w:cs="仿宋_GB2312"/>
                <w:sz w:val="24"/>
                <w:szCs w:val="24"/>
                <w:u w:val="single"/>
              </w:rPr>
              <w:t xml:space="preserve">                     </w:t>
            </w:r>
            <w:r>
              <w:rPr>
                <w:rFonts w:hint="eastAsia" w:ascii="仿宋_GB2312" w:hAnsi="仿宋_GB2312" w:eastAsia="仿宋_GB2312" w:cs="仿宋_GB2312"/>
                <w:sz w:val="24"/>
                <w:szCs w:val="24"/>
              </w:rPr>
              <w:t>）</w:t>
            </w:r>
          </w:p>
        </w:tc>
      </w:tr>
      <w:tr w14:paraId="40A592BD">
        <w:trPr>
          <w:trHeight w:val="240" w:hRule="atLeast"/>
        </w:trPr>
        <w:tc>
          <w:tcPr>
            <w:tcW w:w="578" w:type="dxa"/>
            <w:vMerge w:val="continue"/>
          </w:tcPr>
          <w:p w14:paraId="29D3B74E">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p>
        </w:tc>
        <w:tc>
          <w:tcPr>
            <w:tcW w:w="964" w:type="dxa"/>
            <w:vMerge w:val="continue"/>
          </w:tcPr>
          <w:p w14:paraId="43B50295">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p>
        </w:tc>
        <w:tc>
          <w:tcPr>
            <w:tcW w:w="1751" w:type="dxa"/>
          </w:tcPr>
          <w:p w14:paraId="46184C94">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p>
        </w:tc>
        <w:tc>
          <w:tcPr>
            <w:tcW w:w="956" w:type="dxa"/>
          </w:tcPr>
          <w:p w14:paraId="6A07666C">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p>
        </w:tc>
        <w:tc>
          <w:tcPr>
            <w:tcW w:w="960" w:type="dxa"/>
            <w:gridSpan w:val="2"/>
          </w:tcPr>
          <w:p w14:paraId="43D94272">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p>
        </w:tc>
        <w:tc>
          <w:tcPr>
            <w:tcW w:w="1232" w:type="dxa"/>
            <w:gridSpan w:val="2"/>
          </w:tcPr>
          <w:p w14:paraId="1F772AD4">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p>
        </w:tc>
        <w:tc>
          <w:tcPr>
            <w:tcW w:w="2639" w:type="dxa"/>
            <w:gridSpan w:val="3"/>
          </w:tcPr>
          <w:p w14:paraId="1853804B">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p>
        </w:tc>
      </w:tr>
      <w:tr w14:paraId="43D66C85">
        <w:trPr>
          <w:trHeight w:val="250" w:hRule="atLeast"/>
        </w:trPr>
        <w:tc>
          <w:tcPr>
            <w:tcW w:w="578" w:type="dxa"/>
            <w:vMerge w:val="continue"/>
          </w:tcPr>
          <w:p w14:paraId="5A7C6F58">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964" w:type="dxa"/>
            <w:vMerge w:val="restart"/>
            <w:vAlign w:val="center"/>
          </w:tcPr>
          <w:p w14:paraId="7715F0C2">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5、人才引进</w:t>
            </w:r>
          </w:p>
        </w:tc>
        <w:tc>
          <w:tcPr>
            <w:tcW w:w="1751" w:type="dxa"/>
          </w:tcPr>
          <w:p w14:paraId="12C32AF4">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r>
              <w:rPr>
                <w:rFonts w:hint="eastAsia" w:ascii="仿宋_GB2312" w:hAnsi="仿宋_GB2312" w:cs="仿宋_GB2312"/>
                <w:sz w:val="24"/>
                <w:szCs w:val="24"/>
                <w:lang w:val="en-US" w:eastAsia="zh-CN"/>
              </w:rPr>
              <w:t>合</w:t>
            </w:r>
            <w:r>
              <w:rPr>
                <w:rFonts w:hint="eastAsia" w:ascii="仿宋_GB2312" w:hAnsi="仿宋_GB2312" w:eastAsia="仿宋_GB2312" w:cs="仿宋_GB2312"/>
                <w:sz w:val="24"/>
                <w:szCs w:val="24"/>
              </w:rPr>
              <w:t>计：</w:t>
            </w:r>
            <w:r>
              <w:rPr>
                <w:rFonts w:hint="eastAsia" w:ascii="仿宋_GB2312" w:hAnsi="仿宋_GB2312" w:eastAsia="仿宋_GB2312" w:cs="仿宋_GB2312"/>
                <w:sz w:val="24"/>
                <w:szCs w:val="24"/>
              </w:rPr>
              <w:br w:type="textWrapping"/>
            </w:r>
            <w:r>
              <w:rPr>
                <w:rFonts w:hint="eastAsia" w:ascii="仿宋_GB2312" w:hAnsi="仿宋_GB2312" w:eastAsia="仿宋_GB2312" w:cs="仿宋_GB2312"/>
                <w:sz w:val="24"/>
                <w:szCs w:val="24"/>
                <w:u w:val="single"/>
              </w:rPr>
              <w:t xml:space="preserve">      </w:t>
            </w:r>
            <w:r>
              <w:rPr>
                <w:rFonts w:hint="eastAsia" w:ascii="仿宋_GB2312" w:hAnsi="仿宋_GB2312" w:eastAsia="仿宋_GB2312" w:cs="仿宋_GB2312"/>
                <w:sz w:val="24"/>
                <w:szCs w:val="24"/>
              </w:rPr>
              <w:t>人</w:t>
            </w:r>
          </w:p>
        </w:tc>
        <w:tc>
          <w:tcPr>
            <w:tcW w:w="1916" w:type="dxa"/>
            <w:gridSpan w:val="3"/>
          </w:tcPr>
          <w:p w14:paraId="1D4A624E">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博士后</w:t>
            </w:r>
            <w:r>
              <w:rPr>
                <w:rFonts w:hint="eastAsia" w:ascii="仿宋_GB2312" w:hAnsi="仿宋_GB2312" w:eastAsia="仿宋_GB2312" w:cs="仿宋_GB2312"/>
                <w:sz w:val="24"/>
                <w:szCs w:val="24"/>
                <w:u w:val="single"/>
              </w:rPr>
              <w:t xml:space="preserve">      </w:t>
            </w:r>
            <w:r>
              <w:rPr>
                <w:rFonts w:hint="eastAsia" w:ascii="仿宋_GB2312" w:hAnsi="仿宋_GB2312" w:eastAsia="仿宋_GB2312" w:cs="仿宋_GB2312"/>
                <w:sz w:val="24"/>
                <w:szCs w:val="24"/>
              </w:rPr>
              <w:t xml:space="preserve"> </w:t>
            </w:r>
          </w:p>
        </w:tc>
        <w:tc>
          <w:tcPr>
            <w:tcW w:w="1232" w:type="dxa"/>
            <w:gridSpan w:val="2"/>
          </w:tcPr>
          <w:p w14:paraId="5630DB6A">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博士</w:t>
            </w:r>
            <w:r>
              <w:rPr>
                <w:rFonts w:hint="eastAsia" w:ascii="仿宋_GB2312" w:hAnsi="仿宋_GB2312" w:eastAsia="仿宋_GB2312" w:cs="仿宋_GB2312"/>
                <w:sz w:val="24"/>
                <w:szCs w:val="24"/>
                <w:u w:val="single"/>
              </w:rPr>
              <w:t xml:space="preserve">    </w:t>
            </w:r>
          </w:p>
        </w:tc>
        <w:tc>
          <w:tcPr>
            <w:tcW w:w="1389" w:type="dxa"/>
            <w:gridSpan w:val="2"/>
          </w:tcPr>
          <w:p w14:paraId="2CB48338">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硕士</w:t>
            </w:r>
            <w:r>
              <w:rPr>
                <w:rFonts w:hint="eastAsia" w:ascii="仿宋_GB2312" w:hAnsi="仿宋_GB2312" w:eastAsia="仿宋_GB2312" w:cs="仿宋_GB2312"/>
                <w:sz w:val="24"/>
                <w:szCs w:val="24"/>
                <w:u w:val="single"/>
              </w:rPr>
              <w:t xml:space="preserve">     </w:t>
            </w:r>
          </w:p>
        </w:tc>
        <w:tc>
          <w:tcPr>
            <w:tcW w:w="1250" w:type="dxa"/>
          </w:tcPr>
          <w:p w14:paraId="005C0182">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技术工程人员</w:t>
            </w:r>
            <w:r>
              <w:rPr>
                <w:rFonts w:hint="eastAsia" w:ascii="仿宋_GB2312" w:hAnsi="仿宋_GB2312" w:eastAsia="仿宋_GB2312" w:cs="仿宋_GB2312"/>
                <w:sz w:val="24"/>
                <w:szCs w:val="24"/>
                <w:u w:val="single"/>
              </w:rPr>
              <w:t xml:space="preserve">    </w:t>
            </w:r>
          </w:p>
        </w:tc>
      </w:tr>
      <w:tr w14:paraId="66337A53">
        <w:trPr>
          <w:trHeight w:val="300" w:hRule="atLeast"/>
        </w:trPr>
        <w:tc>
          <w:tcPr>
            <w:tcW w:w="578" w:type="dxa"/>
            <w:vMerge w:val="continue"/>
          </w:tcPr>
          <w:p w14:paraId="6776B51F">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964" w:type="dxa"/>
            <w:vMerge w:val="continue"/>
            <w:vAlign w:val="center"/>
          </w:tcPr>
          <w:p w14:paraId="0EDC8398">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3667" w:type="dxa"/>
            <w:gridSpan w:val="4"/>
          </w:tcPr>
          <w:p w14:paraId="120E945C">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r>
              <w:rPr>
                <w:rFonts w:hint="eastAsia" w:ascii="仿宋_GB2312" w:hAnsi="仿宋_GB2312" w:cs="仿宋_GB2312"/>
                <w:sz w:val="24"/>
                <w:szCs w:val="24"/>
                <w:lang w:val="en-US" w:eastAsia="zh-CN"/>
              </w:rPr>
              <w:t>合</w:t>
            </w:r>
            <w:r>
              <w:rPr>
                <w:rFonts w:hint="eastAsia" w:ascii="仿宋_GB2312" w:hAnsi="仿宋_GB2312" w:eastAsia="仿宋_GB2312" w:cs="仿宋_GB2312"/>
                <w:sz w:val="24"/>
                <w:szCs w:val="24"/>
              </w:rPr>
              <w:t>计来华工作：</w:t>
            </w:r>
            <w:r>
              <w:rPr>
                <w:rFonts w:hint="eastAsia" w:ascii="仿宋_GB2312" w:hAnsi="仿宋_GB2312" w:eastAsia="仿宋_GB2312" w:cs="仿宋_GB2312"/>
                <w:sz w:val="24"/>
                <w:szCs w:val="24"/>
                <w:u w:val="single"/>
              </w:rPr>
              <w:t xml:space="preserve">       </w:t>
            </w:r>
            <w:r>
              <w:rPr>
                <w:rFonts w:hint="eastAsia" w:ascii="仿宋_GB2312" w:hAnsi="仿宋_GB2312" w:eastAsia="仿宋_GB2312" w:cs="仿宋_GB2312"/>
                <w:sz w:val="24"/>
                <w:szCs w:val="24"/>
              </w:rPr>
              <w:t>人月</w:t>
            </w:r>
          </w:p>
        </w:tc>
        <w:tc>
          <w:tcPr>
            <w:tcW w:w="3871" w:type="dxa"/>
            <w:gridSpan w:val="5"/>
          </w:tcPr>
          <w:p w14:paraId="5BF3A74B">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其中：正高级职称人员</w:t>
            </w:r>
            <w:r>
              <w:rPr>
                <w:rFonts w:hint="eastAsia" w:ascii="仿宋_GB2312" w:hAnsi="仿宋_GB2312" w:eastAsia="仿宋_GB2312" w:cs="仿宋_GB2312"/>
                <w:sz w:val="24"/>
                <w:szCs w:val="24"/>
                <w:u w:val="single"/>
              </w:rPr>
              <w:t xml:space="preserve">     </w:t>
            </w:r>
            <w:r>
              <w:rPr>
                <w:rFonts w:hint="eastAsia" w:ascii="仿宋_GB2312" w:hAnsi="仿宋_GB2312" w:eastAsia="仿宋_GB2312" w:cs="仿宋_GB2312"/>
                <w:sz w:val="24"/>
                <w:szCs w:val="24"/>
              </w:rPr>
              <w:t>人，来华工作</w:t>
            </w:r>
            <w:r>
              <w:rPr>
                <w:rFonts w:hint="eastAsia" w:ascii="仿宋_GB2312" w:hAnsi="仿宋_GB2312" w:eastAsia="仿宋_GB2312" w:cs="仿宋_GB2312"/>
                <w:sz w:val="24"/>
                <w:szCs w:val="24"/>
                <w:u w:val="single"/>
              </w:rPr>
              <w:t xml:space="preserve">    </w:t>
            </w:r>
            <w:r>
              <w:rPr>
                <w:rFonts w:hint="eastAsia" w:ascii="仿宋_GB2312" w:hAnsi="仿宋_GB2312" w:eastAsia="仿宋_GB2312" w:cs="仿宋_GB2312"/>
                <w:sz w:val="24"/>
                <w:szCs w:val="24"/>
              </w:rPr>
              <w:t>人月</w:t>
            </w:r>
          </w:p>
        </w:tc>
      </w:tr>
      <w:tr w14:paraId="5BFD7543">
        <w:trPr>
          <w:trHeight w:val="2260" w:hRule="atLeast"/>
        </w:trPr>
        <w:tc>
          <w:tcPr>
            <w:tcW w:w="1542" w:type="dxa"/>
            <w:gridSpan w:val="2"/>
            <w:vAlign w:val="center"/>
          </w:tcPr>
          <w:p w14:paraId="54AD5D22">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 xml:space="preserve">合作外方主要成员简历（学历、工作经历、论著、近三年重要成果及获奖情况等） </w:t>
            </w:r>
            <w:r>
              <w:rPr>
                <w:rFonts w:hint="eastAsia" w:ascii="仿宋_GB2312" w:hAnsi="仿宋_GB2312" w:cs="仿宋_GB2312"/>
                <w:sz w:val="24"/>
                <w:szCs w:val="24"/>
                <w:lang w:eastAsia="zh-CN"/>
              </w:rPr>
              <w:t>（</w:t>
            </w:r>
            <w:r>
              <w:rPr>
                <w:rFonts w:hint="eastAsia" w:ascii="仿宋_GB2312" w:hAnsi="仿宋_GB2312" w:eastAsia="仿宋_GB2312" w:cs="仿宋_GB2312"/>
                <w:sz w:val="24"/>
                <w:szCs w:val="24"/>
              </w:rPr>
              <w:t>300字以内</w:t>
            </w:r>
            <w:r>
              <w:rPr>
                <w:rFonts w:hint="eastAsia" w:ascii="仿宋_GB2312" w:hAnsi="仿宋_GB2312" w:cs="仿宋_GB2312"/>
                <w:sz w:val="24"/>
                <w:szCs w:val="24"/>
                <w:lang w:eastAsia="zh-CN"/>
              </w:rPr>
              <w:t>）</w:t>
            </w:r>
          </w:p>
        </w:tc>
        <w:tc>
          <w:tcPr>
            <w:tcW w:w="7538" w:type="dxa"/>
            <w:gridSpan w:val="9"/>
          </w:tcPr>
          <w:p w14:paraId="10D20E70">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p>
        </w:tc>
      </w:tr>
      <w:tr w14:paraId="3965A512">
        <w:trPr>
          <w:trHeight w:val="2118" w:hRule="atLeast"/>
        </w:trPr>
        <w:tc>
          <w:tcPr>
            <w:tcW w:w="1542" w:type="dxa"/>
            <w:gridSpan w:val="2"/>
            <w:vAlign w:val="center"/>
          </w:tcPr>
          <w:p w14:paraId="404FD5C3">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合作双方的研究优势互补性及合作分工</w:t>
            </w:r>
            <w:r>
              <w:rPr>
                <w:rFonts w:hint="eastAsia" w:ascii="仿宋_GB2312" w:hAnsi="仿宋_GB2312" w:cs="仿宋_GB2312"/>
                <w:sz w:val="24"/>
                <w:szCs w:val="24"/>
                <w:lang w:eastAsia="zh-CN"/>
              </w:rPr>
              <w:t>（</w:t>
            </w:r>
            <w:r>
              <w:rPr>
                <w:rFonts w:hint="eastAsia" w:ascii="仿宋_GB2312" w:hAnsi="仿宋_GB2312" w:eastAsia="仿宋_GB2312" w:cs="仿宋_GB2312"/>
                <w:sz w:val="24"/>
                <w:szCs w:val="24"/>
              </w:rPr>
              <w:t>300字以内</w:t>
            </w:r>
            <w:r>
              <w:rPr>
                <w:rFonts w:hint="eastAsia" w:ascii="仿宋_GB2312" w:hAnsi="仿宋_GB2312" w:cs="仿宋_GB2312"/>
                <w:sz w:val="24"/>
                <w:szCs w:val="24"/>
                <w:lang w:eastAsia="zh-CN"/>
              </w:rPr>
              <w:t>）</w:t>
            </w:r>
          </w:p>
        </w:tc>
        <w:tc>
          <w:tcPr>
            <w:tcW w:w="7538" w:type="dxa"/>
            <w:gridSpan w:val="9"/>
          </w:tcPr>
          <w:p w14:paraId="41F96DA8">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p>
        </w:tc>
      </w:tr>
      <w:tr w14:paraId="7156EDC3">
        <w:trPr>
          <w:trHeight w:val="3732" w:hRule="atLeast"/>
        </w:trPr>
        <w:tc>
          <w:tcPr>
            <w:tcW w:w="1542" w:type="dxa"/>
            <w:gridSpan w:val="2"/>
            <w:vAlign w:val="center"/>
          </w:tcPr>
          <w:p w14:paraId="1728FF44">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 xml:space="preserve">外方在本合作项目上是否获得了所在国项目或经费支持 </w:t>
            </w:r>
            <w:r>
              <w:rPr>
                <w:rFonts w:hint="eastAsia" w:ascii="仿宋_GB2312" w:hAnsi="仿宋_GB2312" w:cs="仿宋_GB2312"/>
                <w:sz w:val="24"/>
                <w:szCs w:val="24"/>
                <w:lang w:eastAsia="zh-CN"/>
              </w:rPr>
              <w:t>（</w:t>
            </w:r>
            <w:r>
              <w:rPr>
                <w:rFonts w:hint="eastAsia" w:ascii="仿宋_GB2312" w:hAnsi="仿宋_GB2312" w:eastAsia="仿宋_GB2312" w:cs="仿宋_GB2312"/>
                <w:sz w:val="24"/>
                <w:szCs w:val="24"/>
              </w:rPr>
              <w:t>300字以内</w:t>
            </w:r>
            <w:r>
              <w:rPr>
                <w:rFonts w:hint="eastAsia" w:ascii="仿宋_GB2312" w:hAnsi="仿宋_GB2312" w:cs="仿宋_GB2312"/>
                <w:sz w:val="24"/>
                <w:szCs w:val="24"/>
                <w:lang w:eastAsia="zh-CN"/>
              </w:rPr>
              <w:t>）</w:t>
            </w:r>
          </w:p>
        </w:tc>
        <w:tc>
          <w:tcPr>
            <w:tcW w:w="7538" w:type="dxa"/>
            <w:gridSpan w:val="9"/>
          </w:tcPr>
          <w:p w14:paraId="1CCC4909">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p>
        </w:tc>
      </w:tr>
      <w:tr w14:paraId="3E4433E8">
        <w:trPr>
          <w:trHeight w:val="3732" w:hRule="atLeast"/>
        </w:trPr>
        <w:tc>
          <w:tcPr>
            <w:tcW w:w="1542" w:type="dxa"/>
            <w:gridSpan w:val="2"/>
            <w:vAlign w:val="center"/>
          </w:tcPr>
          <w:p w14:paraId="0AD787F6">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主要研究目标、内容、合作理由</w:t>
            </w:r>
            <w:r>
              <w:rPr>
                <w:rFonts w:hint="eastAsia" w:ascii="仿宋_GB2312" w:hAnsi="仿宋_GB2312" w:cs="仿宋_GB2312"/>
                <w:sz w:val="24"/>
                <w:szCs w:val="24"/>
                <w:lang w:eastAsia="zh-CN"/>
              </w:rPr>
              <w:t>（</w:t>
            </w:r>
            <w:r>
              <w:rPr>
                <w:rFonts w:hint="eastAsia" w:ascii="仿宋_GB2312" w:hAnsi="仿宋_GB2312" w:eastAsia="仿宋_GB2312" w:cs="仿宋_GB2312"/>
                <w:sz w:val="24"/>
                <w:szCs w:val="24"/>
              </w:rPr>
              <w:t>300字以内</w:t>
            </w:r>
            <w:r>
              <w:rPr>
                <w:rFonts w:hint="eastAsia" w:ascii="仿宋_GB2312" w:hAnsi="仿宋_GB2312" w:cs="仿宋_GB2312"/>
                <w:sz w:val="24"/>
                <w:szCs w:val="24"/>
                <w:lang w:eastAsia="zh-CN"/>
              </w:rPr>
              <w:t>）</w:t>
            </w:r>
          </w:p>
        </w:tc>
        <w:tc>
          <w:tcPr>
            <w:tcW w:w="7538" w:type="dxa"/>
            <w:gridSpan w:val="9"/>
          </w:tcPr>
          <w:p w14:paraId="47815B5C">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p>
        </w:tc>
      </w:tr>
    </w:tbl>
    <w:p w14:paraId="7B6BCE16">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b/>
          <w:sz w:val="24"/>
          <w:szCs w:val="24"/>
        </w:rPr>
      </w:pPr>
    </w:p>
    <w:p w14:paraId="72851907">
      <w:pPr>
        <w:keepNext w:val="0"/>
        <w:keepLines w:val="0"/>
        <w:pageBreakBefore w:val="0"/>
        <w:widowControl/>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 xml:space="preserve"> </w:t>
      </w:r>
    </w:p>
    <w:p w14:paraId="667CCE52">
      <w:pPr>
        <w:pageBreakBefore w:val="0"/>
        <w:kinsoku/>
        <w:wordWrap/>
        <w:overflowPunct/>
        <w:topLinePunct w:val="0"/>
        <w:autoSpaceDE w:val="0"/>
        <w:autoSpaceDN w:val="0"/>
        <w:bidi w:val="0"/>
        <w:adjustRightInd/>
        <w:spacing w:line="560" w:lineRule="exact"/>
        <w:ind w:left="0" w:firstLine="0" w:firstLineChars="0"/>
        <w:textAlignment w:val="auto"/>
        <w:rPr>
          <w:rFonts w:hint="eastAsia" w:ascii="宋体" w:hAnsi="宋体" w:cs="Times New Roman"/>
          <w:sz w:val="18"/>
          <w:szCs w:val="18"/>
        </w:rPr>
      </w:pPr>
      <w:r>
        <w:rPr>
          <w:rFonts w:hint="eastAsia" w:ascii="宋体" w:hAnsi="宋体" w:cs="Times New Roman"/>
          <w:sz w:val="18"/>
          <w:szCs w:val="18"/>
        </w:rPr>
        <w:br w:type="page"/>
      </w:r>
    </w:p>
    <w:p w14:paraId="3DF8BF99">
      <w:pPr>
        <w:pageBreakBefore w:val="0"/>
        <w:widowControl w:val="0"/>
        <w:kinsoku/>
        <w:overflowPunct/>
        <w:topLinePunct w:val="0"/>
        <w:autoSpaceDE w:val="0"/>
        <w:autoSpaceDN w:val="0"/>
        <w:bidi w:val="0"/>
        <w:adjustRightInd/>
        <w:spacing w:line="560" w:lineRule="exact"/>
        <w:ind w:left="0" w:leftChars="0" w:firstLine="0" w:firstLineChars="0"/>
        <w:jc w:val="both"/>
        <w:textAlignment w:val="auto"/>
        <w:outlineLvl w:val="0"/>
        <w:rPr>
          <w:rFonts w:hint="eastAsia" w:ascii="黑体" w:hAnsi="黑体" w:eastAsia="黑体" w:cs="Times New Roman"/>
          <w:kern w:val="2"/>
          <w:sz w:val="32"/>
          <w:szCs w:val="24"/>
          <w:lang w:val="en-US" w:eastAsia="zh-CN" w:bidi="ar-SA"/>
        </w:rPr>
      </w:pPr>
      <w:r>
        <w:rPr>
          <w:rFonts w:hint="eastAsia" w:ascii="黑体" w:hAnsi="黑体" w:eastAsia="黑体" w:cs="Times New Roman"/>
          <w:kern w:val="2"/>
          <w:sz w:val="32"/>
          <w:szCs w:val="24"/>
          <w:lang w:val="en-US" w:eastAsia="zh-CN" w:bidi="ar-SA"/>
        </w:rPr>
        <w:t>附表11 涉及人类遗传资源情况表</w:t>
      </w:r>
    </w:p>
    <w:p w14:paraId="02579FBC">
      <w:pPr>
        <w:pageBreakBefore w:val="0"/>
        <w:kinsoku/>
        <w:wordWrap/>
        <w:overflowPunct/>
        <w:topLinePunct w:val="0"/>
        <w:autoSpaceDE w:val="0"/>
        <w:autoSpaceDN w:val="0"/>
        <w:bidi w:val="0"/>
        <w:adjustRightInd/>
        <w:spacing w:line="560" w:lineRule="exact"/>
        <w:ind w:left="0" w:firstLine="0" w:firstLineChars="0"/>
        <w:textAlignment w:val="auto"/>
        <w:rPr>
          <w:rFonts w:hint="eastAsia" w:eastAsia="仿宋_GB2312" w:cs="Times New Roman"/>
          <w:color w:val="2D00C7"/>
          <w:sz w:val="24"/>
          <w:szCs w:val="21"/>
          <w:lang w:eastAsia="zh-CN"/>
        </w:rPr>
      </w:pPr>
      <w:r>
        <w:rPr>
          <w:rFonts w:hint="eastAsia" w:cs="Times New Roman"/>
          <w:color w:val="2D00C7"/>
          <w:sz w:val="24"/>
          <w:szCs w:val="21"/>
          <w:lang w:eastAsia="zh-CN"/>
        </w:rPr>
        <w:t>（如不涉及，</w:t>
      </w:r>
      <w:r>
        <w:rPr>
          <w:rFonts w:hint="eastAsia" w:cs="Times New Roman"/>
          <w:color w:val="2D00C7"/>
          <w:sz w:val="24"/>
          <w:szCs w:val="21"/>
          <w:lang w:val="en-US" w:eastAsia="zh-CN"/>
        </w:rPr>
        <w:t>可</w:t>
      </w:r>
      <w:r>
        <w:rPr>
          <w:rFonts w:hint="eastAsia" w:cs="Times New Roman"/>
          <w:color w:val="2D00C7"/>
          <w:sz w:val="24"/>
          <w:szCs w:val="21"/>
          <w:lang w:eastAsia="zh-CN"/>
        </w:rPr>
        <w:t>不填）</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711C8BB3">
        <w:trPr>
          <w:trHeight w:val="1127" w:hRule="atLeast"/>
        </w:trPr>
        <w:tc>
          <w:tcPr>
            <w:tcW w:w="1942" w:type="dxa"/>
            <w:vAlign w:val="center"/>
          </w:tcPr>
          <w:p w14:paraId="5DC9CAF8">
            <w:pPr>
              <w:pageBreakBefore w:val="0"/>
              <w:kinsoku/>
              <w:wordWrap/>
              <w:overflowPunct/>
              <w:topLinePunct w:val="0"/>
              <w:autoSpaceDE w:val="0"/>
              <w:autoSpaceDN w:val="0"/>
              <w:bidi w:val="0"/>
              <w:adjustRightInd/>
              <w:spacing w:line="560" w:lineRule="exact"/>
              <w:ind w:left="0" w:firstLine="0" w:firstLineChars="0"/>
              <w:jc w:val="center"/>
              <w:textAlignment w:val="auto"/>
              <w:rPr>
                <w:rFonts w:hint="eastAsia" w:cs="Times New Roman"/>
                <w:sz w:val="24"/>
                <w:szCs w:val="24"/>
                <w:vertAlign w:val="baseline"/>
                <w14:ligatures w14:val="standardContextual"/>
              </w:rPr>
            </w:pPr>
            <w:r>
              <w:rPr>
                <w:rFonts w:hint="eastAsia" w:cs="Times New Roman"/>
                <w:sz w:val="24"/>
                <w:szCs w:val="24"/>
                <w:vertAlign w:val="baseline"/>
                <w14:ligatures w14:val="standardContextual"/>
              </w:rPr>
              <w:t>序号</w:t>
            </w:r>
          </w:p>
        </w:tc>
        <w:tc>
          <w:tcPr>
            <w:tcW w:w="1942" w:type="dxa"/>
            <w:vAlign w:val="center"/>
          </w:tcPr>
          <w:p w14:paraId="2BC8D5C0">
            <w:pPr>
              <w:pageBreakBefore w:val="0"/>
              <w:kinsoku/>
              <w:wordWrap/>
              <w:overflowPunct/>
              <w:topLinePunct w:val="0"/>
              <w:autoSpaceDE w:val="0"/>
              <w:autoSpaceDN w:val="0"/>
              <w:bidi w:val="0"/>
              <w:adjustRightInd/>
              <w:spacing w:line="560" w:lineRule="exact"/>
              <w:ind w:left="0" w:firstLine="0" w:firstLineChars="0"/>
              <w:jc w:val="center"/>
              <w:textAlignment w:val="auto"/>
              <w:rPr>
                <w:rFonts w:hint="eastAsia" w:cs="Times New Roman"/>
                <w:sz w:val="24"/>
                <w:szCs w:val="24"/>
                <w:vertAlign w:val="baseline"/>
                <w14:ligatures w14:val="standardContextual"/>
              </w:rPr>
            </w:pPr>
            <w:r>
              <w:rPr>
                <w:rFonts w:hint="eastAsia" w:cs="Times New Roman"/>
                <w:sz w:val="24"/>
                <w:szCs w:val="24"/>
                <w:vertAlign w:val="baseline"/>
                <w14:ligatures w14:val="standardContextual"/>
              </w:rPr>
              <w:t>涉及人类遗传资源活动类型</w:t>
            </w:r>
          </w:p>
        </w:tc>
        <w:tc>
          <w:tcPr>
            <w:tcW w:w="1942" w:type="dxa"/>
            <w:vAlign w:val="center"/>
          </w:tcPr>
          <w:p w14:paraId="59719540">
            <w:pPr>
              <w:pageBreakBefore w:val="0"/>
              <w:kinsoku/>
              <w:wordWrap/>
              <w:overflowPunct/>
              <w:topLinePunct w:val="0"/>
              <w:autoSpaceDE w:val="0"/>
              <w:autoSpaceDN w:val="0"/>
              <w:bidi w:val="0"/>
              <w:adjustRightInd/>
              <w:spacing w:line="560" w:lineRule="exact"/>
              <w:ind w:left="0" w:firstLine="0" w:firstLineChars="0"/>
              <w:jc w:val="center"/>
              <w:textAlignment w:val="auto"/>
              <w:rPr>
                <w:rFonts w:hint="eastAsia" w:cs="Times New Roman"/>
                <w:sz w:val="24"/>
                <w:szCs w:val="24"/>
                <w:vertAlign w:val="baseline"/>
                <w14:ligatures w14:val="standardContextual"/>
              </w:rPr>
            </w:pPr>
            <w:r>
              <w:rPr>
                <w:rFonts w:hint="eastAsia" w:cs="Times New Roman"/>
                <w:sz w:val="24"/>
                <w:szCs w:val="24"/>
                <w:vertAlign w:val="baseline"/>
                <w14:ligatures w14:val="standardContextual"/>
              </w:rPr>
              <w:t>涉及活动相关内容</w:t>
            </w:r>
          </w:p>
        </w:tc>
        <w:tc>
          <w:tcPr>
            <w:tcW w:w="1943" w:type="dxa"/>
            <w:vAlign w:val="center"/>
          </w:tcPr>
          <w:p w14:paraId="0B105568">
            <w:pPr>
              <w:pageBreakBefore w:val="0"/>
              <w:kinsoku/>
              <w:wordWrap/>
              <w:overflowPunct/>
              <w:topLinePunct w:val="0"/>
              <w:autoSpaceDE w:val="0"/>
              <w:autoSpaceDN w:val="0"/>
              <w:bidi w:val="0"/>
              <w:adjustRightInd/>
              <w:spacing w:line="560" w:lineRule="exact"/>
              <w:ind w:left="0" w:firstLine="0" w:firstLineChars="0"/>
              <w:jc w:val="center"/>
              <w:textAlignment w:val="auto"/>
              <w:rPr>
                <w:rFonts w:hint="eastAsia" w:cs="Times New Roman"/>
                <w:sz w:val="24"/>
                <w:szCs w:val="24"/>
                <w:vertAlign w:val="baseline"/>
                <w14:ligatures w14:val="standardContextual"/>
              </w:rPr>
            </w:pPr>
            <w:r>
              <w:rPr>
                <w:rFonts w:hint="eastAsia" w:cs="Times New Roman"/>
                <w:sz w:val="24"/>
                <w:szCs w:val="24"/>
                <w:vertAlign w:val="baseline"/>
                <w14:ligatures w14:val="standardContextual"/>
              </w:rPr>
              <w:t>审批书号/备案号</w:t>
            </w:r>
          </w:p>
        </w:tc>
        <w:tc>
          <w:tcPr>
            <w:tcW w:w="1943" w:type="dxa"/>
            <w:vAlign w:val="center"/>
          </w:tcPr>
          <w:p w14:paraId="26BCA17B">
            <w:pPr>
              <w:pageBreakBefore w:val="0"/>
              <w:kinsoku/>
              <w:wordWrap/>
              <w:overflowPunct/>
              <w:topLinePunct w:val="0"/>
              <w:autoSpaceDE w:val="0"/>
              <w:autoSpaceDN w:val="0"/>
              <w:bidi w:val="0"/>
              <w:adjustRightInd/>
              <w:spacing w:line="560" w:lineRule="exact"/>
              <w:ind w:left="0" w:firstLine="0" w:firstLineChars="0"/>
              <w:jc w:val="center"/>
              <w:textAlignment w:val="auto"/>
              <w:rPr>
                <w:rFonts w:hint="eastAsia" w:cs="Times New Roman"/>
                <w:sz w:val="24"/>
                <w:szCs w:val="24"/>
                <w:vertAlign w:val="baseline"/>
                <w14:ligatures w14:val="standardContextual"/>
              </w:rPr>
            </w:pPr>
            <w:r>
              <w:rPr>
                <w:rFonts w:hint="eastAsia" w:cs="Times New Roman"/>
                <w:sz w:val="24"/>
                <w:szCs w:val="24"/>
                <w:vertAlign w:val="baseline"/>
                <w14:ligatures w14:val="standardContextual"/>
              </w:rPr>
              <w:t>项目名称</w:t>
            </w:r>
          </w:p>
        </w:tc>
      </w:tr>
      <w:tr w14:paraId="7D2D736F">
        <w:trPr>
          <w:trHeight w:val="726" w:hRule="atLeast"/>
        </w:trPr>
        <w:tc>
          <w:tcPr>
            <w:tcW w:w="1942" w:type="dxa"/>
            <w:vAlign w:val="center"/>
          </w:tcPr>
          <w:p w14:paraId="30016B6B">
            <w:pPr>
              <w:pageBreakBefore w:val="0"/>
              <w:kinsoku/>
              <w:wordWrap/>
              <w:overflowPunct/>
              <w:topLinePunct w:val="0"/>
              <w:autoSpaceDE w:val="0"/>
              <w:autoSpaceDN w:val="0"/>
              <w:bidi w:val="0"/>
              <w:adjustRightInd/>
              <w:spacing w:line="560" w:lineRule="exact"/>
              <w:ind w:left="0" w:firstLine="0" w:firstLineChars="0"/>
              <w:jc w:val="center"/>
              <w:textAlignment w:val="auto"/>
              <w:rPr>
                <w:rFonts w:hint="eastAsia" w:cs="Times New Roman"/>
                <w:sz w:val="24"/>
                <w:szCs w:val="24"/>
                <w:vertAlign w:val="baseline"/>
                <w14:ligatures w14:val="standardContextual"/>
              </w:rPr>
            </w:pPr>
          </w:p>
        </w:tc>
        <w:tc>
          <w:tcPr>
            <w:tcW w:w="1942" w:type="dxa"/>
            <w:vAlign w:val="center"/>
          </w:tcPr>
          <w:p w14:paraId="536C1EE7">
            <w:pPr>
              <w:pageBreakBefore w:val="0"/>
              <w:kinsoku/>
              <w:wordWrap/>
              <w:overflowPunct/>
              <w:topLinePunct w:val="0"/>
              <w:autoSpaceDE w:val="0"/>
              <w:autoSpaceDN w:val="0"/>
              <w:bidi w:val="0"/>
              <w:adjustRightInd/>
              <w:spacing w:line="560" w:lineRule="exact"/>
              <w:ind w:left="0" w:firstLine="0" w:firstLineChars="0"/>
              <w:jc w:val="center"/>
              <w:textAlignment w:val="auto"/>
              <w:rPr>
                <w:rFonts w:hint="eastAsia" w:cs="Times New Roman"/>
                <w:sz w:val="24"/>
                <w:szCs w:val="24"/>
                <w:vertAlign w:val="baseline"/>
                <w14:ligatures w14:val="standardContextual"/>
              </w:rPr>
            </w:pPr>
          </w:p>
        </w:tc>
        <w:tc>
          <w:tcPr>
            <w:tcW w:w="1942" w:type="dxa"/>
            <w:vAlign w:val="center"/>
          </w:tcPr>
          <w:p w14:paraId="63D022B6">
            <w:pPr>
              <w:pageBreakBefore w:val="0"/>
              <w:kinsoku/>
              <w:wordWrap/>
              <w:overflowPunct/>
              <w:topLinePunct w:val="0"/>
              <w:autoSpaceDE w:val="0"/>
              <w:autoSpaceDN w:val="0"/>
              <w:bidi w:val="0"/>
              <w:adjustRightInd/>
              <w:spacing w:line="560" w:lineRule="exact"/>
              <w:ind w:left="0" w:firstLine="0" w:firstLineChars="0"/>
              <w:jc w:val="center"/>
              <w:textAlignment w:val="auto"/>
              <w:rPr>
                <w:rFonts w:hint="eastAsia" w:cs="Times New Roman"/>
                <w:sz w:val="24"/>
                <w:szCs w:val="24"/>
                <w:vertAlign w:val="baseline"/>
                <w14:ligatures w14:val="standardContextual"/>
              </w:rPr>
            </w:pPr>
          </w:p>
        </w:tc>
        <w:tc>
          <w:tcPr>
            <w:tcW w:w="1943" w:type="dxa"/>
            <w:vAlign w:val="center"/>
          </w:tcPr>
          <w:p w14:paraId="1A249E42">
            <w:pPr>
              <w:pageBreakBefore w:val="0"/>
              <w:kinsoku/>
              <w:wordWrap/>
              <w:overflowPunct/>
              <w:topLinePunct w:val="0"/>
              <w:autoSpaceDE w:val="0"/>
              <w:autoSpaceDN w:val="0"/>
              <w:bidi w:val="0"/>
              <w:adjustRightInd/>
              <w:spacing w:line="560" w:lineRule="exact"/>
              <w:ind w:left="0" w:firstLine="0" w:firstLineChars="0"/>
              <w:jc w:val="center"/>
              <w:textAlignment w:val="auto"/>
              <w:rPr>
                <w:rFonts w:hint="eastAsia" w:cs="Times New Roman"/>
                <w:sz w:val="24"/>
                <w:szCs w:val="24"/>
                <w:vertAlign w:val="baseline"/>
                <w14:ligatures w14:val="standardContextual"/>
              </w:rPr>
            </w:pPr>
          </w:p>
        </w:tc>
        <w:tc>
          <w:tcPr>
            <w:tcW w:w="1943" w:type="dxa"/>
            <w:vAlign w:val="center"/>
          </w:tcPr>
          <w:p w14:paraId="22B0AC73">
            <w:pPr>
              <w:pageBreakBefore w:val="0"/>
              <w:kinsoku/>
              <w:wordWrap/>
              <w:overflowPunct/>
              <w:topLinePunct w:val="0"/>
              <w:autoSpaceDE w:val="0"/>
              <w:autoSpaceDN w:val="0"/>
              <w:bidi w:val="0"/>
              <w:adjustRightInd/>
              <w:spacing w:line="560" w:lineRule="exact"/>
              <w:ind w:left="0" w:firstLine="0" w:firstLineChars="0"/>
              <w:jc w:val="center"/>
              <w:textAlignment w:val="auto"/>
              <w:rPr>
                <w:rFonts w:hint="eastAsia" w:cs="Times New Roman"/>
                <w:sz w:val="24"/>
                <w:szCs w:val="24"/>
                <w:vertAlign w:val="baseline"/>
                <w14:ligatures w14:val="standardContextual"/>
              </w:rPr>
            </w:pPr>
          </w:p>
        </w:tc>
      </w:tr>
      <w:tr w14:paraId="0329403C">
        <w:trPr>
          <w:trHeight w:val="726" w:hRule="atLeast"/>
        </w:trPr>
        <w:tc>
          <w:tcPr>
            <w:tcW w:w="1942" w:type="dxa"/>
            <w:vAlign w:val="center"/>
          </w:tcPr>
          <w:p w14:paraId="18A14857">
            <w:pPr>
              <w:pageBreakBefore w:val="0"/>
              <w:kinsoku/>
              <w:wordWrap/>
              <w:overflowPunct/>
              <w:topLinePunct w:val="0"/>
              <w:autoSpaceDE w:val="0"/>
              <w:autoSpaceDN w:val="0"/>
              <w:bidi w:val="0"/>
              <w:adjustRightInd/>
              <w:spacing w:line="560" w:lineRule="exact"/>
              <w:ind w:left="0" w:firstLine="0" w:firstLineChars="0"/>
              <w:jc w:val="center"/>
              <w:textAlignment w:val="auto"/>
              <w:rPr>
                <w:rFonts w:hint="eastAsia" w:cs="Times New Roman"/>
                <w:sz w:val="24"/>
                <w:szCs w:val="24"/>
                <w:vertAlign w:val="baseline"/>
                <w14:ligatures w14:val="standardContextual"/>
              </w:rPr>
            </w:pPr>
          </w:p>
        </w:tc>
        <w:tc>
          <w:tcPr>
            <w:tcW w:w="1942" w:type="dxa"/>
            <w:vAlign w:val="center"/>
          </w:tcPr>
          <w:p w14:paraId="32638715">
            <w:pPr>
              <w:pageBreakBefore w:val="0"/>
              <w:kinsoku/>
              <w:wordWrap/>
              <w:overflowPunct/>
              <w:topLinePunct w:val="0"/>
              <w:autoSpaceDE w:val="0"/>
              <w:autoSpaceDN w:val="0"/>
              <w:bidi w:val="0"/>
              <w:adjustRightInd/>
              <w:spacing w:line="560" w:lineRule="exact"/>
              <w:ind w:left="0" w:firstLine="0" w:firstLineChars="0"/>
              <w:jc w:val="center"/>
              <w:textAlignment w:val="auto"/>
              <w:rPr>
                <w:rFonts w:hint="eastAsia" w:cs="Times New Roman"/>
                <w:sz w:val="24"/>
                <w:szCs w:val="24"/>
                <w:vertAlign w:val="baseline"/>
                <w14:ligatures w14:val="standardContextual"/>
              </w:rPr>
            </w:pPr>
          </w:p>
        </w:tc>
        <w:tc>
          <w:tcPr>
            <w:tcW w:w="1942" w:type="dxa"/>
            <w:vAlign w:val="center"/>
          </w:tcPr>
          <w:p w14:paraId="69C7F189">
            <w:pPr>
              <w:pageBreakBefore w:val="0"/>
              <w:kinsoku/>
              <w:wordWrap/>
              <w:overflowPunct/>
              <w:topLinePunct w:val="0"/>
              <w:autoSpaceDE w:val="0"/>
              <w:autoSpaceDN w:val="0"/>
              <w:bidi w:val="0"/>
              <w:adjustRightInd/>
              <w:spacing w:line="560" w:lineRule="exact"/>
              <w:ind w:left="0" w:firstLine="0" w:firstLineChars="0"/>
              <w:jc w:val="center"/>
              <w:textAlignment w:val="auto"/>
              <w:rPr>
                <w:rFonts w:hint="eastAsia" w:cs="Times New Roman"/>
                <w:sz w:val="24"/>
                <w:szCs w:val="24"/>
                <w:vertAlign w:val="baseline"/>
                <w14:ligatures w14:val="standardContextual"/>
              </w:rPr>
            </w:pPr>
          </w:p>
        </w:tc>
        <w:tc>
          <w:tcPr>
            <w:tcW w:w="1943" w:type="dxa"/>
            <w:vAlign w:val="center"/>
          </w:tcPr>
          <w:p w14:paraId="237F1D58">
            <w:pPr>
              <w:pageBreakBefore w:val="0"/>
              <w:kinsoku/>
              <w:wordWrap/>
              <w:overflowPunct/>
              <w:topLinePunct w:val="0"/>
              <w:autoSpaceDE w:val="0"/>
              <w:autoSpaceDN w:val="0"/>
              <w:bidi w:val="0"/>
              <w:adjustRightInd/>
              <w:spacing w:line="560" w:lineRule="exact"/>
              <w:ind w:left="0" w:firstLine="0" w:firstLineChars="0"/>
              <w:jc w:val="center"/>
              <w:textAlignment w:val="auto"/>
              <w:rPr>
                <w:rFonts w:hint="eastAsia" w:cs="Times New Roman"/>
                <w:sz w:val="24"/>
                <w:szCs w:val="24"/>
                <w:vertAlign w:val="baseline"/>
                <w14:ligatures w14:val="standardContextual"/>
              </w:rPr>
            </w:pPr>
          </w:p>
        </w:tc>
        <w:tc>
          <w:tcPr>
            <w:tcW w:w="1943" w:type="dxa"/>
            <w:vAlign w:val="center"/>
          </w:tcPr>
          <w:p w14:paraId="3D45D38C">
            <w:pPr>
              <w:pageBreakBefore w:val="0"/>
              <w:kinsoku/>
              <w:wordWrap/>
              <w:overflowPunct/>
              <w:topLinePunct w:val="0"/>
              <w:autoSpaceDE w:val="0"/>
              <w:autoSpaceDN w:val="0"/>
              <w:bidi w:val="0"/>
              <w:adjustRightInd/>
              <w:spacing w:line="560" w:lineRule="exact"/>
              <w:ind w:left="0" w:firstLine="0" w:firstLineChars="0"/>
              <w:jc w:val="center"/>
              <w:textAlignment w:val="auto"/>
              <w:rPr>
                <w:rFonts w:hint="eastAsia" w:cs="Times New Roman"/>
                <w:sz w:val="24"/>
                <w:szCs w:val="24"/>
                <w:vertAlign w:val="baseline"/>
                <w14:ligatures w14:val="standardContextual"/>
              </w:rPr>
            </w:pPr>
          </w:p>
        </w:tc>
      </w:tr>
      <w:tr w14:paraId="469AC846">
        <w:trPr>
          <w:trHeight w:val="726" w:hRule="atLeast"/>
        </w:trPr>
        <w:tc>
          <w:tcPr>
            <w:tcW w:w="1942" w:type="dxa"/>
            <w:vAlign w:val="center"/>
          </w:tcPr>
          <w:p w14:paraId="6E5F0F83">
            <w:pPr>
              <w:pageBreakBefore w:val="0"/>
              <w:kinsoku/>
              <w:wordWrap/>
              <w:overflowPunct/>
              <w:topLinePunct w:val="0"/>
              <w:autoSpaceDE w:val="0"/>
              <w:autoSpaceDN w:val="0"/>
              <w:bidi w:val="0"/>
              <w:adjustRightInd/>
              <w:spacing w:line="560" w:lineRule="exact"/>
              <w:ind w:left="0" w:firstLine="0" w:firstLineChars="0"/>
              <w:jc w:val="center"/>
              <w:textAlignment w:val="auto"/>
              <w:rPr>
                <w:rFonts w:hint="eastAsia" w:cs="Times New Roman"/>
                <w:sz w:val="24"/>
                <w:szCs w:val="24"/>
                <w:vertAlign w:val="baseline"/>
                <w14:ligatures w14:val="standardContextual"/>
              </w:rPr>
            </w:pPr>
          </w:p>
        </w:tc>
        <w:tc>
          <w:tcPr>
            <w:tcW w:w="1942" w:type="dxa"/>
            <w:vAlign w:val="center"/>
          </w:tcPr>
          <w:p w14:paraId="0789F262">
            <w:pPr>
              <w:pageBreakBefore w:val="0"/>
              <w:kinsoku/>
              <w:wordWrap/>
              <w:overflowPunct/>
              <w:topLinePunct w:val="0"/>
              <w:autoSpaceDE w:val="0"/>
              <w:autoSpaceDN w:val="0"/>
              <w:bidi w:val="0"/>
              <w:adjustRightInd/>
              <w:spacing w:line="560" w:lineRule="exact"/>
              <w:ind w:left="0" w:firstLine="0" w:firstLineChars="0"/>
              <w:jc w:val="center"/>
              <w:textAlignment w:val="auto"/>
              <w:rPr>
                <w:rFonts w:hint="eastAsia" w:cs="Times New Roman"/>
                <w:sz w:val="24"/>
                <w:szCs w:val="24"/>
                <w:vertAlign w:val="baseline"/>
                <w14:ligatures w14:val="standardContextual"/>
              </w:rPr>
            </w:pPr>
          </w:p>
        </w:tc>
        <w:tc>
          <w:tcPr>
            <w:tcW w:w="1942" w:type="dxa"/>
            <w:vAlign w:val="center"/>
          </w:tcPr>
          <w:p w14:paraId="16B158A0">
            <w:pPr>
              <w:pageBreakBefore w:val="0"/>
              <w:kinsoku/>
              <w:wordWrap/>
              <w:overflowPunct/>
              <w:topLinePunct w:val="0"/>
              <w:autoSpaceDE w:val="0"/>
              <w:autoSpaceDN w:val="0"/>
              <w:bidi w:val="0"/>
              <w:adjustRightInd/>
              <w:spacing w:line="560" w:lineRule="exact"/>
              <w:ind w:left="0" w:firstLine="0" w:firstLineChars="0"/>
              <w:jc w:val="center"/>
              <w:textAlignment w:val="auto"/>
              <w:rPr>
                <w:rFonts w:hint="eastAsia" w:cs="Times New Roman"/>
                <w:sz w:val="24"/>
                <w:szCs w:val="24"/>
                <w:vertAlign w:val="baseline"/>
                <w14:ligatures w14:val="standardContextual"/>
              </w:rPr>
            </w:pPr>
          </w:p>
        </w:tc>
        <w:tc>
          <w:tcPr>
            <w:tcW w:w="1943" w:type="dxa"/>
            <w:vAlign w:val="center"/>
          </w:tcPr>
          <w:p w14:paraId="446C899D">
            <w:pPr>
              <w:pageBreakBefore w:val="0"/>
              <w:kinsoku/>
              <w:wordWrap/>
              <w:overflowPunct/>
              <w:topLinePunct w:val="0"/>
              <w:autoSpaceDE w:val="0"/>
              <w:autoSpaceDN w:val="0"/>
              <w:bidi w:val="0"/>
              <w:adjustRightInd/>
              <w:spacing w:line="560" w:lineRule="exact"/>
              <w:ind w:left="0" w:firstLine="0" w:firstLineChars="0"/>
              <w:jc w:val="center"/>
              <w:textAlignment w:val="auto"/>
              <w:rPr>
                <w:rFonts w:hint="eastAsia" w:cs="Times New Roman"/>
                <w:sz w:val="24"/>
                <w:szCs w:val="24"/>
                <w:vertAlign w:val="baseline"/>
                <w14:ligatures w14:val="standardContextual"/>
              </w:rPr>
            </w:pPr>
          </w:p>
        </w:tc>
        <w:tc>
          <w:tcPr>
            <w:tcW w:w="1943" w:type="dxa"/>
            <w:vAlign w:val="center"/>
          </w:tcPr>
          <w:p w14:paraId="79B04102">
            <w:pPr>
              <w:pageBreakBefore w:val="0"/>
              <w:kinsoku/>
              <w:wordWrap/>
              <w:overflowPunct/>
              <w:topLinePunct w:val="0"/>
              <w:autoSpaceDE w:val="0"/>
              <w:autoSpaceDN w:val="0"/>
              <w:bidi w:val="0"/>
              <w:adjustRightInd/>
              <w:spacing w:line="560" w:lineRule="exact"/>
              <w:ind w:left="0" w:firstLine="0" w:firstLineChars="0"/>
              <w:jc w:val="center"/>
              <w:textAlignment w:val="auto"/>
              <w:rPr>
                <w:rFonts w:hint="eastAsia" w:cs="Times New Roman"/>
                <w:sz w:val="24"/>
                <w:szCs w:val="24"/>
                <w:vertAlign w:val="baseline"/>
                <w14:ligatures w14:val="standardContextual"/>
              </w:rPr>
            </w:pPr>
          </w:p>
        </w:tc>
      </w:tr>
    </w:tbl>
    <w:p w14:paraId="328681B2">
      <w:pPr>
        <w:pageBreakBefore w:val="0"/>
        <w:kinsoku/>
        <w:wordWrap/>
        <w:overflowPunct/>
        <w:topLinePunct w:val="0"/>
        <w:autoSpaceDE w:val="0"/>
        <w:autoSpaceDN w:val="0"/>
        <w:bidi w:val="0"/>
        <w:adjustRightInd/>
        <w:spacing w:line="560" w:lineRule="exact"/>
        <w:ind w:left="0" w:firstLine="0" w:firstLineChars="0"/>
        <w:textAlignment w:val="auto"/>
        <w:rPr>
          <w:rFonts w:hint="eastAsia" w:cs="Times New Roman"/>
        </w:rPr>
      </w:pPr>
    </w:p>
    <w:p w14:paraId="021E7881">
      <w:pPr>
        <w:pageBreakBefore w:val="0"/>
        <w:kinsoku/>
        <w:wordWrap/>
        <w:overflowPunct/>
        <w:topLinePunct w:val="0"/>
        <w:autoSpaceDE w:val="0"/>
        <w:autoSpaceDN w:val="0"/>
        <w:bidi w:val="0"/>
        <w:adjustRightInd/>
        <w:spacing w:line="560" w:lineRule="exact"/>
        <w:ind w:left="0" w:firstLine="0" w:firstLineChars="0"/>
        <w:textAlignment w:val="auto"/>
        <w:rPr>
          <w:rFonts w:hint="eastAsia" w:cs="Times New Roman"/>
        </w:rPr>
      </w:pPr>
    </w:p>
    <w:p w14:paraId="2EE9E031">
      <w:pPr>
        <w:pageBreakBefore w:val="0"/>
        <w:kinsoku/>
        <w:wordWrap/>
        <w:overflowPunct/>
        <w:topLinePunct w:val="0"/>
        <w:autoSpaceDE w:val="0"/>
        <w:autoSpaceDN w:val="0"/>
        <w:bidi w:val="0"/>
        <w:adjustRightInd/>
        <w:spacing w:line="560" w:lineRule="exact"/>
        <w:ind w:left="0" w:firstLine="0" w:firstLineChars="0"/>
        <w:textAlignment w:val="auto"/>
        <w:rPr>
          <w:rFonts w:hint="eastAsia" w:cs="Times New Roman"/>
        </w:rPr>
      </w:pPr>
      <w:r>
        <w:rPr>
          <w:rFonts w:hint="eastAsia" w:cs="Times New Roman"/>
        </w:rPr>
        <w:br w:type="page"/>
      </w:r>
    </w:p>
    <w:p w14:paraId="16F7004D">
      <w:pPr>
        <w:pageBreakBefore w:val="0"/>
        <w:kinsoku/>
        <w:wordWrap/>
        <w:overflowPunct/>
        <w:topLinePunct w:val="0"/>
        <w:autoSpaceDE w:val="0"/>
        <w:autoSpaceDN w:val="0"/>
        <w:bidi w:val="0"/>
        <w:adjustRightInd/>
        <w:spacing w:line="560" w:lineRule="exact"/>
        <w:ind w:left="0" w:firstLine="0" w:firstLineChars="0"/>
        <w:textAlignment w:val="auto"/>
        <w:rPr>
          <w:rFonts w:hint="default" w:ascii="黑体" w:hAnsi="黑体" w:eastAsia="黑体" w:cs="Times New Roman"/>
          <w:kern w:val="2"/>
          <w:sz w:val="32"/>
          <w:szCs w:val="24"/>
          <w:lang w:val="en-US" w:eastAsia="zh-CN" w:bidi="ar-SA"/>
        </w:rPr>
      </w:pPr>
      <w:r>
        <w:rPr>
          <w:rFonts w:hint="eastAsia" w:ascii="黑体" w:hAnsi="黑体" w:eastAsia="黑体" w:cs="Times New Roman"/>
          <w:kern w:val="2"/>
          <w:sz w:val="32"/>
          <w:szCs w:val="24"/>
          <w:lang w:val="en-US" w:eastAsia="zh-CN" w:bidi="ar-SA"/>
        </w:rPr>
        <w:t>附表12 伦理审查情况表</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1"/>
        <w:gridCol w:w="4271"/>
      </w:tblGrid>
      <w:tr w14:paraId="1B71195E">
        <w:trPr>
          <w:trHeight w:val="1641" w:hRule="atLeast"/>
        </w:trPr>
        <w:tc>
          <w:tcPr>
            <w:tcW w:w="4630" w:type="dxa"/>
          </w:tcPr>
          <w:p w14:paraId="7CF935A5">
            <w:pPr>
              <w:pageBreakBefore w:val="0"/>
              <w:kinsoku/>
              <w:wordWrap/>
              <w:overflowPunct/>
              <w:topLinePunct w:val="0"/>
              <w:autoSpaceDE w:val="0"/>
              <w:autoSpaceDN w:val="0"/>
              <w:bidi w:val="0"/>
              <w:adjustRightInd/>
              <w:spacing w:line="560" w:lineRule="exact"/>
              <w:ind w:left="0" w:firstLine="0" w:firstLineChars="0"/>
              <w:textAlignment w:val="auto"/>
              <w:rPr>
                <w:rFonts w:hint="eastAsia" w:ascii="仿宋_GB2312" w:hAnsi="仿宋_GB2312" w:eastAsia="仿宋_GB2312" w:cs="仿宋_GB2312"/>
                <w:kern w:val="2"/>
                <w:sz w:val="24"/>
                <w:szCs w:val="21"/>
                <w:vertAlign w:val="baseline"/>
                <w:lang w:val="en-US" w:eastAsia="zh-CN" w:bidi="ar-SA"/>
                <w14:ligatures w14:val="standardContextual"/>
              </w:rPr>
            </w:pPr>
            <w:r>
              <w:rPr>
                <w:rFonts w:hint="eastAsia" w:ascii="仿宋_GB2312" w:hAnsi="仿宋_GB2312" w:eastAsia="仿宋_GB2312" w:cs="仿宋_GB2312"/>
                <w:kern w:val="2"/>
                <w:sz w:val="24"/>
                <w:szCs w:val="21"/>
                <w:vertAlign w:val="baseline"/>
                <w:lang w:val="en-US" w:eastAsia="zh-CN" w:bidi="ar-SA"/>
                <w14:ligatures w14:val="standardContextual"/>
              </w:rPr>
              <w:t>是否涉及伦理审查</w:t>
            </w:r>
          </w:p>
        </w:tc>
        <w:tc>
          <w:tcPr>
            <w:tcW w:w="4630" w:type="dxa"/>
          </w:tcPr>
          <w:p w14:paraId="1BD7A2DB">
            <w:pPr>
              <w:pageBreakBefore w:val="0"/>
              <w:kinsoku/>
              <w:wordWrap/>
              <w:overflowPunct/>
              <w:topLinePunct w:val="0"/>
              <w:autoSpaceDE w:val="0"/>
              <w:autoSpaceDN w:val="0"/>
              <w:bidi w:val="0"/>
              <w:adjustRightInd/>
              <w:spacing w:line="560" w:lineRule="exact"/>
              <w:ind w:left="0" w:firstLine="0" w:firstLineChars="0"/>
              <w:textAlignment w:val="auto"/>
              <w:rPr>
                <w:rFonts w:hint="default" w:ascii="仿宋_GB2312" w:hAnsi="仿宋_GB2312" w:cs="仿宋_GB2312"/>
                <w:kern w:val="2"/>
                <w:sz w:val="24"/>
                <w:szCs w:val="21"/>
                <w:vertAlign w:val="baseline"/>
                <w:lang w:val="en-US" w:eastAsia="zh-CN" w:bidi="ar-SA"/>
                <w14:ligatures w14:val="standardContextual"/>
              </w:rPr>
            </w:pPr>
            <w:r>
              <w:rPr>
                <w:rFonts w:hint="eastAsia" w:ascii="仿宋_GB2312" w:hAnsi="仿宋_GB2312" w:eastAsia="仿宋_GB2312" w:cs="仿宋_GB2312"/>
                <w:kern w:val="2"/>
                <w:sz w:val="24"/>
                <w:szCs w:val="21"/>
                <w:vertAlign w:val="baseline"/>
                <w:lang w:val="en-US" w:eastAsia="zh-CN" w:bidi="ar-SA"/>
                <w14:ligatures w14:val="standardContextual"/>
              </w:rPr>
              <w:sym w:font="Wingdings 2" w:char="00A3"/>
            </w:r>
            <w:r>
              <w:rPr>
                <w:rFonts w:hint="eastAsia" w:ascii="仿宋_GB2312" w:hAnsi="仿宋_GB2312" w:cs="仿宋_GB2312"/>
                <w:kern w:val="2"/>
                <w:sz w:val="24"/>
                <w:szCs w:val="21"/>
                <w:vertAlign w:val="baseline"/>
                <w:lang w:val="en-US" w:eastAsia="zh-CN" w:bidi="ar-SA"/>
                <w14:ligatures w14:val="standardContextual"/>
              </w:rPr>
              <w:t xml:space="preserve">是        </w:t>
            </w:r>
            <w:r>
              <w:rPr>
                <w:rFonts w:hint="eastAsia" w:ascii="仿宋_GB2312" w:hAnsi="仿宋_GB2312" w:cs="仿宋_GB2312"/>
                <w:kern w:val="2"/>
                <w:sz w:val="24"/>
                <w:szCs w:val="21"/>
                <w:vertAlign w:val="baseline"/>
                <w:lang w:val="en-US" w:eastAsia="zh-CN" w:bidi="ar-SA"/>
                <w14:ligatures w14:val="standardContextual"/>
              </w:rPr>
              <w:sym w:font="Wingdings 2" w:char="00A3"/>
            </w:r>
            <w:r>
              <w:rPr>
                <w:rFonts w:hint="eastAsia" w:ascii="仿宋_GB2312" w:hAnsi="仿宋_GB2312" w:cs="仿宋_GB2312"/>
                <w:kern w:val="2"/>
                <w:sz w:val="24"/>
                <w:szCs w:val="21"/>
                <w:vertAlign w:val="baseline"/>
                <w:lang w:val="en-US" w:eastAsia="zh-CN" w:bidi="ar-SA"/>
                <w14:ligatures w14:val="standardContextual"/>
              </w:rPr>
              <w:t>否</w:t>
            </w:r>
          </w:p>
        </w:tc>
      </w:tr>
      <w:tr w14:paraId="004782CB">
        <w:trPr>
          <w:trHeight w:val="594" w:hRule="atLeast"/>
        </w:trPr>
        <w:tc>
          <w:tcPr>
            <w:tcW w:w="9260" w:type="dxa"/>
            <w:gridSpan w:val="2"/>
          </w:tcPr>
          <w:p w14:paraId="366A3538">
            <w:pPr>
              <w:pageBreakBefore w:val="0"/>
              <w:kinsoku/>
              <w:wordWrap/>
              <w:overflowPunct/>
              <w:topLinePunct w:val="0"/>
              <w:autoSpaceDE w:val="0"/>
              <w:autoSpaceDN w:val="0"/>
              <w:bidi w:val="0"/>
              <w:adjustRightInd/>
              <w:spacing w:line="560" w:lineRule="exact"/>
              <w:ind w:left="0" w:firstLine="0" w:firstLineChars="0"/>
              <w:textAlignment w:val="auto"/>
              <w:rPr>
                <w:rFonts w:hint="eastAsia" w:ascii="仿宋_GB2312" w:hAnsi="仿宋_GB2312" w:eastAsia="仿宋_GB2312" w:cs="仿宋_GB2312"/>
                <w:kern w:val="2"/>
                <w:sz w:val="24"/>
                <w:szCs w:val="21"/>
                <w:vertAlign w:val="baseline"/>
                <w:lang w:val="en-US" w:eastAsia="zh-CN" w:bidi="ar-SA"/>
                <w14:ligatures w14:val="standardContextual"/>
              </w:rPr>
            </w:pPr>
            <w:r>
              <w:rPr>
                <w:rFonts w:hint="eastAsia" w:ascii="仿宋_GB2312" w:hAnsi="仿宋_GB2312" w:eastAsia="仿宋_GB2312" w:cs="仿宋_GB2312"/>
                <w:kern w:val="2"/>
                <w:sz w:val="24"/>
                <w:szCs w:val="21"/>
                <w:vertAlign w:val="baseline"/>
                <w:lang w:val="en-US" w:eastAsia="zh-CN" w:bidi="ar-SA"/>
                <w14:ligatures w14:val="standardContextual"/>
              </w:rPr>
              <w:t>相关情况说明</w:t>
            </w:r>
          </w:p>
        </w:tc>
      </w:tr>
      <w:tr w14:paraId="296A182F">
        <w:trPr>
          <w:trHeight w:val="2439" w:hRule="atLeast"/>
        </w:trPr>
        <w:tc>
          <w:tcPr>
            <w:tcW w:w="9260" w:type="dxa"/>
            <w:gridSpan w:val="2"/>
          </w:tcPr>
          <w:p w14:paraId="2974BC3B">
            <w:pPr>
              <w:pageBreakBefore w:val="0"/>
              <w:kinsoku/>
              <w:wordWrap/>
              <w:overflowPunct/>
              <w:topLinePunct w:val="0"/>
              <w:autoSpaceDE w:val="0"/>
              <w:autoSpaceDN w:val="0"/>
              <w:bidi w:val="0"/>
              <w:adjustRightInd/>
              <w:spacing w:line="560" w:lineRule="exact"/>
              <w:ind w:left="0" w:firstLine="0" w:firstLineChars="0"/>
              <w:textAlignment w:val="auto"/>
              <w:rPr>
                <w:rFonts w:hint="eastAsia" w:ascii="仿宋_GB2312" w:hAnsi="仿宋_GB2312" w:eastAsia="仿宋_GB2312" w:cs="仿宋_GB2312"/>
                <w:kern w:val="2"/>
                <w:sz w:val="24"/>
                <w:szCs w:val="21"/>
                <w:vertAlign w:val="baseline"/>
                <w:lang w:val="en-US" w:eastAsia="zh-CN" w:bidi="ar-SA"/>
                <w14:ligatures w14:val="standardContextual"/>
              </w:rPr>
            </w:pPr>
            <w:r>
              <w:rPr>
                <w:rFonts w:hint="eastAsia" w:ascii="仿宋_GB2312" w:hAnsi="仿宋_GB2312" w:eastAsia="仿宋_GB2312" w:cs="仿宋_GB2312"/>
                <w:color w:val="2D00C7"/>
                <w:kern w:val="2"/>
                <w:sz w:val="24"/>
                <w:szCs w:val="21"/>
                <w:vertAlign w:val="baseline"/>
                <w:lang w:val="en-US" w:eastAsia="zh-CN" w:bidi="ar-SA"/>
                <w14:ligatures w14:val="standardContextual"/>
              </w:rPr>
              <w:t>（如不涉及，以下不填）</w:t>
            </w:r>
          </w:p>
        </w:tc>
      </w:tr>
      <w:tr w14:paraId="22512486">
        <w:trPr>
          <w:trHeight w:val="641" w:hRule="atLeast"/>
        </w:trPr>
        <w:tc>
          <w:tcPr>
            <w:tcW w:w="9260" w:type="dxa"/>
            <w:gridSpan w:val="2"/>
          </w:tcPr>
          <w:p w14:paraId="0D82E512">
            <w:pPr>
              <w:pageBreakBefore w:val="0"/>
              <w:kinsoku/>
              <w:wordWrap/>
              <w:overflowPunct/>
              <w:topLinePunct w:val="0"/>
              <w:autoSpaceDE w:val="0"/>
              <w:autoSpaceDN w:val="0"/>
              <w:bidi w:val="0"/>
              <w:adjustRightInd/>
              <w:spacing w:line="560" w:lineRule="exact"/>
              <w:ind w:left="0" w:firstLine="0" w:firstLineChars="0"/>
              <w:textAlignment w:val="auto"/>
              <w:rPr>
                <w:rFonts w:hint="eastAsia" w:ascii="仿宋_GB2312" w:hAnsi="仿宋_GB2312" w:eastAsia="仿宋_GB2312" w:cs="仿宋_GB2312"/>
                <w:kern w:val="2"/>
                <w:sz w:val="24"/>
                <w:szCs w:val="21"/>
                <w:vertAlign w:val="baseline"/>
                <w:lang w:val="en-US" w:eastAsia="zh-CN" w:bidi="ar-SA"/>
                <w14:ligatures w14:val="standardContextual"/>
              </w:rPr>
            </w:pPr>
            <w:r>
              <w:rPr>
                <w:rFonts w:hint="eastAsia" w:ascii="仿宋_GB2312" w:hAnsi="仿宋_GB2312" w:eastAsia="仿宋_GB2312" w:cs="仿宋_GB2312"/>
                <w:kern w:val="2"/>
                <w:sz w:val="24"/>
                <w:szCs w:val="21"/>
                <w:vertAlign w:val="baseline"/>
                <w:lang w:val="en-US" w:eastAsia="zh-CN" w:bidi="ar-SA"/>
                <w14:ligatures w14:val="standardContextual"/>
              </w:rPr>
              <w:t>附件</w:t>
            </w:r>
          </w:p>
        </w:tc>
      </w:tr>
      <w:tr w14:paraId="1204931A">
        <w:trPr>
          <w:trHeight w:val="2496" w:hRule="atLeast"/>
        </w:trPr>
        <w:tc>
          <w:tcPr>
            <w:tcW w:w="9260" w:type="dxa"/>
            <w:gridSpan w:val="2"/>
          </w:tcPr>
          <w:p w14:paraId="1C41E211">
            <w:pPr>
              <w:pageBreakBefore w:val="0"/>
              <w:kinsoku/>
              <w:wordWrap/>
              <w:overflowPunct/>
              <w:topLinePunct w:val="0"/>
              <w:autoSpaceDE w:val="0"/>
              <w:autoSpaceDN w:val="0"/>
              <w:bidi w:val="0"/>
              <w:adjustRightInd/>
              <w:spacing w:line="560" w:lineRule="exact"/>
              <w:ind w:left="0" w:firstLine="0" w:firstLineChars="0"/>
              <w:textAlignment w:val="auto"/>
              <w:rPr>
                <w:rFonts w:hint="eastAsia" w:ascii="仿宋_GB2312" w:hAnsi="仿宋_GB2312" w:eastAsia="仿宋_GB2312" w:cs="仿宋_GB2312"/>
                <w:kern w:val="2"/>
                <w:sz w:val="24"/>
                <w:szCs w:val="21"/>
                <w:vertAlign w:val="baseline"/>
                <w:lang w:val="en-US" w:eastAsia="zh-CN" w:bidi="ar-SA"/>
                <w14:ligatures w14:val="standardContextual"/>
              </w:rPr>
            </w:pPr>
            <w:r>
              <w:rPr>
                <w:rFonts w:hint="eastAsia" w:ascii="仿宋_GB2312" w:hAnsi="仿宋_GB2312" w:eastAsia="仿宋_GB2312" w:cs="仿宋_GB2312"/>
                <w:color w:val="2D00C7"/>
                <w:kern w:val="2"/>
                <w:sz w:val="24"/>
                <w:szCs w:val="21"/>
                <w:vertAlign w:val="baseline"/>
                <w:lang w:val="en-US" w:eastAsia="zh-CN" w:bidi="ar-SA"/>
                <w14:ligatures w14:val="standardContextual"/>
              </w:rPr>
              <w:t>（如不涉及，以下不填）</w:t>
            </w:r>
          </w:p>
        </w:tc>
      </w:tr>
    </w:tbl>
    <w:p w14:paraId="64255BF3">
      <w:pPr>
        <w:pageBreakBefore w:val="0"/>
        <w:kinsoku/>
        <w:wordWrap/>
        <w:overflowPunct/>
        <w:topLinePunct w:val="0"/>
        <w:autoSpaceDE w:val="0"/>
        <w:autoSpaceDN w:val="0"/>
        <w:bidi w:val="0"/>
        <w:adjustRightInd/>
        <w:spacing w:line="560" w:lineRule="exact"/>
        <w:ind w:left="0" w:firstLine="0" w:firstLineChars="0"/>
        <w:textAlignment w:val="auto"/>
        <w:rPr>
          <w:rFonts w:hint="default" w:ascii="黑体" w:hAnsi="黑体" w:eastAsia="黑体" w:cs="Times New Roman"/>
          <w:kern w:val="2"/>
          <w:sz w:val="32"/>
          <w:szCs w:val="24"/>
          <w:lang w:val="en-US" w:eastAsia="zh-CN" w:bidi="ar-SA"/>
        </w:rPr>
      </w:pPr>
    </w:p>
    <w:p w14:paraId="7E351D39">
      <w:pPr>
        <w:rPr>
          <w:rFonts w:hint="default"/>
          <w:lang w:val="en-US" w:eastAsia="zh-CN"/>
        </w:rPr>
      </w:pPr>
    </w:p>
    <w:p w14:paraId="4F630B4B">
      <w:pPr>
        <w:spacing w:line="360" w:lineRule="auto"/>
        <w:ind w:right="26"/>
        <w:jc w:val="left"/>
        <w:rPr>
          <w:rFonts w:hint="eastAsia"/>
        </w:rPr>
      </w:pPr>
    </w:p>
    <w:sectPr>
      <w:footerReference r:id="rId7"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_GB2312">
    <w:altName w:val="方正仿宋_GBK"/>
    <w:panose1 w:val="02010609030101010101"/>
    <w:charset w:val="86"/>
    <w:family w:val="modern"/>
    <w:pitch w:val="default"/>
    <w:sig w:usb0="00000000" w:usb1="00000000" w:usb2="00000000" w:usb3="00000000" w:csb0="00040000" w:csb1="00000000"/>
  </w:font>
  <w:font w:name="等线 Light">
    <w:altName w:val="汉仪中等线KW"/>
    <w:panose1 w:val="02010600030101010101"/>
    <w:charset w:val="86"/>
    <w:family w:val="auto"/>
    <w:pitch w:val="default"/>
    <w:sig w:usb0="00000000" w:usb1="00000000" w:usb2="00000016" w:usb3="00000000" w:csb0="0004000F" w:csb1="00000000"/>
  </w:font>
  <w:font w:name="文鼎大标宋简">
    <w:altName w:val="汉仪书宋二KW"/>
    <w:panose1 w:val="00000000000000000000"/>
    <w:charset w:val="86"/>
    <w:family w:val="modern"/>
    <w:pitch w:val="default"/>
    <w:sig w:usb0="00000000" w:usb1="00000000" w:usb2="00000010" w:usb3="00000000" w:csb0="00040000" w:csb1="00000000"/>
  </w:font>
  <w:font w:name="等线">
    <w:altName w:val="汉仪中等线KW"/>
    <w:panose1 w:val="02010600030101010101"/>
    <w:charset w:val="86"/>
    <w:family w:val="auto"/>
    <w:pitch w:val="default"/>
    <w:sig w:usb0="00000000" w:usb1="00000000" w:usb2="00000016" w:usb3="00000000" w:csb0="0004000F" w:csb1="00000000"/>
  </w:font>
  <w:font w:name="楷体_GB2312">
    <w:altName w:val="汉仪楷体简"/>
    <w:panose1 w:val="02010609030101010101"/>
    <w:charset w:val="86"/>
    <w:family w:val="modern"/>
    <w:pitch w:val="default"/>
    <w:sig w:usb0="00000000" w:usb1="00000000" w:usb2="00000010" w:usb3="00000000" w:csb0="00040000" w:csb1="00000000"/>
  </w:font>
  <w:font w:name="仿宋">
    <w:altName w:val="方正仿宋_GBK"/>
    <w:panose1 w:val="02010609060101010101"/>
    <w:charset w:val="86"/>
    <w:family w:val="modern"/>
    <w:pitch w:val="default"/>
    <w:sig w:usb0="00000000" w:usb1="00000000" w:usb2="00000016" w:usb3="00000000" w:csb0="00040001" w:csb1="00000000"/>
  </w:font>
  <w:font w:name="新宋体">
    <w:altName w:val="方正书宋_GBK"/>
    <w:panose1 w:val="02010609030101010101"/>
    <w:charset w:val="86"/>
    <w:family w:val="modern"/>
    <w:pitch w:val="default"/>
    <w:sig w:usb0="00000000" w:usb1="00000000" w:usb2="00000006" w:usb3="00000000" w:csb0="00040001" w:csb1="00000000"/>
  </w:font>
  <w:font w:name="楷体">
    <w:altName w:val="汉仪楷体KW"/>
    <w:panose1 w:val="02010609060101010101"/>
    <w:charset w:val="86"/>
    <w:family w:val="auto"/>
    <w:pitch w:val="default"/>
    <w:sig w:usb0="00000000" w:usb1="00000000" w:usb2="00000016" w:usb3="00000000" w:csb0="00040001" w:csb1="00000000"/>
  </w:font>
  <w:font w:name="Wingdings 2">
    <w:panose1 w:val="05020102010507070707"/>
    <w:charset w:val="02"/>
    <w:family w:val="roman"/>
    <w:pitch w:val="default"/>
    <w:sig w:usb0="00000000" w:usb1="00000000" w:usb2="00000000" w:usb3="00000000" w:csb0="8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汉仪楷体简">
    <w:panose1 w:val="02010600000101010101"/>
    <w:charset w:val="86"/>
    <w:family w:val="auto"/>
    <w:pitch w:val="default"/>
    <w:sig w:usb0="00000001" w:usb1="080E0800" w:usb2="00000002" w:usb3="00000000" w:csb0="00040000" w:csb1="00000000"/>
  </w:font>
  <w:font w:name="方正书宋_GBK">
    <w:panose1 w:val="02000000000000000000"/>
    <w:charset w:val="86"/>
    <w:family w:val="auto"/>
    <w:pitch w:val="default"/>
    <w:sig w:usb0="A00002BF" w:usb1="38CF7CFA" w:usb2="00082016" w:usb3="00000000" w:csb0="00040001" w:csb1="00000000"/>
  </w:font>
  <w:font w:name="汉仪楷体KW">
    <w:panose1 w:val="00020600040101010101"/>
    <w:charset w:val="86"/>
    <w:family w:val="auto"/>
    <w:pitch w:val="default"/>
    <w:sig w:usb0="A00002BF" w:usb1="18EF7CFA" w:usb2="00000016" w:usb3="00000000" w:csb0="00040000" w:csb1="00000000"/>
  </w:font>
  <w:font w:name="等线 Light">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9555B2">
    <w:pPr>
      <w:widowControl w:val="0"/>
      <w:tabs>
        <w:tab w:val="center" w:pos="4153"/>
        <w:tab w:val="right" w:pos="8306"/>
      </w:tabs>
      <w:autoSpaceDE w:val="0"/>
      <w:autoSpaceDN w:val="0"/>
      <w:snapToGrid w:val="0"/>
      <w:spacing w:line="600" w:lineRule="exact"/>
      <w:ind w:firstLine="0" w:firstLineChars="0"/>
      <w:jc w:val="center"/>
      <w:rPr>
        <w:rFonts w:ascii="Times New Roman" w:hAnsi="Times New Roman" w:eastAsia="仿宋_GB2312" w:cs="Times New Roman"/>
        <w:kern w:val="2"/>
        <w:sz w:val="18"/>
        <w:szCs w:val="18"/>
        <w:lang w:val="en-US" w:eastAsia="zh-CN" w:bidi="ar-S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AF1E1B">
    <w:pPr>
      <w:widowControl w:val="0"/>
      <w:tabs>
        <w:tab w:val="center" w:pos="4153"/>
        <w:tab w:val="right" w:pos="8306"/>
      </w:tabs>
      <w:autoSpaceDE w:val="0"/>
      <w:autoSpaceDN w:val="0"/>
      <w:snapToGrid w:val="0"/>
      <w:spacing w:line="600" w:lineRule="exact"/>
      <w:ind w:firstLine="0" w:firstLineChars="0"/>
      <w:jc w:val="center"/>
      <w:rPr>
        <w:rFonts w:ascii="Times New Roman" w:hAnsi="Times New Roman" w:eastAsia="仿宋_GB2312" w:cs="Times New Roman"/>
        <w:kern w:val="2"/>
        <w:sz w:val="18"/>
        <w:szCs w:val="18"/>
        <w:lang w:val="en-US" w:eastAsia="zh-CN" w:bidi="ar-S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5C5D4A">
    <w:pPr>
      <w:pStyle w:val="12"/>
      <w:ind w:left="560"/>
      <w:jc w:val="center"/>
    </w:pPr>
    <w:r>
      <w:fldChar w:fldCharType="begin"/>
    </w:r>
    <w:r>
      <w:instrText xml:space="preserve">PAGE   \* MERGEFORMAT</w:instrText>
    </w:r>
    <w:r>
      <w:fldChar w:fldCharType="separate"/>
    </w:r>
    <w:r>
      <w:rPr>
        <w:lang w:val="zh-CN"/>
      </w:rPr>
      <w:t>65</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D9A65D">
    <w:pPr>
      <w:widowControl w:val="0"/>
      <w:pBdr>
        <w:bottom w:val="single" w:color="auto" w:sz="6" w:space="1"/>
      </w:pBdr>
      <w:tabs>
        <w:tab w:val="center" w:pos="4153"/>
        <w:tab w:val="right" w:pos="8306"/>
      </w:tabs>
      <w:autoSpaceDE w:val="0"/>
      <w:autoSpaceDN w:val="0"/>
      <w:snapToGrid w:val="0"/>
      <w:spacing w:line="600" w:lineRule="exact"/>
      <w:ind w:firstLine="0" w:firstLineChars="0"/>
      <w:jc w:val="center"/>
      <w:rPr>
        <w:rFonts w:ascii="Times New Roman" w:hAnsi="Times New Roman" w:eastAsia="仿宋_GB2312" w:cs="Times New Roman"/>
        <w:kern w:val="2"/>
        <w:sz w:val="18"/>
        <w:szCs w:val="18"/>
        <w:lang w:val="en-US" w:eastAsia="zh-CN" w:bidi="ar-S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4AAE65">
    <w:pPr>
      <w:widowControl w:val="0"/>
      <w:pBdr>
        <w:bottom w:val="single" w:color="auto" w:sz="6" w:space="1"/>
      </w:pBdr>
      <w:tabs>
        <w:tab w:val="center" w:pos="4153"/>
        <w:tab w:val="right" w:pos="8306"/>
      </w:tabs>
      <w:autoSpaceDE w:val="0"/>
      <w:autoSpaceDN w:val="0"/>
      <w:snapToGrid w:val="0"/>
      <w:spacing w:line="600" w:lineRule="exact"/>
      <w:ind w:firstLine="0" w:firstLineChars="0"/>
      <w:jc w:val="center"/>
      <w:rPr>
        <w:rFonts w:ascii="Times New Roman" w:hAnsi="Times New Roman" w:eastAsia="仿宋_GB2312" w:cs="Times New Roman"/>
        <w:kern w:val="2"/>
        <w:sz w:val="18"/>
        <w:szCs w:val="18"/>
        <w:lang w:val="en-US" w:eastAsia="zh-CN" w:bidi="ar-S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59D27F"/>
    <w:multiLevelType w:val="singleLevel"/>
    <w:tmpl w:val="8B59D27F"/>
    <w:lvl w:ilvl="0" w:tentative="0">
      <w:start w:val="1"/>
      <w:numFmt w:val="decimal"/>
      <w:lvlText w:val="%1."/>
      <w:lvlJc w:val="left"/>
      <w:pPr>
        <w:ind w:left="425" w:hanging="425"/>
      </w:pPr>
      <w:rPr>
        <w:rFonts w:hint="default"/>
      </w:rPr>
    </w:lvl>
  </w:abstractNum>
  <w:abstractNum w:abstractNumId="1">
    <w:nsid w:val="A7AECC3D"/>
    <w:multiLevelType w:val="singleLevel"/>
    <w:tmpl w:val="A7AECC3D"/>
    <w:lvl w:ilvl="0" w:tentative="0">
      <w:start w:val="1"/>
      <w:numFmt w:val="bullet"/>
      <w:lvlText w:val=""/>
      <w:lvlJc w:val="left"/>
      <w:pPr>
        <w:tabs>
          <w:tab w:val="left" w:pos="420"/>
        </w:tabs>
        <w:ind w:left="840" w:hanging="420"/>
      </w:pPr>
      <w:rPr>
        <w:rFonts w:hint="default" w:ascii="Wingdings" w:hAnsi="Wingdings"/>
      </w:rPr>
    </w:lvl>
  </w:abstractNum>
  <w:abstractNum w:abstractNumId="2">
    <w:nsid w:val="A7F7616F"/>
    <w:multiLevelType w:val="singleLevel"/>
    <w:tmpl w:val="A7F7616F"/>
    <w:lvl w:ilvl="0" w:tentative="0">
      <w:start w:val="1"/>
      <w:numFmt w:val="bullet"/>
      <w:lvlText w:val=""/>
      <w:lvlJc w:val="left"/>
      <w:pPr>
        <w:tabs>
          <w:tab w:val="left" w:pos="420"/>
        </w:tabs>
        <w:ind w:left="840" w:hanging="420"/>
      </w:pPr>
      <w:rPr>
        <w:rFonts w:hint="default" w:ascii="Wingdings" w:hAnsi="Wingdings"/>
      </w:rPr>
    </w:lvl>
  </w:abstractNum>
  <w:abstractNum w:abstractNumId="3">
    <w:nsid w:val="AE342956"/>
    <w:multiLevelType w:val="singleLevel"/>
    <w:tmpl w:val="AE342956"/>
    <w:lvl w:ilvl="0" w:tentative="0">
      <w:start w:val="1"/>
      <w:numFmt w:val="decimal"/>
      <w:lvlText w:val="(%1)"/>
      <w:lvlJc w:val="left"/>
      <w:pPr>
        <w:tabs>
          <w:tab w:val="left" w:pos="840"/>
        </w:tabs>
        <w:ind w:left="1265" w:hanging="425"/>
      </w:pPr>
      <w:rPr>
        <w:rFonts w:hint="default"/>
      </w:rPr>
    </w:lvl>
  </w:abstractNum>
  <w:abstractNum w:abstractNumId="4">
    <w:nsid w:val="B3F7C9F0"/>
    <w:multiLevelType w:val="singleLevel"/>
    <w:tmpl w:val="B3F7C9F0"/>
    <w:lvl w:ilvl="0" w:tentative="0">
      <w:start w:val="1"/>
      <w:numFmt w:val="decimal"/>
      <w:lvlText w:val="%1."/>
      <w:lvlJc w:val="left"/>
      <w:pPr>
        <w:tabs>
          <w:tab w:val="left" w:pos="840"/>
        </w:tabs>
        <w:ind w:left="1265" w:hanging="425"/>
      </w:pPr>
      <w:rPr>
        <w:rFonts w:hint="default"/>
      </w:rPr>
    </w:lvl>
  </w:abstractNum>
  <w:abstractNum w:abstractNumId="5">
    <w:nsid w:val="BBCD991F"/>
    <w:multiLevelType w:val="singleLevel"/>
    <w:tmpl w:val="BBCD991F"/>
    <w:lvl w:ilvl="0" w:tentative="0">
      <w:start w:val="1"/>
      <w:numFmt w:val="bullet"/>
      <w:lvlText w:val=""/>
      <w:lvlJc w:val="left"/>
      <w:pPr>
        <w:tabs>
          <w:tab w:val="left" w:pos="420"/>
        </w:tabs>
        <w:ind w:left="840" w:hanging="420"/>
      </w:pPr>
      <w:rPr>
        <w:rFonts w:hint="default" w:ascii="Wingdings" w:hAnsi="Wingdings"/>
      </w:rPr>
    </w:lvl>
  </w:abstractNum>
  <w:abstractNum w:abstractNumId="6">
    <w:nsid w:val="BEB10179"/>
    <w:multiLevelType w:val="singleLevel"/>
    <w:tmpl w:val="BEB10179"/>
    <w:lvl w:ilvl="0" w:tentative="0">
      <w:start w:val="2"/>
      <w:numFmt w:val="decimal"/>
      <w:suff w:val="nothing"/>
      <w:lvlText w:val="%1、"/>
      <w:lvlJc w:val="left"/>
      <w:pPr>
        <w:ind w:left="480" w:leftChars="0" w:firstLine="0" w:firstLineChars="0"/>
      </w:pPr>
    </w:lvl>
  </w:abstractNum>
  <w:abstractNum w:abstractNumId="7">
    <w:nsid w:val="D5FF5B12"/>
    <w:multiLevelType w:val="singleLevel"/>
    <w:tmpl w:val="D5FF5B12"/>
    <w:lvl w:ilvl="0" w:tentative="0">
      <w:start w:val="1"/>
      <w:numFmt w:val="bullet"/>
      <w:lvlText w:val=""/>
      <w:lvlJc w:val="left"/>
      <w:pPr>
        <w:tabs>
          <w:tab w:val="left" w:pos="420"/>
        </w:tabs>
        <w:ind w:left="840" w:hanging="420"/>
      </w:pPr>
      <w:rPr>
        <w:rFonts w:hint="default" w:ascii="Wingdings" w:hAnsi="Wingdings"/>
      </w:rPr>
    </w:lvl>
  </w:abstractNum>
  <w:abstractNum w:abstractNumId="8">
    <w:nsid w:val="D67FE269"/>
    <w:multiLevelType w:val="singleLevel"/>
    <w:tmpl w:val="D67FE269"/>
    <w:lvl w:ilvl="0" w:tentative="0">
      <w:start w:val="1"/>
      <w:numFmt w:val="decimal"/>
      <w:lvlText w:val="%1."/>
      <w:lvlJc w:val="left"/>
      <w:pPr>
        <w:tabs>
          <w:tab w:val="left" w:pos="420"/>
        </w:tabs>
        <w:ind w:left="845" w:hanging="425"/>
      </w:pPr>
      <w:rPr>
        <w:rFonts w:hint="default"/>
      </w:rPr>
    </w:lvl>
  </w:abstractNum>
  <w:abstractNum w:abstractNumId="9">
    <w:nsid w:val="DCFE81B9"/>
    <w:multiLevelType w:val="singleLevel"/>
    <w:tmpl w:val="DCFE81B9"/>
    <w:lvl w:ilvl="0" w:tentative="0">
      <w:start w:val="1"/>
      <w:numFmt w:val="decimal"/>
      <w:lvlText w:val="(%1)"/>
      <w:lvlJc w:val="left"/>
      <w:pPr>
        <w:tabs>
          <w:tab w:val="left" w:pos="840"/>
        </w:tabs>
        <w:ind w:left="1265" w:hanging="425"/>
      </w:pPr>
      <w:rPr>
        <w:rFonts w:hint="default"/>
      </w:rPr>
    </w:lvl>
  </w:abstractNum>
  <w:abstractNum w:abstractNumId="10">
    <w:nsid w:val="DEDA5A5E"/>
    <w:multiLevelType w:val="singleLevel"/>
    <w:tmpl w:val="DEDA5A5E"/>
    <w:lvl w:ilvl="0" w:tentative="0">
      <w:start w:val="1"/>
      <w:numFmt w:val="bullet"/>
      <w:lvlText w:val=""/>
      <w:lvlJc w:val="left"/>
      <w:pPr>
        <w:tabs>
          <w:tab w:val="left" w:pos="420"/>
        </w:tabs>
        <w:ind w:left="840" w:hanging="420"/>
      </w:pPr>
      <w:rPr>
        <w:rFonts w:hint="default" w:ascii="Wingdings" w:hAnsi="Wingdings"/>
      </w:rPr>
    </w:lvl>
  </w:abstractNum>
  <w:abstractNum w:abstractNumId="11">
    <w:nsid w:val="EEE781C3"/>
    <w:multiLevelType w:val="multilevel"/>
    <w:tmpl w:val="EEE781C3"/>
    <w:lvl w:ilvl="0" w:tentative="0">
      <w:start w:val="1"/>
      <w:numFmt w:val="bullet"/>
      <w:lvlText w:val=""/>
      <w:lvlJc w:val="left"/>
      <w:pPr>
        <w:tabs>
          <w:tab w:val="left" w:pos="420"/>
        </w:tabs>
        <w:ind w:left="840" w:hanging="420"/>
      </w:pPr>
      <w:rPr>
        <w:rFonts w:hint="default" w:ascii="Wingdings" w:hAnsi="Wingdings"/>
      </w:rPr>
    </w:lvl>
    <w:lvl w:ilvl="1" w:tentative="0">
      <w:start w:val="1"/>
      <w:numFmt w:val="bullet"/>
      <w:lvlText w:val=""/>
      <w:lvlJc w:val="left"/>
      <w:pPr>
        <w:tabs>
          <w:tab w:val="left" w:pos="1260"/>
        </w:tabs>
        <w:ind w:left="1260" w:leftChars="0" w:hanging="420" w:firstLineChars="0"/>
      </w:pPr>
      <w:rPr>
        <w:rFonts w:hint="default" w:ascii="Wingdings" w:hAnsi="Wingdings"/>
      </w:rPr>
    </w:lvl>
    <w:lvl w:ilvl="2" w:tentative="0">
      <w:start w:val="1"/>
      <w:numFmt w:val="bullet"/>
      <w:lvlText w:val=""/>
      <w:lvlJc w:val="left"/>
      <w:pPr>
        <w:tabs>
          <w:tab w:val="left" w:pos="1680"/>
        </w:tabs>
        <w:ind w:left="1680" w:leftChars="0" w:hanging="420" w:firstLineChars="0"/>
      </w:pPr>
      <w:rPr>
        <w:rFonts w:hint="default" w:ascii="Wingdings" w:hAnsi="Wingdings"/>
      </w:rPr>
    </w:lvl>
    <w:lvl w:ilvl="3" w:tentative="0">
      <w:start w:val="1"/>
      <w:numFmt w:val="bullet"/>
      <w:lvlText w:val=""/>
      <w:lvlJc w:val="left"/>
      <w:pPr>
        <w:tabs>
          <w:tab w:val="left" w:pos="2100"/>
        </w:tabs>
        <w:ind w:left="2100" w:leftChars="0" w:hanging="420" w:firstLineChars="0"/>
      </w:pPr>
      <w:rPr>
        <w:rFonts w:hint="default" w:ascii="Wingdings" w:hAnsi="Wingdings"/>
      </w:rPr>
    </w:lvl>
    <w:lvl w:ilvl="4" w:tentative="0">
      <w:start w:val="1"/>
      <w:numFmt w:val="bullet"/>
      <w:lvlText w:val=""/>
      <w:lvlJc w:val="left"/>
      <w:pPr>
        <w:tabs>
          <w:tab w:val="left" w:pos="2520"/>
        </w:tabs>
        <w:ind w:left="2520" w:leftChars="0" w:hanging="420" w:firstLineChars="0"/>
      </w:pPr>
      <w:rPr>
        <w:rFonts w:hint="default" w:ascii="Wingdings" w:hAnsi="Wingdings"/>
      </w:rPr>
    </w:lvl>
    <w:lvl w:ilvl="5" w:tentative="0">
      <w:start w:val="1"/>
      <w:numFmt w:val="bullet"/>
      <w:lvlText w:val=""/>
      <w:lvlJc w:val="left"/>
      <w:pPr>
        <w:tabs>
          <w:tab w:val="left" w:pos="2940"/>
        </w:tabs>
        <w:ind w:left="2940" w:leftChars="0" w:hanging="420" w:firstLineChars="0"/>
      </w:pPr>
      <w:rPr>
        <w:rFonts w:hint="default" w:ascii="Wingdings" w:hAnsi="Wingdings"/>
      </w:rPr>
    </w:lvl>
    <w:lvl w:ilvl="6" w:tentative="0">
      <w:start w:val="1"/>
      <w:numFmt w:val="bullet"/>
      <w:lvlText w:val=""/>
      <w:lvlJc w:val="left"/>
      <w:pPr>
        <w:tabs>
          <w:tab w:val="left" w:pos="3360"/>
        </w:tabs>
        <w:ind w:left="3360" w:leftChars="0" w:hanging="420" w:firstLineChars="0"/>
      </w:pPr>
      <w:rPr>
        <w:rFonts w:hint="default" w:ascii="Wingdings" w:hAnsi="Wingdings"/>
      </w:rPr>
    </w:lvl>
    <w:lvl w:ilvl="7" w:tentative="0">
      <w:start w:val="1"/>
      <w:numFmt w:val="bullet"/>
      <w:lvlText w:val=""/>
      <w:lvlJc w:val="left"/>
      <w:pPr>
        <w:tabs>
          <w:tab w:val="left" w:pos="3780"/>
        </w:tabs>
        <w:ind w:left="3780" w:leftChars="0" w:hanging="420" w:firstLineChars="0"/>
      </w:pPr>
      <w:rPr>
        <w:rFonts w:hint="default" w:ascii="Wingdings" w:hAnsi="Wingdings"/>
      </w:rPr>
    </w:lvl>
    <w:lvl w:ilvl="8" w:tentative="0">
      <w:start w:val="1"/>
      <w:numFmt w:val="bullet"/>
      <w:lvlText w:val=""/>
      <w:lvlJc w:val="left"/>
      <w:pPr>
        <w:tabs>
          <w:tab w:val="left" w:pos="4200"/>
        </w:tabs>
        <w:ind w:left="4200" w:leftChars="0" w:hanging="420" w:firstLineChars="0"/>
      </w:pPr>
      <w:rPr>
        <w:rFonts w:hint="default" w:ascii="Wingdings" w:hAnsi="Wingdings"/>
      </w:rPr>
    </w:lvl>
  </w:abstractNum>
  <w:abstractNum w:abstractNumId="12">
    <w:nsid w:val="EFFDED48"/>
    <w:multiLevelType w:val="singleLevel"/>
    <w:tmpl w:val="EFFDED48"/>
    <w:lvl w:ilvl="0" w:tentative="0">
      <w:start w:val="1"/>
      <w:numFmt w:val="decimal"/>
      <w:lvlText w:val="%1."/>
      <w:lvlJc w:val="left"/>
      <w:pPr>
        <w:tabs>
          <w:tab w:val="left" w:pos="840"/>
        </w:tabs>
        <w:ind w:left="1265" w:hanging="425"/>
      </w:pPr>
      <w:rPr>
        <w:rFonts w:hint="default"/>
      </w:rPr>
    </w:lvl>
  </w:abstractNum>
  <w:abstractNum w:abstractNumId="13">
    <w:nsid w:val="F3DBD706"/>
    <w:multiLevelType w:val="singleLevel"/>
    <w:tmpl w:val="F3DBD706"/>
    <w:lvl w:ilvl="0" w:tentative="0">
      <w:start w:val="1"/>
      <w:numFmt w:val="bullet"/>
      <w:lvlText w:val=""/>
      <w:lvlJc w:val="left"/>
      <w:pPr>
        <w:tabs>
          <w:tab w:val="left" w:pos="420"/>
        </w:tabs>
        <w:ind w:left="840" w:hanging="420"/>
      </w:pPr>
      <w:rPr>
        <w:rFonts w:hint="default" w:ascii="Wingdings" w:hAnsi="Wingdings"/>
      </w:rPr>
    </w:lvl>
  </w:abstractNum>
  <w:abstractNum w:abstractNumId="14">
    <w:nsid w:val="F4F8D4DA"/>
    <w:multiLevelType w:val="multilevel"/>
    <w:tmpl w:val="F4F8D4DA"/>
    <w:lvl w:ilvl="0" w:tentative="0">
      <w:start w:val="1"/>
      <w:numFmt w:val="bullet"/>
      <w:lvlText w:val=""/>
      <w:lvlJc w:val="left"/>
      <w:pPr>
        <w:tabs>
          <w:tab w:val="left" w:pos="0"/>
        </w:tabs>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5">
    <w:nsid w:val="F65F8940"/>
    <w:multiLevelType w:val="singleLevel"/>
    <w:tmpl w:val="F65F8940"/>
    <w:lvl w:ilvl="0" w:tentative="0">
      <w:start w:val="1"/>
      <w:numFmt w:val="bullet"/>
      <w:lvlText w:val=""/>
      <w:lvlJc w:val="left"/>
      <w:pPr>
        <w:tabs>
          <w:tab w:val="left" w:pos="420"/>
        </w:tabs>
        <w:ind w:left="840" w:hanging="420"/>
      </w:pPr>
      <w:rPr>
        <w:rFonts w:hint="default" w:ascii="Wingdings" w:hAnsi="Wingdings"/>
      </w:rPr>
    </w:lvl>
  </w:abstractNum>
  <w:abstractNum w:abstractNumId="16">
    <w:nsid w:val="F7FE149C"/>
    <w:multiLevelType w:val="singleLevel"/>
    <w:tmpl w:val="F7FE149C"/>
    <w:lvl w:ilvl="0" w:tentative="0">
      <w:start w:val="1"/>
      <w:numFmt w:val="bullet"/>
      <w:lvlText w:val=""/>
      <w:lvlJc w:val="left"/>
      <w:pPr>
        <w:tabs>
          <w:tab w:val="left" w:pos="420"/>
        </w:tabs>
        <w:ind w:left="840" w:hanging="420"/>
      </w:pPr>
      <w:rPr>
        <w:rFonts w:hint="default" w:ascii="Wingdings" w:hAnsi="Wingdings"/>
      </w:rPr>
    </w:lvl>
  </w:abstractNum>
  <w:abstractNum w:abstractNumId="17">
    <w:nsid w:val="F7FE2A15"/>
    <w:multiLevelType w:val="multilevel"/>
    <w:tmpl w:val="F7FE2A15"/>
    <w:lvl w:ilvl="0" w:tentative="0">
      <w:start w:val="1"/>
      <w:numFmt w:val="bullet"/>
      <w:lvlText w:val=""/>
      <w:lvlJc w:val="left"/>
      <w:pPr>
        <w:tabs>
          <w:tab w:val="left" w:pos="420"/>
        </w:tabs>
        <w:ind w:left="840" w:hanging="420"/>
      </w:pPr>
      <w:rPr>
        <w:rFonts w:hint="default" w:ascii="Wingdings" w:hAnsi="Wingdings"/>
      </w:rPr>
    </w:lvl>
    <w:lvl w:ilvl="1" w:tentative="0">
      <w:start w:val="1"/>
      <w:numFmt w:val="bullet"/>
      <w:lvlText w:val=""/>
      <w:lvlJc w:val="left"/>
      <w:pPr>
        <w:tabs>
          <w:tab w:val="left" w:pos="1260"/>
        </w:tabs>
        <w:ind w:left="1260" w:leftChars="0" w:hanging="420" w:firstLineChars="0"/>
      </w:pPr>
      <w:rPr>
        <w:rFonts w:hint="default" w:ascii="Wingdings" w:hAnsi="Wingdings"/>
      </w:rPr>
    </w:lvl>
    <w:lvl w:ilvl="2" w:tentative="0">
      <w:start w:val="1"/>
      <w:numFmt w:val="bullet"/>
      <w:lvlText w:val=""/>
      <w:lvlJc w:val="left"/>
      <w:pPr>
        <w:tabs>
          <w:tab w:val="left" w:pos="1680"/>
        </w:tabs>
        <w:ind w:left="1680" w:leftChars="0" w:hanging="420" w:firstLineChars="0"/>
      </w:pPr>
      <w:rPr>
        <w:rFonts w:hint="default" w:ascii="Wingdings" w:hAnsi="Wingdings"/>
      </w:rPr>
    </w:lvl>
    <w:lvl w:ilvl="3" w:tentative="0">
      <w:start w:val="1"/>
      <w:numFmt w:val="bullet"/>
      <w:lvlText w:val=""/>
      <w:lvlJc w:val="left"/>
      <w:pPr>
        <w:tabs>
          <w:tab w:val="left" w:pos="2100"/>
        </w:tabs>
        <w:ind w:left="2100" w:leftChars="0" w:hanging="420" w:firstLineChars="0"/>
      </w:pPr>
      <w:rPr>
        <w:rFonts w:hint="default" w:ascii="Wingdings" w:hAnsi="Wingdings"/>
      </w:rPr>
    </w:lvl>
    <w:lvl w:ilvl="4" w:tentative="0">
      <w:start w:val="1"/>
      <w:numFmt w:val="bullet"/>
      <w:lvlText w:val=""/>
      <w:lvlJc w:val="left"/>
      <w:pPr>
        <w:tabs>
          <w:tab w:val="left" w:pos="2520"/>
        </w:tabs>
        <w:ind w:left="2520" w:leftChars="0" w:hanging="420" w:firstLineChars="0"/>
      </w:pPr>
      <w:rPr>
        <w:rFonts w:hint="default" w:ascii="Wingdings" w:hAnsi="Wingdings"/>
      </w:rPr>
    </w:lvl>
    <w:lvl w:ilvl="5" w:tentative="0">
      <w:start w:val="1"/>
      <w:numFmt w:val="bullet"/>
      <w:lvlText w:val=""/>
      <w:lvlJc w:val="left"/>
      <w:pPr>
        <w:tabs>
          <w:tab w:val="left" w:pos="2940"/>
        </w:tabs>
        <w:ind w:left="2940" w:leftChars="0" w:hanging="420" w:firstLineChars="0"/>
      </w:pPr>
      <w:rPr>
        <w:rFonts w:hint="default" w:ascii="Wingdings" w:hAnsi="Wingdings"/>
      </w:rPr>
    </w:lvl>
    <w:lvl w:ilvl="6" w:tentative="0">
      <w:start w:val="1"/>
      <w:numFmt w:val="bullet"/>
      <w:lvlText w:val=""/>
      <w:lvlJc w:val="left"/>
      <w:pPr>
        <w:tabs>
          <w:tab w:val="left" w:pos="3360"/>
        </w:tabs>
        <w:ind w:left="3360" w:leftChars="0" w:hanging="420" w:firstLineChars="0"/>
      </w:pPr>
      <w:rPr>
        <w:rFonts w:hint="default" w:ascii="Wingdings" w:hAnsi="Wingdings"/>
      </w:rPr>
    </w:lvl>
    <w:lvl w:ilvl="7" w:tentative="0">
      <w:start w:val="1"/>
      <w:numFmt w:val="bullet"/>
      <w:lvlText w:val=""/>
      <w:lvlJc w:val="left"/>
      <w:pPr>
        <w:tabs>
          <w:tab w:val="left" w:pos="3780"/>
        </w:tabs>
        <w:ind w:left="3780" w:leftChars="0" w:hanging="420" w:firstLineChars="0"/>
      </w:pPr>
      <w:rPr>
        <w:rFonts w:hint="default" w:ascii="Wingdings" w:hAnsi="Wingdings"/>
      </w:rPr>
    </w:lvl>
    <w:lvl w:ilvl="8" w:tentative="0">
      <w:start w:val="1"/>
      <w:numFmt w:val="bullet"/>
      <w:lvlText w:val=""/>
      <w:lvlJc w:val="left"/>
      <w:pPr>
        <w:tabs>
          <w:tab w:val="left" w:pos="4200"/>
        </w:tabs>
        <w:ind w:left="4200" w:leftChars="0" w:hanging="420" w:firstLineChars="0"/>
      </w:pPr>
      <w:rPr>
        <w:rFonts w:hint="default" w:ascii="Wingdings" w:hAnsi="Wingdings"/>
      </w:rPr>
    </w:lvl>
  </w:abstractNum>
  <w:abstractNum w:abstractNumId="18">
    <w:nsid w:val="F9FD386D"/>
    <w:multiLevelType w:val="singleLevel"/>
    <w:tmpl w:val="F9FD386D"/>
    <w:lvl w:ilvl="0" w:tentative="0">
      <w:start w:val="1"/>
      <w:numFmt w:val="decimal"/>
      <w:lvlText w:val="%1."/>
      <w:lvlJc w:val="left"/>
      <w:pPr>
        <w:tabs>
          <w:tab w:val="left" w:pos="840"/>
        </w:tabs>
        <w:ind w:left="1265" w:hanging="425"/>
      </w:pPr>
      <w:rPr>
        <w:rFonts w:hint="default"/>
      </w:rPr>
    </w:lvl>
  </w:abstractNum>
  <w:abstractNum w:abstractNumId="19">
    <w:nsid w:val="FBF711F6"/>
    <w:multiLevelType w:val="singleLevel"/>
    <w:tmpl w:val="FBF711F6"/>
    <w:lvl w:ilvl="0" w:tentative="0">
      <w:start w:val="1"/>
      <w:numFmt w:val="decimal"/>
      <w:lvlText w:val="(%1)"/>
      <w:lvlJc w:val="left"/>
      <w:pPr>
        <w:tabs>
          <w:tab w:val="left" w:pos="840"/>
        </w:tabs>
        <w:ind w:left="1265" w:hanging="425"/>
      </w:pPr>
      <w:rPr>
        <w:rFonts w:hint="default"/>
      </w:rPr>
    </w:lvl>
  </w:abstractNum>
  <w:abstractNum w:abstractNumId="20">
    <w:nsid w:val="FD7754AE"/>
    <w:multiLevelType w:val="singleLevel"/>
    <w:tmpl w:val="FD7754AE"/>
    <w:lvl w:ilvl="0" w:tentative="0">
      <w:start w:val="1"/>
      <w:numFmt w:val="decimal"/>
      <w:lvlText w:val="%1."/>
      <w:lvlJc w:val="left"/>
      <w:pPr>
        <w:tabs>
          <w:tab w:val="left" w:pos="840"/>
        </w:tabs>
        <w:ind w:left="1265" w:hanging="425"/>
      </w:pPr>
      <w:rPr>
        <w:rFonts w:hint="default"/>
      </w:rPr>
    </w:lvl>
  </w:abstractNum>
  <w:abstractNum w:abstractNumId="21">
    <w:nsid w:val="FDBFB2C7"/>
    <w:multiLevelType w:val="singleLevel"/>
    <w:tmpl w:val="FDBFB2C7"/>
    <w:lvl w:ilvl="0" w:tentative="0">
      <w:start w:val="1"/>
      <w:numFmt w:val="decimal"/>
      <w:lvlText w:val="(%1)"/>
      <w:lvlJc w:val="left"/>
      <w:pPr>
        <w:tabs>
          <w:tab w:val="left" w:pos="840"/>
        </w:tabs>
        <w:ind w:left="1265" w:hanging="425"/>
      </w:pPr>
      <w:rPr>
        <w:rFonts w:hint="default"/>
      </w:rPr>
    </w:lvl>
  </w:abstractNum>
  <w:abstractNum w:abstractNumId="22">
    <w:nsid w:val="FE58DA4E"/>
    <w:multiLevelType w:val="multilevel"/>
    <w:tmpl w:val="FE58DA4E"/>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3">
    <w:nsid w:val="FEFE2039"/>
    <w:multiLevelType w:val="singleLevel"/>
    <w:tmpl w:val="FEFE2039"/>
    <w:lvl w:ilvl="0" w:tentative="0">
      <w:start w:val="1"/>
      <w:numFmt w:val="bullet"/>
      <w:lvlText w:val=""/>
      <w:lvlJc w:val="left"/>
      <w:pPr>
        <w:tabs>
          <w:tab w:val="left" w:pos="420"/>
        </w:tabs>
        <w:ind w:left="840" w:hanging="420"/>
      </w:pPr>
      <w:rPr>
        <w:rFonts w:hint="default" w:ascii="Wingdings" w:hAnsi="Wingdings"/>
      </w:rPr>
    </w:lvl>
  </w:abstractNum>
  <w:abstractNum w:abstractNumId="24">
    <w:nsid w:val="FF5EB8E0"/>
    <w:multiLevelType w:val="singleLevel"/>
    <w:tmpl w:val="FF5EB8E0"/>
    <w:lvl w:ilvl="0" w:tentative="0">
      <w:start w:val="1"/>
      <w:numFmt w:val="bullet"/>
      <w:lvlText w:val=""/>
      <w:lvlJc w:val="left"/>
      <w:pPr>
        <w:tabs>
          <w:tab w:val="left" w:pos="420"/>
        </w:tabs>
        <w:ind w:left="840" w:hanging="420"/>
      </w:pPr>
      <w:rPr>
        <w:rFonts w:hint="default" w:ascii="Wingdings" w:hAnsi="Wingdings"/>
      </w:rPr>
    </w:lvl>
  </w:abstractNum>
  <w:abstractNum w:abstractNumId="25">
    <w:nsid w:val="FFD0308F"/>
    <w:multiLevelType w:val="singleLevel"/>
    <w:tmpl w:val="FFD0308F"/>
    <w:lvl w:ilvl="0" w:tentative="0">
      <w:start w:val="1"/>
      <w:numFmt w:val="bullet"/>
      <w:lvlText w:val=""/>
      <w:lvlJc w:val="left"/>
      <w:pPr>
        <w:tabs>
          <w:tab w:val="left" w:pos="420"/>
        </w:tabs>
        <w:ind w:left="840" w:hanging="420"/>
      </w:pPr>
      <w:rPr>
        <w:rFonts w:hint="default" w:ascii="Wingdings" w:hAnsi="Wingdings"/>
      </w:rPr>
    </w:lvl>
  </w:abstractNum>
  <w:abstractNum w:abstractNumId="26">
    <w:nsid w:val="FFF93C7E"/>
    <w:multiLevelType w:val="singleLevel"/>
    <w:tmpl w:val="FFF93C7E"/>
    <w:lvl w:ilvl="0" w:tentative="0">
      <w:start w:val="1"/>
      <w:numFmt w:val="bullet"/>
      <w:lvlText w:val=""/>
      <w:lvlJc w:val="left"/>
      <w:pPr>
        <w:tabs>
          <w:tab w:val="left" w:pos="420"/>
        </w:tabs>
        <w:ind w:left="840" w:hanging="420"/>
      </w:pPr>
      <w:rPr>
        <w:rFonts w:hint="default" w:ascii="Wingdings" w:hAnsi="Wingdings"/>
      </w:rPr>
    </w:lvl>
  </w:abstractNum>
  <w:abstractNum w:abstractNumId="27">
    <w:nsid w:val="3FEFFA35"/>
    <w:multiLevelType w:val="singleLevel"/>
    <w:tmpl w:val="3FEFFA35"/>
    <w:lvl w:ilvl="0" w:tentative="0">
      <w:start w:val="1"/>
      <w:numFmt w:val="bullet"/>
      <w:lvlText w:val=""/>
      <w:lvlJc w:val="left"/>
      <w:pPr>
        <w:tabs>
          <w:tab w:val="left" w:pos="420"/>
        </w:tabs>
        <w:ind w:left="840" w:hanging="420"/>
      </w:pPr>
      <w:rPr>
        <w:rFonts w:hint="default" w:ascii="Wingdings" w:hAnsi="Wingdings"/>
      </w:rPr>
    </w:lvl>
  </w:abstractNum>
  <w:abstractNum w:abstractNumId="28">
    <w:nsid w:val="5BCF1DFB"/>
    <w:multiLevelType w:val="singleLevel"/>
    <w:tmpl w:val="5BCF1DFB"/>
    <w:lvl w:ilvl="0" w:tentative="0">
      <w:start w:val="1"/>
      <w:numFmt w:val="bullet"/>
      <w:lvlText w:val=""/>
      <w:lvlJc w:val="left"/>
      <w:pPr>
        <w:tabs>
          <w:tab w:val="left" w:pos="420"/>
        </w:tabs>
        <w:ind w:left="840" w:hanging="420"/>
      </w:pPr>
      <w:rPr>
        <w:rFonts w:hint="default" w:ascii="Wingdings" w:hAnsi="Wingdings"/>
      </w:rPr>
    </w:lvl>
  </w:abstractNum>
  <w:abstractNum w:abstractNumId="29">
    <w:nsid w:val="5CFD2E55"/>
    <w:multiLevelType w:val="multilevel"/>
    <w:tmpl w:val="5CFD2E55"/>
    <w:lvl w:ilvl="0" w:tentative="0">
      <w:start w:val="1"/>
      <w:numFmt w:val="bullet"/>
      <w:lvlText w:val=""/>
      <w:lvlJc w:val="left"/>
      <w:pPr>
        <w:tabs>
          <w:tab w:val="left" w:pos="420"/>
        </w:tabs>
        <w:ind w:left="840" w:hanging="420"/>
      </w:pPr>
      <w:rPr>
        <w:rFonts w:hint="default" w:ascii="Wingdings" w:hAnsi="Wingdings"/>
      </w:rPr>
    </w:lvl>
    <w:lvl w:ilvl="1" w:tentative="0">
      <w:start w:val="1"/>
      <w:numFmt w:val="bullet"/>
      <w:lvlText w:val=""/>
      <w:lvlJc w:val="left"/>
      <w:pPr>
        <w:tabs>
          <w:tab w:val="left" w:pos="840"/>
        </w:tabs>
        <w:ind w:left="1260" w:leftChars="0" w:hanging="420" w:firstLineChars="0"/>
      </w:pPr>
      <w:rPr>
        <w:rFonts w:hint="default" w:ascii="Wingdings" w:hAnsi="Wingdings"/>
      </w:rPr>
    </w:lvl>
    <w:lvl w:ilvl="2" w:tentative="0">
      <w:start w:val="1"/>
      <w:numFmt w:val="bullet"/>
      <w:lvlText w:val=""/>
      <w:lvlJc w:val="left"/>
      <w:pPr>
        <w:tabs>
          <w:tab w:val="left" w:pos="1260"/>
        </w:tabs>
        <w:ind w:left="1680" w:leftChars="0" w:hanging="420" w:firstLineChars="0"/>
      </w:pPr>
      <w:rPr>
        <w:rFonts w:hint="default" w:ascii="Wingdings" w:hAnsi="Wingdings"/>
      </w:rPr>
    </w:lvl>
    <w:lvl w:ilvl="3" w:tentative="0">
      <w:start w:val="1"/>
      <w:numFmt w:val="bullet"/>
      <w:lvlText w:val=""/>
      <w:lvlJc w:val="left"/>
      <w:pPr>
        <w:tabs>
          <w:tab w:val="left" w:pos="1680"/>
        </w:tabs>
        <w:ind w:left="2100" w:leftChars="0" w:hanging="420" w:firstLineChars="0"/>
      </w:pPr>
      <w:rPr>
        <w:rFonts w:hint="default" w:ascii="Wingdings" w:hAnsi="Wingdings"/>
      </w:rPr>
    </w:lvl>
    <w:lvl w:ilvl="4" w:tentative="0">
      <w:start w:val="1"/>
      <w:numFmt w:val="bullet"/>
      <w:lvlText w:val=""/>
      <w:lvlJc w:val="left"/>
      <w:pPr>
        <w:tabs>
          <w:tab w:val="left" w:pos="2100"/>
        </w:tabs>
        <w:ind w:left="2520" w:leftChars="0" w:hanging="420" w:firstLineChars="0"/>
      </w:pPr>
      <w:rPr>
        <w:rFonts w:hint="default" w:ascii="Wingdings" w:hAnsi="Wingdings"/>
      </w:rPr>
    </w:lvl>
    <w:lvl w:ilvl="5" w:tentative="0">
      <w:start w:val="1"/>
      <w:numFmt w:val="bullet"/>
      <w:lvlText w:val=""/>
      <w:lvlJc w:val="left"/>
      <w:pPr>
        <w:tabs>
          <w:tab w:val="left" w:pos="2520"/>
        </w:tabs>
        <w:ind w:left="2940" w:leftChars="0" w:hanging="420" w:firstLineChars="0"/>
      </w:pPr>
      <w:rPr>
        <w:rFonts w:hint="default" w:ascii="Wingdings" w:hAnsi="Wingdings"/>
      </w:rPr>
    </w:lvl>
    <w:lvl w:ilvl="6" w:tentative="0">
      <w:start w:val="1"/>
      <w:numFmt w:val="bullet"/>
      <w:lvlText w:val=""/>
      <w:lvlJc w:val="left"/>
      <w:pPr>
        <w:tabs>
          <w:tab w:val="left" w:pos="2940"/>
        </w:tabs>
        <w:ind w:left="3360" w:leftChars="0" w:hanging="420" w:firstLineChars="0"/>
      </w:pPr>
      <w:rPr>
        <w:rFonts w:hint="default" w:ascii="Wingdings" w:hAnsi="Wingdings"/>
      </w:rPr>
    </w:lvl>
    <w:lvl w:ilvl="7" w:tentative="0">
      <w:start w:val="1"/>
      <w:numFmt w:val="bullet"/>
      <w:lvlText w:val=""/>
      <w:lvlJc w:val="left"/>
      <w:pPr>
        <w:tabs>
          <w:tab w:val="left" w:pos="3360"/>
        </w:tabs>
        <w:ind w:left="3780" w:leftChars="0" w:hanging="420" w:firstLineChars="0"/>
      </w:pPr>
      <w:rPr>
        <w:rFonts w:hint="default" w:ascii="Wingdings" w:hAnsi="Wingdings"/>
      </w:rPr>
    </w:lvl>
    <w:lvl w:ilvl="8" w:tentative="0">
      <w:start w:val="1"/>
      <w:numFmt w:val="bullet"/>
      <w:lvlText w:val=""/>
      <w:lvlJc w:val="left"/>
      <w:pPr>
        <w:tabs>
          <w:tab w:val="left" w:pos="3780"/>
        </w:tabs>
        <w:ind w:left="4200" w:leftChars="0" w:hanging="420" w:firstLineChars="0"/>
      </w:pPr>
      <w:rPr>
        <w:rFonts w:hint="default" w:ascii="Wingdings" w:hAnsi="Wingdings"/>
      </w:rPr>
    </w:lvl>
  </w:abstractNum>
  <w:abstractNum w:abstractNumId="30">
    <w:nsid w:val="5F668615"/>
    <w:multiLevelType w:val="singleLevel"/>
    <w:tmpl w:val="5F668615"/>
    <w:lvl w:ilvl="0" w:tentative="0">
      <w:start w:val="1"/>
      <w:numFmt w:val="decimal"/>
      <w:lvlText w:val="%1."/>
      <w:lvlJc w:val="left"/>
      <w:pPr>
        <w:tabs>
          <w:tab w:val="left" w:pos="420"/>
        </w:tabs>
        <w:ind w:left="845" w:hanging="425"/>
      </w:pPr>
      <w:rPr>
        <w:rFonts w:hint="default"/>
      </w:rPr>
    </w:lvl>
  </w:abstractNum>
  <w:abstractNum w:abstractNumId="31">
    <w:nsid w:val="5FBFEECE"/>
    <w:multiLevelType w:val="singleLevel"/>
    <w:tmpl w:val="5FBFEECE"/>
    <w:lvl w:ilvl="0" w:tentative="0">
      <w:start w:val="1"/>
      <w:numFmt w:val="decimal"/>
      <w:lvlText w:val="%1."/>
      <w:lvlJc w:val="left"/>
      <w:pPr>
        <w:tabs>
          <w:tab w:val="left" w:pos="420"/>
        </w:tabs>
        <w:ind w:left="845" w:hanging="425"/>
      </w:pPr>
      <w:rPr>
        <w:rFonts w:hint="default"/>
      </w:rPr>
    </w:lvl>
  </w:abstractNum>
  <w:abstractNum w:abstractNumId="32">
    <w:nsid w:val="71C26698"/>
    <w:multiLevelType w:val="multilevel"/>
    <w:tmpl w:val="71C26698"/>
    <w:lvl w:ilvl="0" w:tentative="0">
      <w:start w:val="2"/>
      <w:numFmt w:val="bullet"/>
      <w:lvlText w:val="□"/>
      <w:lvlJc w:val="left"/>
      <w:pPr>
        <w:tabs>
          <w:tab w:val="left" w:pos="360"/>
        </w:tabs>
        <w:ind w:left="360" w:hanging="360"/>
      </w:pPr>
      <w:rPr>
        <w:rFonts w:hint="eastAsia" w:ascii="宋体" w:hAnsi="宋体" w:eastAsia="宋体" w:cs="Times New Roman"/>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33">
    <w:nsid w:val="72FD575D"/>
    <w:multiLevelType w:val="singleLevel"/>
    <w:tmpl w:val="72FD575D"/>
    <w:lvl w:ilvl="0" w:tentative="0">
      <w:start w:val="1"/>
      <w:numFmt w:val="bullet"/>
      <w:lvlText w:val=""/>
      <w:lvlJc w:val="left"/>
      <w:pPr>
        <w:tabs>
          <w:tab w:val="left" w:pos="420"/>
        </w:tabs>
        <w:ind w:left="840" w:hanging="420"/>
      </w:pPr>
      <w:rPr>
        <w:rFonts w:hint="default" w:ascii="Wingdings" w:hAnsi="Wingdings"/>
      </w:rPr>
    </w:lvl>
  </w:abstractNum>
  <w:num w:numId="1">
    <w:abstractNumId w:val="4"/>
  </w:num>
  <w:num w:numId="2">
    <w:abstractNumId w:val="3"/>
  </w:num>
  <w:num w:numId="3">
    <w:abstractNumId w:val="9"/>
  </w:num>
  <w:num w:numId="4">
    <w:abstractNumId w:val="12"/>
  </w:num>
  <w:num w:numId="5">
    <w:abstractNumId w:val="21"/>
  </w:num>
  <w:num w:numId="6">
    <w:abstractNumId w:val="19"/>
  </w:num>
  <w:num w:numId="7">
    <w:abstractNumId w:val="18"/>
  </w:num>
  <w:num w:numId="8">
    <w:abstractNumId w:val="20"/>
  </w:num>
  <w:num w:numId="9">
    <w:abstractNumId w:val="30"/>
  </w:num>
  <w:num w:numId="10">
    <w:abstractNumId w:val="14"/>
  </w:num>
  <w:num w:numId="11">
    <w:abstractNumId w:val="28"/>
  </w:num>
  <w:num w:numId="12">
    <w:abstractNumId w:val="29"/>
  </w:num>
  <w:num w:numId="13">
    <w:abstractNumId w:val="2"/>
  </w:num>
  <w:num w:numId="14">
    <w:abstractNumId w:val="8"/>
  </w:num>
  <w:num w:numId="15">
    <w:abstractNumId w:val="7"/>
  </w:num>
  <w:num w:numId="16">
    <w:abstractNumId w:val="23"/>
  </w:num>
  <w:num w:numId="17">
    <w:abstractNumId w:val="33"/>
  </w:num>
  <w:num w:numId="18">
    <w:abstractNumId w:val="26"/>
  </w:num>
  <w:num w:numId="19">
    <w:abstractNumId w:val="24"/>
  </w:num>
  <w:num w:numId="20">
    <w:abstractNumId w:val="16"/>
  </w:num>
  <w:num w:numId="21">
    <w:abstractNumId w:val="17"/>
  </w:num>
  <w:num w:numId="22">
    <w:abstractNumId w:val="31"/>
  </w:num>
  <w:num w:numId="23">
    <w:abstractNumId w:val="27"/>
  </w:num>
  <w:num w:numId="24">
    <w:abstractNumId w:val="13"/>
  </w:num>
  <w:num w:numId="25">
    <w:abstractNumId w:val="15"/>
  </w:num>
  <w:num w:numId="26">
    <w:abstractNumId w:val="1"/>
  </w:num>
  <w:num w:numId="27">
    <w:abstractNumId w:val="10"/>
  </w:num>
  <w:num w:numId="28">
    <w:abstractNumId w:val="25"/>
  </w:num>
  <w:num w:numId="29">
    <w:abstractNumId w:val="5"/>
  </w:num>
  <w:num w:numId="30">
    <w:abstractNumId w:val="11"/>
  </w:num>
  <w:num w:numId="31">
    <w:abstractNumId w:val="22"/>
  </w:num>
  <w:num w:numId="32">
    <w:abstractNumId w:val="6"/>
  </w:num>
  <w:num w:numId="33">
    <w:abstractNumId w:val="0"/>
  </w:num>
  <w:num w:numId="3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38"/>
  <w:bordersDoNotSurroundHeader w:val="0"/>
  <w:bordersDoNotSurroundFooter w:val="0"/>
  <w:hideSpellingErrors/>
  <w:documentProtection w:enforcement="0"/>
  <w:defaultTabStop w:val="420"/>
  <w:drawingGridHorizontalSpacing w:val="144"/>
  <w:drawingGridVerticalSpacing w:val="191"/>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Y4ZTQyMzY5YmJjOWIwOTQ1OWUyYTU1NTk0NTM4MjkifQ=="/>
  </w:docVars>
  <w:rsids>
    <w:rsidRoot w:val="33BD49B9"/>
    <w:rsid w:val="00002D15"/>
    <w:rsid w:val="0000344C"/>
    <w:rsid w:val="000044C9"/>
    <w:rsid w:val="00004BD7"/>
    <w:rsid w:val="00005C82"/>
    <w:rsid w:val="000061C2"/>
    <w:rsid w:val="00006BF6"/>
    <w:rsid w:val="00006E0B"/>
    <w:rsid w:val="00007064"/>
    <w:rsid w:val="00010561"/>
    <w:rsid w:val="000114D7"/>
    <w:rsid w:val="00011F7A"/>
    <w:rsid w:val="000120F7"/>
    <w:rsid w:val="00012C65"/>
    <w:rsid w:val="0001350B"/>
    <w:rsid w:val="000144B8"/>
    <w:rsid w:val="00017CC8"/>
    <w:rsid w:val="000203A1"/>
    <w:rsid w:val="00020D14"/>
    <w:rsid w:val="00020F29"/>
    <w:rsid w:val="00021644"/>
    <w:rsid w:val="0002267C"/>
    <w:rsid w:val="000226D1"/>
    <w:rsid w:val="00022FFA"/>
    <w:rsid w:val="0002436A"/>
    <w:rsid w:val="00025759"/>
    <w:rsid w:val="00025B7F"/>
    <w:rsid w:val="00025EC4"/>
    <w:rsid w:val="00026206"/>
    <w:rsid w:val="00026208"/>
    <w:rsid w:val="000263DE"/>
    <w:rsid w:val="000267CC"/>
    <w:rsid w:val="000272EA"/>
    <w:rsid w:val="0002757C"/>
    <w:rsid w:val="00027E2A"/>
    <w:rsid w:val="00030F03"/>
    <w:rsid w:val="00030F7D"/>
    <w:rsid w:val="000315D6"/>
    <w:rsid w:val="00034077"/>
    <w:rsid w:val="00035486"/>
    <w:rsid w:val="00035B95"/>
    <w:rsid w:val="0004014A"/>
    <w:rsid w:val="000404BB"/>
    <w:rsid w:val="00041CA3"/>
    <w:rsid w:val="00043EBE"/>
    <w:rsid w:val="000442B1"/>
    <w:rsid w:val="00044EA4"/>
    <w:rsid w:val="0004648A"/>
    <w:rsid w:val="00047017"/>
    <w:rsid w:val="00047910"/>
    <w:rsid w:val="00047958"/>
    <w:rsid w:val="00050175"/>
    <w:rsid w:val="0005136C"/>
    <w:rsid w:val="0005148C"/>
    <w:rsid w:val="000518F8"/>
    <w:rsid w:val="00051918"/>
    <w:rsid w:val="00055E46"/>
    <w:rsid w:val="00056954"/>
    <w:rsid w:val="00056B8F"/>
    <w:rsid w:val="00056CB2"/>
    <w:rsid w:val="00057CB4"/>
    <w:rsid w:val="0006022F"/>
    <w:rsid w:val="00060911"/>
    <w:rsid w:val="00062242"/>
    <w:rsid w:val="000625D1"/>
    <w:rsid w:val="000626CC"/>
    <w:rsid w:val="00062EF3"/>
    <w:rsid w:val="00063C33"/>
    <w:rsid w:val="00064E7D"/>
    <w:rsid w:val="00065EED"/>
    <w:rsid w:val="000663E8"/>
    <w:rsid w:val="00066558"/>
    <w:rsid w:val="00070375"/>
    <w:rsid w:val="000708E0"/>
    <w:rsid w:val="00070C21"/>
    <w:rsid w:val="000718F7"/>
    <w:rsid w:val="00072AEE"/>
    <w:rsid w:val="00072C86"/>
    <w:rsid w:val="00073800"/>
    <w:rsid w:val="00073B08"/>
    <w:rsid w:val="00073DF1"/>
    <w:rsid w:val="0007547F"/>
    <w:rsid w:val="00075EFB"/>
    <w:rsid w:val="00075FD4"/>
    <w:rsid w:val="000763E3"/>
    <w:rsid w:val="0007761D"/>
    <w:rsid w:val="00081486"/>
    <w:rsid w:val="000825FA"/>
    <w:rsid w:val="00082CF2"/>
    <w:rsid w:val="00083965"/>
    <w:rsid w:val="0008465B"/>
    <w:rsid w:val="0008531E"/>
    <w:rsid w:val="0008555E"/>
    <w:rsid w:val="00085944"/>
    <w:rsid w:val="00087635"/>
    <w:rsid w:val="00087BF2"/>
    <w:rsid w:val="0009038A"/>
    <w:rsid w:val="00093DEC"/>
    <w:rsid w:val="000944EA"/>
    <w:rsid w:val="000945B2"/>
    <w:rsid w:val="000945C6"/>
    <w:rsid w:val="000945F2"/>
    <w:rsid w:val="000955CC"/>
    <w:rsid w:val="0009643B"/>
    <w:rsid w:val="0009660E"/>
    <w:rsid w:val="00097A73"/>
    <w:rsid w:val="00097C6A"/>
    <w:rsid w:val="000A5C84"/>
    <w:rsid w:val="000A5F43"/>
    <w:rsid w:val="000A7091"/>
    <w:rsid w:val="000B0BAB"/>
    <w:rsid w:val="000B14DF"/>
    <w:rsid w:val="000B1941"/>
    <w:rsid w:val="000B27C6"/>
    <w:rsid w:val="000B2857"/>
    <w:rsid w:val="000B2B95"/>
    <w:rsid w:val="000B2DFE"/>
    <w:rsid w:val="000B2FA8"/>
    <w:rsid w:val="000B31C1"/>
    <w:rsid w:val="000B3ABC"/>
    <w:rsid w:val="000B42DE"/>
    <w:rsid w:val="000B4CB2"/>
    <w:rsid w:val="000B5BED"/>
    <w:rsid w:val="000B63B1"/>
    <w:rsid w:val="000B6AD8"/>
    <w:rsid w:val="000B7F5B"/>
    <w:rsid w:val="000C14C7"/>
    <w:rsid w:val="000C1691"/>
    <w:rsid w:val="000C1725"/>
    <w:rsid w:val="000C2180"/>
    <w:rsid w:val="000C3BB3"/>
    <w:rsid w:val="000C5015"/>
    <w:rsid w:val="000C6000"/>
    <w:rsid w:val="000C66A2"/>
    <w:rsid w:val="000C6797"/>
    <w:rsid w:val="000C6B5B"/>
    <w:rsid w:val="000C732F"/>
    <w:rsid w:val="000C759F"/>
    <w:rsid w:val="000D24CA"/>
    <w:rsid w:val="000D2588"/>
    <w:rsid w:val="000D2E09"/>
    <w:rsid w:val="000D3501"/>
    <w:rsid w:val="000D3C2A"/>
    <w:rsid w:val="000D42C9"/>
    <w:rsid w:val="000D46C0"/>
    <w:rsid w:val="000D7614"/>
    <w:rsid w:val="000D78A6"/>
    <w:rsid w:val="000D7B0E"/>
    <w:rsid w:val="000E04F1"/>
    <w:rsid w:val="000E0658"/>
    <w:rsid w:val="000E113B"/>
    <w:rsid w:val="000E1417"/>
    <w:rsid w:val="000E1AA4"/>
    <w:rsid w:val="000E210E"/>
    <w:rsid w:val="000E2C70"/>
    <w:rsid w:val="000E2F15"/>
    <w:rsid w:val="000E3279"/>
    <w:rsid w:val="000E3E1E"/>
    <w:rsid w:val="000E5E59"/>
    <w:rsid w:val="000E6D8C"/>
    <w:rsid w:val="000E6E7D"/>
    <w:rsid w:val="000E74B9"/>
    <w:rsid w:val="000F097B"/>
    <w:rsid w:val="000F1F6E"/>
    <w:rsid w:val="000F1F70"/>
    <w:rsid w:val="000F227D"/>
    <w:rsid w:val="000F2CE5"/>
    <w:rsid w:val="000F3185"/>
    <w:rsid w:val="000F3288"/>
    <w:rsid w:val="000F3297"/>
    <w:rsid w:val="000F473B"/>
    <w:rsid w:val="000F56C4"/>
    <w:rsid w:val="000F5CFD"/>
    <w:rsid w:val="000F6C9B"/>
    <w:rsid w:val="000F6F98"/>
    <w:rsid w:val="001010A4"/>
    <w:rsid w:val="00101CEC"/>
    <w:rsid w:val="00102491"/>
    <w:rsid w:val="001025C9"/>
    <w:rsid w:val="00105DEA"/>
    <w:rsid w:val="00106AD4"/>
    <w:rsid w:val="0011056D"/>
    <w:rsid w:val="00110806"/>
    <w:rsid w:val="0011275D"/>
    <w:rsid w:val="00112E44"/>
    <w:rsid w:val="00114634"/>
    <w:rsid w:val="00114A30"/>
    <w:rsid w:val="00115310"/>
    <w:rsid w:val="001158DD"/>
    <w:rsid w:val="00115B6A"/>
    <w:rsid w:val="001160E0"/>
    <w:rsid w:val="00116ABD"/>
    <w:rsid w:val="00116FC2"/>
    <w:rsid w:val="001174CC"/>
    <w:rsid w:val="0011775C"/>
    <w:rsid w:val="001178FB"/>
    <w:rsid w:val="00120648"/>
    <w:rsid w:val="00122208"/>
    <w:rsid w:val="00124537"/>
    <w:rsid w:val="00124565"/>
    <w:rsid w:val="0012575C"/>
    <w:rsid w:val="001266A1"/>
    <w:rsid w:val="00127076"/>
    <w:rsid w:val="001302CF"/>
    <w:rsid w:val="00131980"/>
    <w:rsid w:val="0013238E"/>
    <w:rsid w:val="00132FAA"/>
    <w:rsid w:val="00133627"/>
    <w:rsid w:val="00134261"/>
    <w:rsid w:val="00134994"/>
    <w:rsid w:val="001352DF"/>
    <w:rsid w:val="0013558D"/>
    <w:rsid w:val="00135C54"/>
    <w:rsid w:val="0013610F"/>
    <w:rsid w:val="001365D4"/>
    <w:rsid w:val="00136735"/>
    <w:rsid w:val="00141006"/>
    <w:rsid w:val="001425B3"/>
    <w:rsid w:val="00144219"/>
    <w:rsid w:val="00144F9E"/>
    <w:rsid w:val="001454E6"/>
    <w:rsid w:val="00145B12"/>
    <w:rsid w:val="00147FBF"/>
    <w:rsid w:val="00150C75"/>
    <w:rsid w:val="00151088"/>
    <w:rsid w:val="00151164"/>
    <w:rsid w:val="00151A9D"/>
    <w:rsid w:val="001527EE"/>
    <w:rsid w:val="00152A76"/>
    <w:rsid w:val="00152B1C"/>
    <w:rsid w:val="001530C6"/>
    <w:rsid w:val="00153B48"/>
    <w:rsid w:val="001540B8"/>
    <w:rsid w:val="00156E85"/>
    <w:rsid w:val="00157907"/>
    <w:rsid w:val="00157FB6"/>
    <w:rsid w:val="00161E41"/>
    <w:rsid w:val="00163939"/>
    <w:rsid w:val="00164A2B"/>
    <w:rsid w:val="00164AD4"/>
    <w:rsid w:val="00165302"/>
    <w:rsid w:val="001678DC"/>
    <w:rsid w:val="00172C09"/>
    <w:rsid w:val="0017559A"/>
    <w:rsid w:val="0017654E"/>
    <w:rsid w:val="00177331"/>
    <w:rsid w:val="001775F0"/>
    <w:rsid w:val="001779BD"/>
    <w:rsid w:val="00180227"/>
    <w:rsid w:val="00182554"/>
    <w:rsid w:val="00183A86"/>
    <w:rsid w:val="00183D0A"/>
    <w:rsid w:val="00184141"/>
    <w:rsid w:val="00184480"/>
    <w:rsid w:val="00184656"/>
    <w:rsid w:val="00184C55"/>
    <w:rsid w:val="001853F5"/>
    <w:rsid w:val="00185EBE"/>
    <w:rsid w:val="0018602B"/>
    <w:rsid w:val="00187740"/>
    <w:rsid w:val="001904A5"/>
    <w:rsid w:val="0019161C"/>
    <w:rsid w:val="001929BE"/>
    <w:rsid w:val="001942EE"/>
    <w:rsid w:val="001948D6"/>
    <w:rsid w:val="001948EA"/>
    <w:rsid w:val="00194C08"/>
    <w:rsid w:val="00195EF4"/>
    <w:rsid w:val="00196360"/>
    <w:rsid w:val="00196B87"/>
    <w:rsid w:val="00196E05"/>
    <w:rsid w:val="001970B1"/>
    <w:rsid w:val="00197174"/>
    <w:rsid w:val="0019792C"/>
    <w:rsid w:val="00197AD8"/>
    <w:rsid w:val="001A2170"/>
    <w:rsid w:val="001A2D2C"/>
    <w:rsid w:val="001A324A"/>
    <w:rsid w:val="001A3722"/>
    <w:rsid w:val="001A5686"/>
    <w:rsid w:val="001A5749"/>
    <w:rsid w:val="001A68B7"/>
    <w:rsid w:val="001A70D6"/>
    <w:rsid w:val="001A798B"/>
    <w:rsid w:val="001A79C3"/>
    <w:rsid w:val="001B03A2"/>
    <w:rsid w:val="001B1622"/>
    <w:rsid w:val="001B1F58"/>
    <w:rsid w:val="001B1FA6"/>
    <w:rsid w:val="001B299A"/>
    <w:rsid w:val="001B2C8B"/>
    <w:rsid w:val="001B4CBB"/>
    <w:rsid w:val="001B5E90"/>
    <w:rsid w:val="001B69C8"/>
    <w:rsid w:val="001C085E"/>
    <w:rsid w:val="001C1C27"/>
    <w:rsid w:val="001C23E2"/>
    <w:rsid w:val="001C366D"/>
    <w:rsid w:val="001C3C5C"/>
    <w:rsid w:val="001C54AE"/>
    <w:rsid w:val="001C6122"/>
    <w:rsid w:val="001C6292"/>
    <w:rsid w:val="001C6CD7"/>
    <w:rsid w:val="001D0489"/>
    <w:rsid w:val="001D1D0B"/>
    <w:rsid w:val="001D6A2B"/>
    <w:rsid w:val="001D7346"/>
    <w:rsid w:val="001D78DB"/>
    <w:rsid w:val="001E0481"/>
    <w:rsid w:val="001E112F"/>
    <w:rsid w:val="001E27C7"/>
    <w:rsid w:val="001E306A"/>
    <w:rsid w:val="001E3188"/>
    <w:rsid w:val="001E4280"/>
    <w:rsid w:val="001E4ACE"/>
    <w:rsid w:val="001E54D8"/>
    <w:rsid w:val="001E7345"/>
    <w:rsid w:val="001E74FF"/>
    <w:rsid w:val="001E7545"/>
    <w:rsid w:val="001F244E"/>
    <w:rsid w:val="001F2E10"/>
    <w:rsid w:val="001F730E"/>
    <w:rsid w:val="001F79B1"/>
    <w:rsid w:val="002001E1"/>
    <w:rsid w:val="00200AA8"/>
    <w:rsid w:val="00200DE8"/>
    <w:rsid w:val="0020110D"/>
    <w:rsid w:val="002012ED"/>
    <w:rsid w:val="00201433"/>
    <w:rsid w:val="00201928"/>
    <w:rsid w:val="0020205F"/>
    <w:rsid w:val="00202BD5"/>
    <w:rsid w:val="00202E57"/>
    <w:rsid w:val="00203885"/>
    <w:rsid w:val="00203E6A"/>
    <w:rsid w:val="002050F0"/>
    <w:rsid w:val="00205286"/>
    <w:rsid w:val="002055B7"/>
    <w:rsid w:val="00206AAB"/>
    <w:rsid w:val="0020775F"/>
    <w:rsid w:val="00210D50"/>
    <w:rsid w:val="00211A09"/>
    <w:rsid w:val="00211CDD"/>
    <w:rsid w:val="002129E9"/>
    <w:rsid w:val="00212D21"/>
    <w:rsid w:val="00213E4D"/>
    <w:rsid w:val="00213F21"/>
    <w:rsid w:val="002149DD"/>
    <w:rsid w:val="00215BD5"/>
    <w:rsid w:val="0021606D"/>
    <w:rsid w:val="00217039"/>
    <w:rsid w:val="00217321"/>
    <w:rsid w:val="0021759E"/>
    <w:rsid w:val="00220FAA"/>
    <w:rsid w:val="002213D1"/>
    <w:rsid w:val="00222D03"/>
    <w:rsid w:val="002260C7"/>
    <w:rsid w:val="0022638E"/>
    <w:rsid w:val="002270AD"/>
    <w:rsid w:val="002274DA"/>
    <w:rsid w:val="00230841"/>
    <w:rsid w:val="00231C72"/>
    <w:rsid w:val="00231E82"/>
    <w:rsid w:val="0023318D"/>
    <w:rsid w:val="002341A9"/>
    <w:rsid w:val="00235BBB"/>
    <w:rsid w:val="00235C27"/>
    <w:rsid w:val="0023662F"/>
    <w:rsid w:val="00236AC1"/>
    <w:rsid w:val="002379D9"/>
    <w:rsid w:val="00240928"/>
    <w:rsid w:val="00241084"/>
    <w:rsid w:val="00241844"/>
    <w:rsid w:val="00241896"/>
    <w:rsid w:val="002423BA"/>
    <w:rsid w:val="002429D1"/>
    <w:rsid w:val="002432B2"/>
    <w:rsid w:val="0024521C"/>
    <w:rsid w:val="00245865"/>
    <w:rsid w:val="00247439"/>
    <w:rsid w:val="00252895"/>
    <w:rsid w:val="00252CC5"/>
    <w:rsid w:val="00253D9E"/>
    <w:rsid w:val="0025477E"/>
    <w:rsid w:val="00255730"/>
    <w:rsid w:val="0025798B"/>
    <w:rsid w:val="00257AEA"/>
    <w:rsid w:val="0026012D"/>
    <w:rsid w:val="002606D5"/>
    <w:rsid w:val="00260A6E"/>
    <w:rsid w:val="00261913"/>
    <w:rsid w:val="002620CF"/>
    <w:rsid w:val="00262983"/>
    <w:rsid w:val="00264AD4"/>
    <w:rsid w:val="00264C54"/>
    <w:rsid w:val="002652CA"/>
    <w:rsid w:val="0026609F"/>
    <w:rsid w:val="002665D2"/>
    <w:rsid w:val="00267D7F"/>
    <w:rsid w:val="00267DA4"/>
    <w:rsid w:val="00270813"/>
    <w:rsid w:val="002721FD"/>
    <w:rsid w:val="002729B6"/>
    <w:rsid w:val="002735DB"/>
    <w:rsid w:val="002737AA"/>
    <w:rsid w:val="002738AA"/>
    <w:rsid w:val="0027564D"/>
    <w:rsid w:val="00276BF0"/>
    <w:rsid w:val="0027765D"/>
    <w:rsid w:val="002812F3"/>
    <w:rsid w:val="002825CF"/>
    <w:rsid w:val="002833C9"/>
    <w:rsid w:val="00283FAD"/>
    <w:rsid w:val="00284F1C"/>
    <w:rsid w:val="00285232"/>
    <w:rsid w:val="00285484"/>
    <w:rsid w:val="002876B1"/>
    <w:rsid w:val="00287F9B"/>
    <w:rsid w:val="00290038"/>
    <w:rsid w:val="002900D1"/>
    <w:rsid w:val="00290E2D"/>
    <w:rsid w:val="00292436"/>
    <w:rsid w:val="00292F08"/>
    <w:rsid w:val="0029336A"/>
    <w:rsid w:val="002935A0"/>
    <w:rsid w:val="0029374E"/>
    <w:rsid w:val="002949CF"/>
    <w:rsid w:val="00294EB9"/>
    <w:rsid w:val="00295A2B"/>
    <w:rsid w:val="00295B0A"/>
    <w:rsid w:val="00295C7E"/>
    <w:rsid w:val="0029693A"/>
    <w:rsid w:val="00296C8D"/>
    <w:rsid w:val="002A085D"/>
    <w:rsid w:val="002A0883"/>
    <w:rsid w:val="002A29B3"/>
    <w:rsid w:val="002A36BA"/>
    <w:rsid w:val="002A4F08"/>
    <w:rsid w:val="002A51E7"/>
    <w:rsid w:val="002A58AA"/>
    <w:rsid w:val="002A5CED"/>
    <w:rsid w:val="002A6826"/>
    <w:rsid w:val="002A6D50"/>
    <w:rsid w:val="002B3D59"/>
    <w:rsid w:val="002B4334"/>
    <w:rsid w:val="002B45B6"/>
    <w:rsid w:val="002B5698"/>
    <w:rsid w:val="002B7CF6"/>
    <w:rsid w:val="002C091C"/>
    <w:rsid w:val="002C21F9"/>
    <w:rsid w:val="002C455F"/>
    <w:rsid w:val="002C51AA"/>
    <w:rsid w:val="002C641C"/>
    <w:rsid w:val="002C6A2D"/>
    <w:rsid w:val="002C6EF2"/>
    <w:rsid w:val="002C724E"/>
    <w:rsid w:val="002C7CFA"/>
    <w:rsid w:val="002D136E"/>
    <w:rsid w:val="002D1F34"/>
    <w:rsid w:val="002D4FE6"/>
    <w:rsid w:val="002D55D7"/>
    <w:rsid w:val="002D6C9C"/>
    <w:rsid w:val="002D6CD4"/>
    <w:rsid w:val="002D7495"/>
    <w:rsid w:val="002E02EE"/>
    <w:rsid w:val="002E1E97"/>
    <w:rsid w:val="002E32A1"/>
    <w:rsid w:val="002E3985"/>
    <w:rsid w:val="002E3C29"/>
    <w:rsid w:val="002E3F1A"/>
    <w:rsid w:val="002E58F1"/>
    <w:rsid w:val="002E6F7D"/>
    <w:rsid w:val="002E7245"/>
    <w:rsid w:val="002E7F2C"/>
    <w:rsid w:val="002F1D7F"/>
    <w:rsid w:val="002F37BE"/>
    <w:rsid w:val="002F4184"/>
    <w:rsid w:val="002F5550"/>
    <w:rsid w:val="003000FD"/>
    <w:rsid w:val="003009C1"/>
    <w:rsid w:val="003021FB"/>
    <w:rsid w:val="00302750"/>
    <w:rsid w:val="00302A94"/>
    <w:rsid w:val="00302DBC"/>
    <w:rsid w:val="00306089"/>
    <w:rsid w:val="0030637A"/>
    <w:rsid w:val="0030698A"/>
    <w:rsid w:val="00306E8C"/>
    <w:rsid w:val="003102DF"/>
    <w:rsid w:val="00310698"/>
    <w:rsid w:val="0031120C"/>
    <w:rsid w:val="00311A98"/>
    <w:rsid w:val="00314A5D"/>
    <w:rsid w:val="00314C66"/>
    <w:rsid w:val="0031638B"/>
    <w:rsid w:val="00316C11"/>
    <w:rsid w:val="0032040C"/>
    <w:rsid w:val="003215C4"/>
    <w:rsid w:val="00322C0F"/>
    <w:rsid w:val="00323789"/>
    <w:rsid w:val="00324D3A"/>
    <w:rsid w:val="0032728E"/>
    <w:rsid w:val="00327B5F"/>
    <w:rsid w:val="003308C9"/>
    <w:rsid w:val="00331BF6"/>
    <w:rsid w:val="00333A20"/>
    <w:rsid w:val="00335898"/>
    <w:rsid w:val="00335B38"/>
    <w:rsid w:val="00335CA8"/>
    <w:rsid w:val="00335D14"/>
    <w:rsid w:val="003361DE"/>
    <w:rsid w:val="0033642C"/>
    <w:rsid w:val="00336556"/>
    <w:rsid w:val="00337155"/>
    <w:rsid w:val="00337541"/>
    <w:rsid w:val="00337982"/>
    <w:rsid w:val="003402FA"/>
    <w:rsid w:val="0034098D"/>
    <w:rsid w:val="00340C67"/>
    <w:rsid w:val="00341377"/>
    <w:rsid w:val="003420E3"/>
    <w:rsid w:val="003424A7"/>
    <w:rsid w:val="0034278A"/>
    <w:rsid w:val="003448F5"/>
    <w:rsid w:val="00344F66"/>
    <w:rsid w:val="00345893"/>
    <w:rsid w:val="00346618"/>
    <w:rsid w:val="00346D1E"/>
    <w:rsid w:val="003477DD"/>
    <w:rsid w:val="00347BEE"/>
    <w:rsid w:val="00350198"/>
    <w:rsid w:val="00350598"/>
    <w:rsid w:val="003509A8"/>
    <w:rsid w:val="0035166B"/>
    <w:rsid w:val="0035172A"/>
    <w:rsid w:val="00352FED"/>
    <w:rsid w:val="0035319D"/>
    <w:rsid w:val="0035346D"/>
    <w:rsid w:val="00353510"/>
    <w:rsid w:val="00354584"/>
    <w:rsid w:val="00354D9A"/>
    <w:rsid w:val="003550CC"/>
    <w:rsid w:val="0035589E"/>
    <w:rsid w:val="00357314"/>
    <w:rsid w:val="00357A07"/>
    <w:rsid w:val="00361643"/>
    <w:rsid w:val="00361ED6"/>
    <w:rsid w:val="003630D6"/>
    <w:rsid w:val="0036424E"/>
    <w:rsid w:val="003658D3"/>
    <w:rsid w:val="00366309"/>
    <w:rsid w:val="00367017"/>
    <w:rsid w:val="0037001B"/>
    <w:rsid w:val="00372964"/>
    <w:rsid w:val="003767FD"/>
    <w:rsid w:val="0037680B"/>
    <w:rsid w:val="003774E1"/>
    <w:rsid w:val="003779FF"/>
    <w:rsid w:val="0038047C"/>
    <w:rsid w:val="003804AB"/>
    <w:rsid w:val="00380AF4"/>
    <w:rsid w:val="003820A1"/>
    <w:rsid w:val="003821E0"/>
    <w:rsid w:val="00382AB9"/>
    <w:rsid w:val="00382B43"/>
    <w:rsid w:val="00382C0B"/>
    <w:rsid w:val="0038317F"/>
    <w:rsid w:val="00383626"/>
    <w:rsid w:val="003839A9"/>
    <w:rsid w:val="00383CB1"/>
    <w:rsid w:val="003842C0"/>
    <w:rsid w:val="00384620"/>
    <w:rsid w:val="003850E7"/>
    <w:rsid w:val="0038608C"/>
    <w:rsid w:val="003866CD"/>
    <w:rsid w:val="003869F6"/>
    <w:rsid w:val="00387E1B"/>
    <w:rsid w:val="00390CD9"/>
    <w:rsid w:val="003926DD"/>
    <w:rsid w:val="0039295B"/>
    <w:rsid w:val="00393306"/>
    <w:rsid w:val="003947A6"/>
    <w:rsid w:val="00394C30"/>
    <w:rsid w:val="00394D1B"/>
    <w:rsid w:val="00395135"/>
    <w:rsid w:val="003955AC"/>
    <w:rsid w:val="00395CE8"/>
    <w:rsid w:val="00396425"/>
    <w:rsid w:val="0039670C"/>
    <w:rsid w:val="0039797A"/>
    <w:rsid w:val="003A02FE"/>
    <w:rsid w:val="003A0357"/>
    <w:rsid w:val="003A042A"/>
    <w:rsid w:val="003A1BD4"/>
    <w:rsid w:val="003A205D"/>
    <w:rsid w:val="003A29AD"/>
    <w:rsid w:val="003A37BF"/>
    <w:rsid w:val="003A46E9"/>
    <w:rsid w:val="003A4782"/>
    <w:rsid w:val="003A4AF9"/>
    <w:rsid w:val="003A4E4B"/>
    <w:rsid w:val="003A4EEC"/>
    <w:rsid w:val="003B0FDB"/>
    <w:rsid w:val="003B1178"/>
    <w:rsid w:val="003B22F7"/>
    <w:rsid w:val="003B2637"/>
    <w:rsid w:val="003B43F8"/>
    <w:rsid w:val="003B441E"/>
    <w:rsid w:val="003B4846"/>
    <w:rsid w:val="003B50B0"/>
    <w:rsid w:val="003B6619"/>
    <w:rsid w:val="003B69AD"/>
    <w:rsid w:val="003B73A0"/>
    <w:rsid w:val="003B7AC9"/>
    <w:rsid w:val="003C09D7"/>
    <w:rsid w:val="003C1CFD"/>
    <w:rsid w:val="003C2832"/>
    <w:rsid w:val="003C3BC5"/>
    <w:rsid w:val="003C3CC3"/>
    <w:rsid w:val="003C40DB"/>
    <w:rsid w:val="003C43D4"/>
    <w:rsid w:val="003C47C6"/>
    <w:rsid w:val="003C47FD"/>
    <w:rsid w:val="003C4801"/>
    <w:rsid w:val="003C4B6B"/>
    <w:rsid w:val="003C5192"/>
    <w:rsid w:val="003C5E4A"/>
    <w:rsid w:val="003C6346"/>
    <w:rsid w:val="003C72C5"/>
    <w:rsid w:val="003C781C"/>
    <w:rsid w:val="003C7C65"/>
    <w:rsid w:val="003D1CE3"/>
    <w:rsid w:val="003D2589"/>
    <w:rsid w:val="003D4603"/>
    <w:rsid w:val="003D5D90"/>
    <w:rsid w:val="003D6034"/>
    <w:rsid w:val="003D6BA9"/>
    <w:rsid w:val="003E02F8"/>
    <w:rsid w:val="003E2D9A"/>
    <w:rsid w:val="003E3216"/>
    <w:rsid w:val="003E4BE7"/>
    <w:rsid w:val="003E4F8E"/>
    <w:rsid w:val="003E514B"/>
    <w:rsid w:val="003E52D0"/>
    <w:rsid w:val="003E556C"/>
    <w:rsid w:val="003E598F"/>
    <w:rsid w:val="003E62C4"/>
    <w:rsid w:val="003E6AE1"/>
    <w:rsid w:val="003E7C4C"/>
    <w:rsid w:val="003F00D9"/>
    <w:rsid w:val="003F0718"/>
    <w:rsid w:val="003F0BCF"/>
    <w:rsid w:val="003F123B"/>
    <w:rsid w:val="003F146C"/>
    <w:rsid w:val="003F17DB"/>
    <w:rsid w:val="003F21D2"/>
    <w:rsid w:val="003F3793"/>
    <w:rsid w:val="003F4003"/>
    <w:rsid w:val="003F42BE"/>
    <w:rsid w:val="003F4D97"/>
    <w:rsid w:val="003F5421"/>
    <w:rsid w:val="003F5C6B"/>
    <w:rsid w:val="003F5D4C"/>
    <w:rsid w:val="003F7D79"/>
    <w:rsid w:val="00400092"/>
    <w:rsid w:val="004008AC"/>
    <w:rsid w:val="00401FBB"/>
    <w:rsid w:val="0040312D"/>
    <w:rsid w:val="004047E8"/>
    <w:rsid w:val="00405197"/>
    <w:rsid w:val="00405863"/>
    <w:rsid w:val="00406392"/>
    <w:rsid w:val="0040666D"/>
    <w:rsid w:val="00407193"/>
    <w:rsid w:val="00407535"/>
    <w:rsid w:val="00407556"/>
    <w:rsid w:val="00407673"/>
    <w:rsid w:val="004104C3"/>
    <w:rsid w:val="0041150B"/>
    <w:rsid w:val="004125FA"/>
    <w:rsid w:val="0041294A"/>
    <w:rsid w:val="00413A78"/>
    <w:rsid w:val="00415655"/>
    <w:rsid w:val="00416039"/>
    <w:rsid w:val="0041677D"/>
    <w:rsid w:val="00421A14"/>
    <w:rsid w:val="00421E97"/>
    <w:rsid w:val="004224CA"/>
    <w:rsid w:val="00422E29"/>
    <w:rsid w:val="00423D32"/>
    <w:rsid w:val="00424301"/>
    <w:rsid w:val="004272C3"/>
    <w:rsid w:val="00427788"/>
    <w:rsid w:val="00427BF8"/>
    <w:rsid w:val="00431BE9"/>
    <w:rsid w:val="00432BF8"/>
    <w:rsid w:val="00432D93"/>
    <w:rsid w:val="00433692"/>
    <w:rsid w:val="004347C2"/>
    <w:rsid w:val="00434EFA"/>
    <w:rsid w:val="00435F33"/>
    <w:rsid w:val="00435F84"/>
    <w:rsid w:val="0043631B"/>
    <w:rsid w:val="00437273"/>
    <w:rsid w:val="00437B4E"/>
    <w:rsid w:val="004407EA"/>
    <w:rsid w:val="0044179D"/>
    <w:rsid w:val="00441E02"/>
    <w:rsid w:val="00442339"/>
    <w:rsid w:val="00443F83"/>
    <w:rsid w:val="0044479B"/>
    <w:rsid w:val="00444AFF"/>
    <w:rsid w:val="00445BE4"/>
    <w:rsid w:val="00446482"/>
    <w:rsid w:val="00446512"/>
    <w:rsid w:val="00446732"/>
    <w:rsid w:val="00446890"/>
    <w:rsid w:val="0045053C"/>
    <w:rsid w:val="00451711"/>
    <w:rsid w:val="00451F51"/>
    <w:rsid w:val="0045241E"/>
    <w:rsid w:val="0045242C"/>
    <w:rsid w:val="004527E7"/>
    <w:rsid w:val="00453F13"/>
    <w:rsid w:val="00454D23"/>
    <w:rsid w:val="00454E17"/>
    <w:rsid w:val="00454F75"/>
    <w:rsid w:val="00455945"/>
    <w:rsid w:val="00456CB0"/>
    <w:rsid w:val="00456FCA"/>
    <w:rsid w:val="00457417"/>
    <w:rsid w:val="00457F05"/>
    <w:rsid w:val="00460BC0"/>
    <w:rsid w:val="00460D75"/>
    <w:rsid w:val="00461CAA"/>
    <w:rsid w:val="00463478"/>
    <w:rsid w:val="004649C4"/>
    <w:rsid w:val="00464B42"/>
    <w:rsid w:val="00465D84"/>
    <w:rsid w:val="0046643F"/>
    <w:rsid w:val="0046646A"/>
    <w:rsid w:val="00466D80"/>
    <w:rsid w:val="0046714D"/>
    <w:rsid w:val="00470A16"/>
    <w:rsid w:val="00470F9F"/>
    <w:rsid w:val="00471ACE"/>
    <w:rsid w:val="00473BB3"/>
    <w:rsid w:val="00474356"/>
    <w:rsid w:val="00474642"/>
    <w:rsid w:val="0047616D"/>
    <w:rsid w:val="004762CB"/>
    <w:rsid w:val="00476600"/>
    <w:rsid w:val="004804C5"/>
    <w:rsid w:val="00482151"/>
    <w:rsid w:val="00483111"/>
    <w:rsid w:val="004835F3"/>
    <w:rsid w:val="00483F01"/>
    <w:rsid w:val="00485456"/>
    <w:rsid w:val="0048562D"/>
    <w:rsid w:val="00485CF8"/>
    <w:rsid w:val="0048675F"/>
    <w:rsid w:val="00486F12"/>
    <w:rsid w:val="00487E56"/>
    <w:rsid w:val="00490204"/>
    <w:rsid w:val="0049035D"/>
    <w:rsid w:val="0049165D"/>
    <w:rsid w:val="004922AD"/>
    <w:rsid w:val="00492483"/>
    <w:rsid w:val="0049315B"/>
    <w:rsid w:val="00493330"/>
    <w:rsid w:val="004935AF"/>
    <w:rsid w:val="004936A5"/>
    <w:rsid w:val="004938DB"/>
    <w:rsid w:val="00494097"/>
    <w:rsid w:val="004948A4"/>
    <w:rsid w:val="00494A4A"/>
    <w:rsid w:val="0049546A"/>
    <w:rsid w:val="00495C48"/>
    <w:rsid w:val="004A1300"/>
    <w:rsid w:val="004A2918"/>
    <w:rsid w:val="004A2996"/>
    <w:rsid w:val="004A3172"/>
    <w:rsid w:val="004A3937"/>
    <w:rsid w:val="004A4232"/>
    <w:rsid w:val="004A4494"/>
    <w:rsid w:val="004A6902"/>
    <w:rsid w:val="004A711B"/>
    <w:rsid w:val="004B1F16"/>
    <w:rsid w:val="004B31A6"/>
    <w:rsid w:val="004B36BB"/>
    <w:rsid w:val="004B3FD7"/>
    <w:rsid w:val="004B4A68"/>
    <w:rsid w:val="004B5425"/>
    <w:rsid w:val="004B5933"/>
    <w:rsid w:val="004B5CFD"/>
    <w:rsid w:val="004C0496"/>
    <w:rsid w:val="004C125C"/>
    <w:rsid w:val="004C194D"/>
    <w:rsid w:val="004C1DC8"/>
    <w:rsid w:val="004C2A66"/>
    <w:rsid w:val="004C2EEB"/>
    <w:rsid w:val="004C2FF0"/>
    <w:rsid w:val="004C3494"/>
    <w:rsid w:val="004C413F"/>
    <w:rsid w:val="004C58E2"/>
    <w:rsid w:val="004C596D"/>
    <w:rsid w:val="004C662F"/>
    <w:rsid w:val="004C79A3"/>
    <w:rsid w:val="004C7F0D"/>
    <w:rsid w:val="004D081C"/>
    <w:rsid w:val="004D15EE"/>
    <w:rsid w:val="004D711C"/>
    <w:rsid w:val="004D7253"/>
    <w:rsid w:val="004E0DCC"/>
    <w:rsid w:val="004E0ED5"/>
    <w:rsid w:val="004E2829"/>
    <w:rsid w:val="004E31C2"/>
    <w:rsid w:val="004E355A"/>
    <w:rsid w:val="004E5FED"/>
    <w:rsid w:val="004E70A9"/>
    <w:rsid w:val="004E7401"/>
    <w:rsid w:val="004F1733"/>
    <w:rsid w:val="004F3480"/>
    <w:rsid w:val="004F3992"/>
    <w:rsid w:val="004F4A4B"/>
    <w:rsid w:val="004F5209"/>
    <w:rsid w:val="004F5FE3"/>
    <w:rsid w:val="004F6057"/>
    <w:rsid w:val="004F7257"/>
    <w:rsid w:val="004F7FEC"/>
    <w:rsid w:val="00500F8E"/>
    <w:rsid w:val="00501139"/>
    <w:rsid w:val="00501975"/>
    <w:rsid w:val="00501B2F"/>
    <w:rsid w:val="00501B54"/>
    <w:rsid w:val="005061A3"/>
    <w:rsid w:val="00507534"/>
    <w:rsid w:val="00507A02"/>
    <w:rsid w:val="00510C6C"/>
    <w:rsid w:val="005118EA"/>
    <w:rsid w:val="0051239B"/>
    <w:rsid w:val="00512B8C"/>
    <w:rsid w:val="00512D1A"/>
    <w:rsid w:val="005132F1"/>
    <w:rsid w:val="0051341B"/>
    <w:rsid w:val="00515A8A"/>
    <w:rsid w:val="005163DD"/>
    <w:rsid w:val="00516539"/>
    <w:rsid w:val="00516865"/>
    <w:rsid w:val="00517B10"/>
    <w:rsid w:val="00517EAE"/>
    <w:rsid w:val="005207C8"/>
    <w:rsid w:val="00520A28"/>
    <w:rsid w:val="00520D9C"/>
    <w:rsid w:val="005211E7"/>
    <w:rsid w:val="005231C4"/>
    <w:rsid w:val="00526BEE"/>
    <w:rsid w:val="0052706C"/>
    <w:rsid w:val="00527540"/>
    <w:rsid w:val="005279C5"/>
    <w:rsid w:val="005348EA"/>
    <w:rsid w:val="00534CF7"/>
    <w:rsid w:val="00535451"/>
    <w:rsid w:val="00536423"/>
    <w:rsid w:val="00540757"/>
    <w:rsid w:val="0054118D"/>
    <w:rsid w:val="005416B6"/>
    <w:rsid w:val="00542125"/>
    <w:rsid w:val="005433E6"/>
    <w:rsid w:val="00543B00"/>
    <w:rsid w:val="005447A2"/>
    <w:rsid w:val="00544EB2"/>
    <w:rsid w:val="00545267"/>
    <w:rsid w:val="00546718"/>
    <w:rsid w:val="0055005D"/>
    <w:rsid w:val="00551F8F"/>
    <w:rsid w:val="005522BF"/>
    <w:rsid w:val="005530BA"/>
    <w:rsid w:val="0055349E"/>
    <w:rsid w:val="00553FFD"/>
    <w:rsid w:val="005542E6"/>
    <w:rsid w:val="00557A9F"/>
    <w:rsid w:val="00557BB5"/>
    <w:rsid w:val="00560B8B"/>
    <w:rsid w:val="00562A58"/>
    <w:rsid w:val="0056426A"/>
    <w:rsid w:val="00564C56"/>
    <w:rsid w:val="00565DD4"/>
    <w:rsid w:val="00567229"/>
    <w:rsid w:val="005676EB"/>
    <w:rsid w:val="00570CDD"/>
    <w:rsid w:val="00573390"/>
    <w:rsid w:val="005733CA"/>
    <w:rsid w:val="005737EC"/>
    <w:rsid w:val="00573C21"/>
    <w:rsid w:val="005749D7"/>
    <w:rsid w:val="00574D32"/>
    <w:rsid w:val="00580148"/>
    <w:rsid w:val="00580BB4"/>
    <w:rsid w:val="005813E6"/>
    <w:rsid w:val="005816E3"/>
    <w:rsid w:val="00582449"/>
    <w:rsid w:val="00582910"/>
    <w:rsid w:val="005851E5"/>
    <w:rsid w:val="0058545C"/>
    <w:rsid w:val="00585518"/>
    <w:rsid w:val="00586160"/>
    <w:rsid w:val="0058622C"/>
    <w:rsid w:val="00586F82"/>
    <w:rsid w:val="00587037"/>
    <w:rsid w:val="00591612"/>
    <w:rsid w:val="0059210E"/>
    <w:rsid w:val="00592DAB"/>
    <w:rsid w:val="00592EDA"/>
    <w:rsid w:val="005931D7"/>
    <w:rsid w:val="00593F4B"/>
    <w:rsid w:val="00594DD0"/>
    <w:rsid w:val="005957A8"/>
    <w:rsid w:val="005959DD"/>
    <w:rsid w:val="0059752B"/>
    <w:rsid w:val="00597587"/>
    <w:rsid w:val="005975D6"/>
    <w:rsid w:val="005A02D7"/>
    <w:rsid w:val="005A0985"/>
    <w:rsid w:val="005A1334"/>
    <w:rsid w:val="005A1424"/>
    <w:rsid w:val="005A145B"/>
    <w:rsid w:val="005A39F7"/>
    <w:rsid w:val="005A4276"/>
    <w:rsid w:val="005A539A"/>
    <w:rsid w:val="005A5B86"/>
    <w:rsid w:val="005A6655"/>
    <w:rsid w:val="005A6BD9"/>
    <w:rsid w:val="005A6C45"/>
    <w:rsid w:val="005B0E5A"/>
    <w:rsid w:val="005B108C"/>
    <w:rsid w:val="005B2F6E"/>
    <w:rsid w:val="005B3745"/>
    <w:rsid w:val="005B3B51"/>
    <w:rsid w:val="005B4A3D"/>
    <w:rsid w:val="005B5106"/>
    <w:rsid w:val="005B6545"/>
    <w:rsid w:val="005B6BDC"/>
    <w:rsid w:val="005B76C9"/>
    <w:rsid w:val="005C06DF"/>
    <w:rsid w:val="005C08CD"/>
    <w:rsid w:val="005C340E"/>
    <w:rsid w:val="005C44D1"/>
    <w:rsid w:val="005C662A"/>
    <w:rsid w:val="005C6A52"/>
    <w:rsid w:val="005C7D55"/>
    <w:rsid w:val="005C7D8C"/>
    <w:rsid w:val="005C7DB9"/>
    <w:rsid w:val="005D0E57"/>
    <w:rsid w:val="005D1079"/>
    <w:rsid w:val="005D1105"/>
    <w:rsid w:val="005D2117"/>
    <w:rsid w:val="005D2715"/>
    <w:rsid w:val="005D33D7"/>
    <w:rsid w:val="005D37A4"/>
    <w:rsid w:val="005D3B6E"/>
    <w:rsid w:val="005D4720"/>
    <w:rsid w:val="005D4F5D"/>
    <w:rsid w:val="005D59E1"/>
    <w:rsid w:val="005D6BF0"/>
    <w:rsid w:val="005D6E73"/>
    <w:rsid w:val="005D6EB3"/>
    <w:rsid w:val="005D7240"/>
    <w:rsid w:val="005E074E"/>
    <w:rsid w:val="005E22D8"/>
    <w:rsid w:val="005E25C4"/>
    <w:rsid w:val="005E3135"/>
    <w:rsid w:val="005E33A7"/>
    <w:rsid w:val="005E55FB"/>
    <w:rsid w:val="005E588C"/>
    <w:rsid w:val="005E5EAF"/>
    <w:rsid w:val="005E659B"/>
    <w:rsid w:val="005E6BFA"/>
    <w:rsid w:val="005F1489"/>
    <w:rsid w:val="005F1E4D"/>
    <w:rsid w:val="005F25B3"/>
    <w:rsid w:val="005F2C49"/>
    <w:rsid w:val="005F3435"/>
    <w:rsid w:val="005F502C"/>
    <w:rsid w:val="005F65A6"/>
    <w:rsid w:val="006016CA"/>
    <w:rsid w:val="0060171F"/>
    <w:rsid w:val="00602492"/>
    <w:rsid w:val="00603C35"/>
    <w:rsid w:val="00603D93"/>
    <w:rsid w:val="00603EC4"/>
    <w:rsid w:val="00604D49"/>
    <w:rsid w:val="00606D30"/>
    <w:rsid w:val="0061048B"/>
    <w:rsid w:val="00612DF9"/>
    <w:rsid w:val="00613C81"/>
    <w:rsid w:val="00614FF0"/>
    <w:rsid w:val="006153EA"/>
    <w:rsid w:val="00615684"/>
    <w:rsid w:val="006158DC"/>
    <w:rsid w:val="0061621E"/>
    <w:rsid w:val="00616559"/>
    <w:rsid w:val="00616D7D"/>
    <w:rsid w:val="0062150D"/>
    <w:rsid w:val="00621BC7"/>
    <w:rsid w:val="00622317"/>
    <w:rsid w:val="00622EBC"/>
    <w:rsid w:val="006235E8"/>
    <w:rsid w:val="00625340"/>
    <w:rsid w:val="00625A58"/>
    <w:rsid w:val="00625D8B"/>
    <w:rsid w:val="0062663B"/>
    <w:rsid w:val="006273F0"/>
    <w:rsid w:val="00627D05"/>
    <w:rsid w:val="006334F2"/>
    <w:rsid w:val="006335C5"/>
    <w:rsid w:val="00635278"/>
    <w:rsid w:val="00635EED"/>
    <w:rsid w:val="0063638C"/>
    <w:rsid w:val="0063661D"/>
    <w:rsid w:val="00637187"/>
    <w:rsid w:val="00641660"/>
    <w:rsid w:val="00641768"/>
    <w:rsid w:val="00642721"/>
    <w:rsid w:val="006429C6"/>
    <w:rsid w:val="00643014"/>
    <w:rsid w:val="00643DB8"/>
    <w:rsid w:val="00643DD7"/>
    <w:rsid w:val="0064663B"/>
    <w:rsid w:val="00650FC4"/>
    <w:rsid w:val="00651C0D"/>
    <w:rsid w:val="00651FC4"/>
    <w:rsid w:val="00653330"/>
    <w:rsid w:val="006542E2"/>
    <w:rsid w:val="006552A1"/>
    <w:rsid w:val="00656944"/>
    <w:rsid w:val="00656AEA"/>
    <w:rsid w:val="00656D9A"/>
    <w:rsid w:val="00660948"/>
    <w:rsid w:val="00660F81"/>
    <w:rsid w:val="00661F83"/>
    <w:rsid w:val="00662147"/>
    <w:rsid w:val="006627A1"/>
    <w:rsid w:val="006627F2"/>
    <w:rsid w:val="006629EF"/>
    <w:rsid w:val="00663666"/>
    <w:rsid w:val="00663EF8"/>
    <w:rsid w:val="00664605"/>
    <w:rsid w:val="00665032"/>
    <w:rsid w:val="00665282"/>
    <w:rsid w:val="0066570D"/>
    <w:rsid w:val="00666D08"/>
    <w:rsid w:val="00667F3B"/>
    <w:rsid w:val="00670131"/>
    <w:rsid w:val="00670C75"/>
    <w:rsid w:val="00670DCD"/>
    <w:rsid w:val="00670EE5"/>
    <w:rsid w:val="00671E5B"/>
    <w:rsid w:val="00672305"/>
    <w:rsid w:val="00676CE6"/>
    <w:rsid w:val="006777C7"/>
    <w:rsid w:val="0067784E"/>
    <w:rsid w:val="00677B1A"/>
    <w:rsid w:val="0068008E"/>
    <w:rsid w:val="0068099E"/>
    <w:rsid w:val="00681C44"/>
    <w:rsid w:val="00682526"/>
    <w:rsid w:val="006832C3"/>
    <w:rsid w:val="00683563"/>
    <w:rsid w:val="00683B77"/>
    <w:rsid w:val="00686993"/>
    <w:rsid w:val="00690BE3"/>
    <w:rsid w:val="00691A71"/>
    <w:rsid w:val="006920B8"/>
    <w:rsid w:val="006933C7"/>
    <w:rsid w:val="006937E2"/>
    <w:rsid w:val="00693A20"/>
    <w:rsid w:val="006945B0"/>
    <w:rsid w:val="006947C5"/>
    <w:rsid w:val="00695CF9"/>
    <w:rsid w:val="00696418"/>
    <w:rsid w:val="00696D44"/>
    <w:rsid w:val="006A089E"/>
    <w:rsid w:val="006A1E84"/>
    <w:rsid w:val="006A40F5"/>
    <w:rsid w:val="006A61BC"/>
    <w:rsid w:val="006A7EFA"/>
    <w:rsid w:val="006B0BE6"/>
    <w:rsid w:val="006B399B"/>
    <w:rsid w:val="006B3D18"/>
    <w:rsid w:val="006B4825"/>
    <w:rsid w:val="006B4E9E"/>
    <w:rsid w:val="006B5119"/>
    <w:rsid w:val="006C07AF"/>
    <w:rsid w:val="006C0B93"/>
    <w:rsid w:val="006C1C3D"/>
    <w:rsid w:val="006C1D1A"/>
    <w:rsid w:val="006C2952"/>
    <w:rsid w:val="006C2C49"/>
    <w:rsid w:val="006C5443"/>
    <w:rsid w:val="006D1B16"/>
    <w:rsid w:val="006D3C6C"/>
    <w:rsid w:val="006D4520"/>
    <w:rsid w:val="006D4CFD"/>
    <w:rsid w:val="006D5984"/>
    <w:rsid w:val="006D615B"/>
    <w:rsid w:val="006D629A"/>
    <w:rsid w:val="006D6940"/>
    <w:rsid w:val="006E1990"/>
    <w:rsid w:val="006E291F"/>
    <w:rsid w:val="006E2D79"/>
    <w:rsid w:val="006E2E0D"/>
    <w:rsid w:val="006E3037"/>
    <w:rsid w:val="006E3237"/>
    <w:rsid w:val="006E400A"/>
    <w:rsid w:val="006E559A"/>
    <w:rsid w:val="006E5A59"/>
    <w:rsid w:val="006E5ECA"/>
    <w:rsid w:val="006E69EE"/>
    <w:rsid w:val="006E6D4B"/>
    <w:rsid w:val="006F08CB"/>
    <w:rsid w:val="006F0B3D"/>
    <w:rsid w:val="006F1EED"/>
    <w:rsid w:val="006F2369"/>
    <w:rsid w:val="006F2A24"/>
    <w:rsid w:val="006F348D"/>
    <w:rsid w:val="006F414C"/>
    <w:rsid w:val="006F4388"/>
    <w:rsid w:val="006F4E23"/>
    <w:rsid w:val="006F5A26"/>
    <w:rsid w:val="006F6740"/>
    <w:rsid w:val="00700195"/>
    <w:rsid w:val="00700E5D"/>
    <w:rsid w:val="0070116A"/>
    <w:rsid w:val="00703157"/>
    <w:rsid w:val="00704D5F"/>
    <w:rsid w:val="00706670"/>
    <w:rsid w:val="00706D10"/>
    <w:rsid w:val="00710CFF"/>
    <w:rsid w:val="007117DC"/>
    <w:rsid w:val="00711DD8"/>
    <w:rsid w:val="0071290B"/>
    <w:rsid w:val="00712B23"/>
    <w:rsid w:val="00712FFB"/>
    <w:rsid w:val="007139D6"/>
    <w:rsid w:val="0071410F"/>
    <w:rsid w:val="00714AC6"/>
    <w:rsid w:val="007153A7"/>
    <w:rsid w:val="00717FD7"/>
    <w:rsid w:val="007212BE"/>
    <w:rsid w:val="007245DB"/>
    <w:rsid w:val="00724A1D"/>
    <w:rsid w:val="00725757"/>
    <w:rsid w:val="00726B54"/>
    <w:rsid w:val="00727C1A"/>
    <w:rsid w:val="0073063A"/>
    <w:rsid w:val="007309A1"/>
    <w:rsid w:val="00730D09"/>
    <w:rsid w:val="00730E18"/>
    <w:rsid w:val="00730EBA"/>
    <w:rsid w:val="00731AD2"/>
    <w:rsid w:val="00733623"/>
    <w:rsid w:val="00733F13"/>
    <w:rsid w:val="00734C82"/>
    <w:rsid w:val="00735474"/>
    <w:rsid w:val="00736101"/>
    <w:rsid w:val="007364D8"/>
    <w:rsid w:val="00740CE1"/>
    <w:rsid w:val="00741B6E"/>
    <w:rsid w:val="00741E83"/>
    <w:rsid w:val="0074290F"/>
    <w:rsid w:val="00742C90"/>
    <w:rsid w:val="00742D08"/>
    <w:rsid w:val="00745C3D"/>
    <w:rsid w:val="00745CAE"/>
    <w:rsid w:val="0075108E"/>
    <w:rsid w:val="007518E7"/>
    <w:rsid w:val="00751918"/>
    <w:rsid w:val="00751CAC"/>
    <w:rsid w:val="00752261"/>
    <w:rsid w:val="007526B6"/>
    <w:rsid w:val="00754DCB"/>
    <w:rsid w:val="00755491"/>
    <w:rsid w:val="00756AA7"/>
    <w:rsid w:val="0075734D"/>
    <w:rsid w:val="00757E13"/>
    <w:rsid w:val="00757FAB"/>
    <w:rsid w:val="00760059"/>
    <w:rsid w:val="007607DE"/>
    <w:rsid w:val="00760C15"/>
    <w:rsid w:val="00763716"/>
    <w:rsid w:val="00764FBD"/>
    <w:rsid w:val="0076587F"/>
    <w:rsid w:val="00766282"/>
    <w:rsid w:val="00766A5D"/>
    <w:rsid w:val="00766EEF"/>
    <w:rsid w:val="00770248"/>
    <w:rsid w:val="007716B7"/>
    <w:rsid w:val="007719DC"/>
    <w:rsid w:val="00772C01"/>
    <w:rsid w:val="00773736"/>
    <w:rsid w:val="00773A7E"/>
    <w:rsid w:val="0077473F"/>
    <w:rsid w:val="0077687D"/>
    <w:rsid w:val="00776DEA"/>
    <w:rsid w:val="00777253"/>
    <w:rsid w:val="00777BF8"/>
    <w:rsid w:val="007805C2"/>
    <w:rsid w:val="007814BE"/>
    <w:rsid w:val="00781688"/>
    <w:rsid w:val="007818AE"/>
    <w:rsid w:val="0078195A"/>
    <w:rsid w:val="00782E0F"/>
    <w:rsid w:val="0078522F"/>
    <w:rsid w:val="00785363"/>
    <w:rsid w:val="007857BA"/>
    <w:rsid w:val="00786224"/>
    <w:rsid w:val="007862A3"/>
    <w:rsid w:val="00786BE1"/>
    <w:rsid w:val="00787E53"/>
    <w:rsid w:val="0079062C"/>
    <w:rsid w:val="00790FDE"/>
    <w:rsid w:val="0079177D"/>
    <w:rsid w:val="00792CE6"/>
    <w:rsid w:val="00793699"/>
    <w:rsid w:val="007939D1"/>
    <w:rsid w:val="00794F93"/>
    <w:rsid w:val="00795962"/>
    <w:rsid w:val="00795D8F"/>
    <w:rsid w:val="00796862"/>
    <w:rsid w:val="00796EC3"/>
    <w:rsid w:val="007973AF"/>
    <w:rsid w:val="007975BB"/>
    <w:rsid w:val="007976A9"/>
    <w:rsid w:val="00797BE3"/>
    <w:rsid w:val="007A03EF"/>
    <w:rsid w:val="007A15A8"/>
    <w:rsid w:val="007A15F5"/>
    <w:rsid w:val="007A1687"/>
    <w:rsid w:val="007A19AA"/>
    <w:rsid w:val="007A2296"/>
    <w:rsid w:val="007A2795"/>
    <w:rsid w:val="007A443D"/>
    <w:rsid w:val="007A5656"/>
    <w:rsid w:val="007A57BC"/>
    <w:rsid w:val="007B10B3"/>
    <w:rsid w:val="007B1665"/>
    <w:rsid w:val="007B31FF"/>
    <w:rsid w:val="007B4C52"/>
    <w:rsid w:val="007B6357"/>
    <w:rsid w:val="007B63D2"/>
    <w:rsid w:val="007B66CD"/>
    <w:rsid w:val="007B6795"/>
    <w:rsid w:val="007B76FE"/>
    <w:rsid w:val="007C0393"/>
    <w:rsid w:val="007C0AB6"/>
    <w:rsid w:val="007C1003"/>
    <w:rsid w:val="007C13C1"/>
    <w:rsid w:val="007C15CA"/>
    <w:rsid w:val="007C20CC"/>
    <w:rsid w:val="007C2262"/>
    <w:rsid w:val="007C2803"/>
    <w:rsid w:val="007C39C1"/>
    <w:rsid w:val="007C5506"/>
    <w:rsid w:val="007C5CF1"/>
    <w:rsid w:val="007C7186"/>
    <w:rsid w:val="007D06D8"/>
    <w:rsid w:val="007D2AEC"/>
    <w:rsid w:val="007D313C"/>
    <w:rsid w:val="007D38F0"/>
    <w:rsid w:val="007D4474"/>
    <w:rsid w:val="007D47FE"/>
    <w:rsid w:val="007D490E"/>
    <w:rsid w:val="007D67C0"/>
    <w:rsid w:val="007D7BD6"/>
    <w:rsid w:val="007E10F6"/>
    <w:rsid w:val="007E1935"/>
    <w:rsid w:val="007E1A9C"/>
    <w:rsid w:val="007E2A82"/>
    <w:rsid w:val="007E2F5E"/>
    <w:rsid w:val="007E47F5"/>
    <w:rsid w:val="007E5D8B"/>
    <w:rsid w:val="007E6213"/>
    <w:rsid w:val="007F1A25"/>
    <w:rsid w:val="007F484A"/>
    <w:rsid w:val="007F5331"/>
    <w:rsid w:val="007F62A1"/>
    <w:rsid w:val="007F7228"/>
    <w:rsid w:val="007F77F3"/>
    <w:rsid w:val="007F7CA8"/>
    <w:rsid w:val="00801186"/>
    <w:rsid w:val="00801C1D"/>
    <w:rsid w:val="00801C88"/>
    <w:rsid w:val="00803391"/>
    <w:rsid w:val="00803442"/>
    <w:rsid w:val="00803A75"/>
    <w:rsid w:val="00804406"/>
    <w:rsid w:val="008044B9"/>
    <w:rsid w:val="00804616"/>
    <w:rsid w:val="00804A33"/>
    <w:rsid w:val="008063AC"/>
    <w:rsid w:val="0081093D"/>
    <w:rsid w:val="00811220"/>
    <w:rsid w:val="00812551"/>
    <w:rsid w:val="00812899"/>
    <w:rsid w:val="00812BFE"/>
    <w:rsid w:val="008143E9"/>
    <w:rsid w:val="00814A47"/>
    <w:rsid w:val="00814FB5"/>
    <w:rsid w:val="0081600F"/>
    <w:rsid w:val="00820751"/>
    <w:rsid w:val="00822E94"/>
    <w:rsid w:val="00823C86"/>
    <w:rsid w:val="00824004"/>
    <w:rsid w:val="00824645"/>
    <w:rsid w:val="008248C8"/>
    <w:rsid w:val="0082494D"/>
    <w:rsid w:val="00826CF6"/>
    <w:rsid w:val="00827235"/>
    <w:rsid w:val="008304B6"/>
    <w:rsid w:val="008323DF"/>
    <w:rsid w:val="00832E88"/>
    <w:rsid w:val="0083464D"/>
    <w:rsid w:val="00834761"/>
    <w:rsid w:val="00834814"/>
    <w:rsid w:val="008349CF"/>
    <w:rsid w:val="00834C44"/>
    <w:rsid w:val="008361D1"/>
    <w:rsid w:val="00836699"/>
    <w:rsid w:val="00837607"/>
    <w:rsid w:val="00840C28"/>
    <w:rsid w:val="0084197A"/>
    <w:rsid w:val="00842142"/>
    <w:rsid w:val="00843018"/>
    <w:rsid w:val="0084325C"/>
    <w:rsid w:val="008436CA"/>
    <w:rsid w:val="00843AC7"/>
    <w:rsid w:val="008450D8"/>
    <w:rsid w:val="008465A9"/>
    <w:rsid w:val="00846950"/>
    <w:rsid w:val="008469A6"/>
    <w:rsid w:val="0084744A"/>
    <w:rsid w:val="008476CB"/>
    <w:rsid w:val="0084798F"/>
    <w:rsid w:val="00850D38"/>
    <w:rsid w:val="00850E44"/>
    <w:rsid w:val="00851112"/>
    <w:rsid w:val="0085245E"/>
    <w:rsid w:val="0085468F"/>
    <w:rsid w:val="00854A56"/>
    <w:rsid w:val="00855721"/>
    <w:rsid w:val="00855FD5"/>
    <w:rsid w:val="00856CE6"/>
    <w:rsid w:val="00856F8A"/>
    <w:rsid w:val="008605A0"/>
    <w:rsid w:val="008612AB"/>
    <w:rsid w:val="00861CFB"/>
    <w:rsid w:val="00862412"/>
    <w:rsid w:val="008632A4"/>
    <w:rsid w:val="00863918"/>
    <w:rsid w:val="008653B2"/>
    <w:rsid w:val="00870E29"/>
    <w:rsid w:val="00870F90"/>
    <w:rsid w:val="00871B86"/>
    <w:rsid w:val="0087298B"/>
    <w:rsid w:val="008730A2"/>
    <w:rsid w:val="00874EE3"/>
    <w:rsid w:val="00877BCD"/>
    <w:rsid w:val="00883094"/>
    <w:rsid w:val="0088374E"/>
    <w:rsid w:val="00885081"/>
    <w:rsid w:val="00885F80"/>
    <w:rsid w:val="0088646A"/>
    <w:rsid w:val="00886C23"/>
    <w:rsid w:val="00887196"/>
    <w:rsid w:val="00887730"/>
    <w:rsid w:val="0088794B"/>
    <w:rsid w:val="0089093D"/>
    <w:rsid w:val="0089160C"/>
    <w:rsid w:val="0089239F"/>
    <w:rsid w:val="008925FE"/>
    <w:rsid w:val="008929E2"/>
    <w:rsid w:val="00894CB0"/>
    <w:rsid w:val="0089531A"/>
    <w:rsid w:val="00896025"/>
    <w:rsid w:val="00896521"/>
    <w:rsid w:val="00897361"/>
    <w:rsid w:val="00897ABC"/>
    <w:rsid w:val="008A03F2"/>
    <w:rsid w:val="008A18FF"/>
    <w:rsid w:val="008A2C12"/>
    <w:rsid w:val="008A35C0"/>
    <w:rsid w:val="008A46CD"/>
    <w:rsid w:val="008A4CED"/>
    <w:rsid w:val="008A5527"/>
    <w:rsid w:val="008A5B8C"/>
    <w:rsid w:val="008A665B"/>
    <w:rsid w:val="008A6689"/>
    <w:rsid w:val="008B0103"/>
    <w:rsid w:val="008B1540"/>
    <w:rsid w:val="008B33E6"/>
    <w:rsid w:val="008B4140"/>
    <w:rsid w:val="008B42F3"/>
    <w:rsid w:val="008B436E"/>
    <w:rsid w:val="008B5060"/>
    <w:rsid w:val="008B5197"/>
    <w:rsid w:val="008B7697"/>
    <w:rsid w:val="008C191A"/>
    <w:rsid w:val="008C1A5C"/>
    <w:rsid w:val="008C1C54"/>
    <w:rsid w:val="008C25A9"/>
    <w:rsid w:val="008C26E4"/>
    <w:rsid w:val="008C30F9"/>
    <w:rsid w:val="008C32C5"/>
    <w:rsid w:val="008C46D6"/>
    <w:rsid w:val="008C4E22"/>
    <w:rsid w:val="008C6393"/>
    <w:rsid w:val="008C6EA5"/>
    <w:rsid w:val="008D0613"/>
    <w:rsid w:val="008D1227"/>
    <w:rsid w:val="008D2BDF"/>
    <w:rsid w:val="008D2C41"/>
    <w:rsid w:val="008D6624"/>
    <w:rsid w:val="008D6F44"/>
    <w:rsid w:val="008D7960"/>
    <w:rsid w:val="008E00E8"/>
    <w:rsid w:val="008E01C8"/>
    <w:rsid w:val="008E1B11"/>
    <w:rsid w:val="008E1D0C"/>
    <w:rsid w:val="008E3FB3"/>
    <w:rsid w:val="008E4470"/>
    <w:rsid w:val="008E6A4E"/>
    <w:rsid w:val="008E76E8"/>
    <w:rsid w:val="008E7A77"/>
    <w:rsid w:val="008E7DF2"/>
    <w:rsid w:val="008F0BF9"/>
    <w:rsid w:val="008F1AE1"/>
    <w:rsid w:val="008F1E57"/>
    <w:rsid w:val="008F1F02"/>
    <w:rsid w:val="008F1FE3"/>
    <w:rsid w:val="008F1FE6"/>
    <w:rsid w:val="008F332C"/>
    <w:rsid w:val="008F4BE0"/>
    <w:rsid w:val="008F5680"/>
    <w:rsid w:val="008F6924"/>
    <w:rsid w:val="008F7C72"/>
    <w:rsid w:val="008F7CA9"/>
    <w:rsid w:val="008F7F0F"/>
    <w:rsid w:val="00902016"/>
    <w:rsid w:val="0090246B"/>
    <w:rsid w:val="009033C7"/>
    <w:rsid w:val="00903A9F"/>
    <w:rsid w:val="00903ACE"/>
    <w:rsid w:val="00904CB2"/>
    <w:rsid w:val="00905BB4"/>
    <w:rsid w:val="009071FA"/>
    <w:rsid w:val="0090777E"/>
    <w:rsid w:val="009100B5"/>
    <w:rsid w:val="00912368"/>
    <w:rsid w:val="0091336E"/>
    <w:rsid w:val="00914094"/>
    <w:rsid w:val="009151A3"/>
    <w:rsid w:val="00915A3F"/>
    <w:rsid w:val="00915B3A"/>
    <w:rsid w:val="0091648C"/>
    <w:rsid w:val="00916793"/>
    <w:rsid w:val="00916A50"/>
    <w:rsid w:val="00916C8B"/>
    <w:rsid w:val="00916D52"/>
    <w:rsid w:val="00917035"/>
    <w:rsid w:val="00917B1B"/>
    <w:rsid w:val="00920275"/>
    <w:rsid w:val="009205C1"/>
    <w:rsid w:val="00920EF8"/>
    <w:rsid w:val="00922621"/>
    <w:rsid w:val="009239CF"/>
    <w:rsid w:val="00923DBA"/>
    <w:rsid w:val="00924115"/>
    <w:rsid w:val="00924337"/>
    <w:rsid w:val="0092652A"/>
    <w:rsid w:val="00926E0F"/>
    <w:rsid w:val="009271B2"/>
    <w:rsid w:val="00927EED"/>
    <w:rsid w:val="00930F56"/>
    <w:rsid w:val="009319F9"/>
    <w:rsid w:val="009337B5"/>
    <w:rsid w:val="00933F5B"/>
    <w:rsid w:val="00934434"/>
    <w:rsid w:val="0093459B"/>
    <w:rsid w:val="00935AF8"/>
    <w:rsid w:val="00936C68"/>
    <w:rsid w:val="00937C70"/>
    <w:rsid w:val="00940708"/>
    <w:rsid w:val="00941081"/>
    <w:rsid w:val="00941143"/>
    <w:rsid w:val="009411DC"/>
    <w:rsid w:val="009417D6"/>
    <w:rsid w:val="00941BD2"/>
    <w:rsid w:val="00941DF5"/>
    <w:rsid w:val="009421A1"/>
    <w:rsid w:val="00942335"/>
    <w:rsid w:val="00942B20"/>
    <w:rsid w:val="00943E71"/>
    <w:rsid w:val="0094415D"/>
    <w:rsid w:val="009445A5"/>
    <w:rsid w:val="0094530E"/>
    <w:rsid w:val="0094663E"/>
    <w:rsid w:val="00946A41"/>
    <w:rsid w:val="00947210"/>
    <w:rsid w:val="0095011B"/>
    <w:rsid w:val="009503F5"/>
    <w:rsid w:val="0095166A"/>
    <w:rsid w:val="00952632"/>
    <w:rsid w:val="0095295D"/>
    <w:rsid w:val="00953483"/>
    <w:rsid w:val="009538CC"/>
    <w:rsid w:val="00954AA1"/>
    <w:rsid w:val="0095621C"/>
    <w:rsid w:val="009574F0"/>
    <w:rsid w:val="00957593"/>
    <w:rsid w:val="00957D90"/>
    <w:rsid w:val="00963183"/>
    <w:rsid w:val="009634E8"/>
    <w:rsid w:val="0096358A"/>
    <w:rsid w:val="00964296"/>
    <w:rsid w:val="00966297"/>
    <w:rsid w:val="00967EBD"/>
    <w:rsid w:val="009701FC"/>
    <w:rsid w:val="00971BD5"/>
    <w:rsid w:val="00971F28"/>
    <w:rsid w:val="00974661"/>
    <w:rsid w:val="009755CF"/>
    <w:rsid w:val="009757CF"/>
    <w:rsid w:val="00977293"/>
    <w:rsid w:val="00977C7D"/>
    <w:rsid w:val="00980CB3"/>
    <w:rsid w:val="00982845"/>
    <w:rsid w:val="00982D0F"/>
    <w:rsid w:val="009835E7"/>
    <w:rsid w:val="00984327"/>
    <w:rsid w:val="00985462"/>
    <w:rsid w:val="009862E2"/>
    <w:rsid w:val="00986660"/>
    <w:rsid w:val="00986A20"/>
    <w:rsid w:val="00986BFA"/>
    <w:rsid w:val="00987630"/>
    <w:rsid w:val="00987677"/>
    <w:rsid w:val="00990323"/>
    <w:rsid w:val="00990E30"/>
    <w:rsid w:val="00990F9F"/>
    <w:rsid w:val="00991822"/>
    <w:rsid w:val="00993825"/>
    <w:rsid w:val="00993913"/>
    <w:rsid w:val="00994214"/>
    <w:rsid w:val="00994F4F"/>
    <w:rsid w:val="00995683"/>
    <w:rsid w:val="00996859"/>
    <w:rsid w:val="00997B07"/>
    <w:rsid w:val="009A08D3"/>
    <w:rsid w:val="009A0D4D"/>
    <w:rsid w:val="009A106F"/>
    <w:rsid w:val="009A1AF3"/>
    <w:rsid w:val="009A1C2C"/>
    <w:rsid w:val="009A1D4C"/>
    <w:rsid w:val="009A21D8"/>
    <w:rsid w:val="009A286D"/>
    <w:rsid w:val="009A3F0C"/>
    <w:rsid w:val="009A63E4"/>
    <w:rsid w:val="009A6C37"/>
    <w:rsid w:val="009A7766"/>
    <w:rsid w:val="009A7A49"/>
    <w:rsid w:val="009B0543"/>
    <w:rsid w:val="009B0C7A"/>
    <w:rsid w:val="009B0E16"/>
    <w:rsid w:val="009B15E7"/>
    <w:rsid w:val="009B1801"/>
    <w:rsid w:val="009B1874"/>
    <w:rsid w:val="009B240C"/>
    <w:rsid w:val="009B3F12"/>
    <w:rsid w:val="009B405A"/>
    <w:rsid w:val="009B46DC"/>
    <w:rsid w:val="009B4C1D"/>
    <w:rsid w:val="009B4FB6"/>
    <w:rsid w:val="009B5E24"/>
    <w:rsid w:val="009B638D"/>
    <w:rsid w:val="009B6630"/>
    <w:rsid w:val="009B6F61"/>
    <w:rsid w:val="009B74AE"/>
    <w:rsid w:val="009B768E"/>
    <w:rsid w:val="009B7C2B"/>
    <w:rsid w:val="009C159B"/>
    <w:rsid w:val="009C196B"/>
    <w:rsid w:val="009C27C1"/>
    <w:rsid w:val="009C427E"/>
    <w:rsid w:val="009D20FB"/>
    <w:rsid w:val="009D25B7"/>
    <w:rsid w:val="009D3B5A"/>
    <w:rsid w:val="009D3F66"/>
    <w:rsid w:val="009D47CD"/>
    <w:rsid w:val="009D61D1"/>
    <w:rsid w:val="009D6A32"/>
    <w:rsid w:val="009D7246"/>
    <w:rsid w:val="009E0A12"/>
    <w:rsid w:val="009E1513"/>
    <w:rsid w:val="009E252F"/>
    <w:rsid w:val="009E302B"/>
    <w:rsid w:val="009E3170"/>
    <w:rsid w:val="009E3E42"/>
    <w:rsid w:val="009E5DD9"/>
    <w:rsid w:val="009E5FBE"/>
    <w:rsid w:val="009E665E"/>
    <w:rsid w:val="009E786A"/>
    <w:rsid w:val="009F09C3"/>
    <w:rsid w:val="009F2888"/>
    <w:rsid w:val="009F389F"/>
    <w:rsid w:val="009F5179"/>
    <w:rsid w:val="009F5587"/>
    <w:rsid w:val="009F5B43"/>
    <w:rsid w:val="009F5B52"/>
    <w:rsid w:val="009F5F46"/>
    <w:rsid w:val="009F64C3"/>
    <w:rsid w:val="009F66C4"/>
    <w:rsid w:val="009F6EED"/>
    <w:rsid w:val="00A0031D"/>
    <w:rsid w:val="00A004FA"/>
    <w:rsid w:val="00A006E7"/>
    <w:rsid w:val="00A008D1"/>
    <w:rsid w:val="00A00A50"/>
    <w:rsid w:val="00A015BD"/>
    <w:rsid w:val="00A029B2"/>
    <w:rsid w:val="00A02DEF"/>
    <w:rsid w:val="00A035FC"/>
    <w:rsid w:val="00A03FE2"/>
    <w:rsid w:val="00A04C7C"/>
    <w:rsid w:val="00A05100"/>
    <w:rsid w:val="00A05328"/>
    <w:rsid w:val="00A0598A"/>
    <w:rsid w:val="00A068BB"/>
    <w:rsid w:val="00A06DA2"/>
    <w:rsid w:val="00A07411"/>
    <w:rsid w:val="00A116DD"/>
    <w:rsid w:val="00A12703"/>
    <w:rsid w:val="00A12DEC"/>
    <w:rsid w:val="00A15702"/>
    <w:rsid w:val="00A15D70"/>
    <w:rsid w:val="00A1699E"/>
    <w:rsid w:val="00A20852"/>
    <w:rsid w:val="00A209D4"/>
    <w:rsid w:val="00A20F03"/>
    <w:rsid w:val="00A21161"/>
    <w:rsid w:val="00A216BC"/>
    <w:rsid w:val="00A22020"/>
    <w:rsid w:val="00A23DB0"/>
    <w:rsid w:val="00A254C0"/>
    <w:rsid w:val="00A25E33"/>
    <w:rsid w:val="00A264C9"/>
    <w:rsid w:val="00A26DBE"/>
    <w:rsid w:val="00A27F1A"/>
    <w:rsid w:val="00A31BBF"/>
    <w:rsid w:val="00A326E1"/>
    <w:rsid w:val="00A327B9"/>
    <w:rsid w:val="00A33780"/>
    <w:rsid w:val="00A33AD2"/>
    <w:rsid w:val="00A352C6"/>
    <w:rsid w:val="00A3573A"/>
    <w:rsid w:val="00A3621C"/>
    <w:rsid w:val="00A3622F"/>
    <w:rsid w:val="00A3649F"/>
    <w:rsid w:val="00A40584"/>
    <w:rsid w:val="00A408B7"/>
    <w:rsid w:val="00A40F35"/>
    <w:rsid w:val="00A412C6"/>
    <w:rsid w:val="00A421B4"/>
    <w:rsid w:val="00A4254E"/>
    <w:rsid w:val="00A42763"/>
    <w:rsid w:val="00A43B35"/>
    <w:rsid w:val="00A44A6E"/>
    <w:rsid w:val="00A44C88"/>
    <w:rsid w:val="00A45498"/>
    <w:rsid w:val="00A45957"/>
    <w:rsid w:val="00A45E5F"/>
    <w:rsid w:val="00A45E64"/>
    <w:rsid w:val="00A45FF4"/>
    <w:rsid w:val="00A46339"/>
    <w:rsid w:val="00A46761"/>
    <w:rsid w:val="00A47765"/>
    <w:rsid w:val="00A47A7B"/>
    <w:rsid w:val="00A5133B"/>
    <w:rsid w:val="00A514D2"/>
    <w:rsid w:val="00A5221A"/>
    <w:rsid w:val="00A54A9F"/>
    <w:rsid w:val="00A55593"/>
    <w:rsid w:val="00A566D5"/>
    <w:rsid w:val="00A5746A"/>
    <w:rsid w:val="00A57544"/>
    <w:rsid w:val="00A57635"/>
    <w:rsid w:val="00A60296"/>
    <w:rsid w:val="00A6057B"/>
    <w:rsid w:val="00A61446"/>
    <w:rsid w:val="00A61497"/>
    <w:rsid w:val="00A62737"/>
    <w:rsid w:val="00A6361E"/>
    <w:rsid w:val="00A637E8"/>
    <w:rsid w:val="00A63B2B"/>
    <w:rsid w:val="00A63D8A"/>
    <w:rsid w:val="00A64AE5"/>
    <w:rsid w:val="00A64C19"/>
    <w:rsid w:val="00A66115"/>
    <w:rsid w:val="00A701E6"/>
    <w:rsid w:val="00A71B35"/>
    <w:rsid w:val="00A71B37"/>
    <w:rsid w:val="00A71D49"/>
    <w:rsid w:val="00A729B2"/>
    <w:rsid w:val="00A74D4A"/>
    <w:rsid w:val="00A75EDC"/>
    <w:rsid w:val="00A7601F"/>
    <w:rsid w:val="00A76A19"/>
    <w:rsid w:val="00A76ACC"/>
    <w:rsid w:val="00A76F27"/>
    <w:rsid w:val="00A76F84"/>
    <w:rsid w:val="00A77A88"/>
    <w:rsid w:val="00A8058C"/>
    <w:rsid w:val="00A819AB"/>
    <w:rsid w:val="00A82B8C"/>
    <w:rsid w:val="00A82C32"/>
    <w:rsid w:val="00A82E25"/>
    <w:rsid w:val="00A84748"/>
    <w:rsid w:val="00A867AF"/>
    <w:rsid w:val="00A90FC7"/>
    <w:rsid w:val="00A930EC"/>
    <w:rsid w:val="00A93835"/>
    <w:rsid w:val="00A93AB4"/>
    <w:rsid w:val="00A95B05"/>
    <w:rsid w:val="00A95B6B"/>
    <w:rsid w:val="00A9606A"/>
    <w:rsid w:val="00A97F9C"/>
    <w:rsid w:val="00AA09FD"/>
    <w:rsid w:val="00AA0BC0"/>
    <w:rsid w:val="00AA124E"/>
    <w:rsid w:val="00AA2F43"/>
    <w:rsid w:val="00AA3CD6"/>
    <w:rsid w:val="00AA3FC2"/>
    <w:rsid w:val="00AA661A"/>
    <w:rsid w:val="00AA6696"/>
    <w:rsid w:val="00AA66B9"/>
    <w:rsid w:val="00AA6B60"/>
    <w:rsid w:val="00AB0243"/>
    <w:rsid w:val="00AB1539"/>
    <w:rsid w:val="00AB2220"/>
    <w:rsid w:val="00AB274B"/>
    <w:rsid w:val="00AB2EF7"/>
    <w:rsid w:val="00AB4B3C"/>
    <w:rsid w:val="00AC0045"/>
    <w:rsid w:val="00AC0E67"/>
    <w:rsid w:val="00AC2437"/>
    <w:rsid w:val="00AC5264"/>
    <w:rsid w:val="00AC5624"/>
    <w:rsid w:val="00AC5CA4"/>
    <w:rsid w:val="00AC7B8F"/>
    <w:rsid w:val="00AD0135"/>
    <w:rsid w:val="00AD0BCA"/>
    <w:rsid w:val="00AD0DAD"/>
    <w:rsid w:val="00AD21F7"/>
    <w:rsid w:val="00AD3E8E"/>
    <w:rsid w:val="00AD3F21"/>
    <w:rsid w:val="00AD5A88"/>
    <w:rsid w:val="00AD6664"/>
    <w:rsid w:val="00AD693A"/>
    <w:rsid w:val="00AD6EE7"/>
    <w:rsid w:val="00AD71C4"/>
    <w:rsid w:val="00AE12A9"/>
    <w:rsid w:val="00AE38E0"/>
    <w:rsid w:val="00AE41E5"/>
    <w:rsid w:val="00AE456F"/>
    <w:rsid w:val="00AE4F43"/>
    <w:rsid w:val="00AE5818"/>
    <w:rsid w:val="00AE5F7E"/>
    <w:rsid w:val="00AE6695"/>
    <w:rsid w:val="00AE69BD"/>
    <w:rsid w:val="00AE797E"/>
    <w:rsid w:val="00AE7EA0"/>
    <w:rsid w:val="00AF0763"/>
    <w:rsid w:val="00AF0C8A"/>
    <w:rsid w:val="00AF1342"/>
    <w:rsid w:val="00AF15BE"/>
    <w:rsid w:val="00AF1D94"/>
    <w:rsid w:val="00AF1F39"/>
    <w:rsid w:val="00AF1FF3"/>
    <w:rsid w:val="00AF21C5"/>
    <w:rsid w:val="00AF369F"/>
    <w:rsid w:val="00AF3701"/>
    <w:rsid w:val="00AF44DD"/>
    <w:rsid w:val="00AF485A"/>
    <w:rsid w:val="00AF6268"/>
    <w:rsid w:val="00AF7444"/>
    <w:rsid w:val="00AF7560"/>
    <w:rsid w:val="00AF7ACE"/>
    <w:rsid w:val="00AF7AEE"/>
    <w:rsid w:val="00AF7E7B"/>
    <w:rsid w:val="00B00375"/>
    <w:rsid w:val="00B02280"/>
    <w:rsid w:val="00B024EA"/>
    <w:rsid w:val="00B02952"/>
    <w:rsid w:val="00B03371"/>
    <w:rsid w:val="00B03CFF"/>
    <w:rsid w:val="00B040A8"/>
    <w:rsid w:val="00B0457A"/>
    <w:rsid w:val="00B0494F"/>
    <w:rsid w:val="00B0789F"/>
    <w:rsid w:val="00B07B35"/>
    <w:rsid w:val="00B103CE"/>
    <w:rsid w:val="00B106A0"/>
    <w:rsid w:val="00B10A4E"/>
    <w:rsid w:val="00B114A9"/>
    <w:rsid w:val="00B1204D"/>
    <w:rsid w:val="00B12071"/>
    <w:rsid w:val="00B127F7"/>
    <w:rsid w:val="00B12821"/>
    <w:rsid w:val="00B12CE2"/>
    <w:rsid w:val="00B13081"/>
    <w:rsid w:val="00B132BD"/>
    <w:rsid w:val="00B1366B"/>
    <w:rsid w:val="00B155DA"/>
    <w:rsid w:val="00B1570B"/>
    <w:rsid w:val="00B15C8F"/>
    <w:rsid w:val="00B16058"/>
    <w:rsid w:val="00B16AE8"/>
    <w:rsid w:val="00B16F3F"/>
    <w:rsid w:val="00B20026"/>
    <w:rsid w:val="00B20583"/>
    <w:rsid w:val="00B21578"/>
    <w:rsid w:val="00B22164"/>
    <w:rsid w:val="00B225D3"/>
    <w:rsid w:val="00B22B57"/>
    <w:rsid w:val="00B25A06"/>
    <w:rsid w:val="00B25A23"/>
    <w:rsid w:val="00B26B20"/>
    <w:rsid w:val="00B271E8"/>
    <w:rsid w:val="00B27BB6"/>
    <w:rsid w:val="00B3014D"/>
    <w:rsid w:val="00B30657"/>
    <w:rsid w:val="00B30C9D"/>
    <w:rsid w:val="00B30EAB"/>
    <w:rsid w:val="00B31FF0"/>
    <w:rsid w:val="00B35B6A"/>
    <w:rsid w:val="00B36ACB"/>
    <w:rsid w:val="00B4021A"/>
    <w:rsid w:val="00B42561"/>
    <w:rsid w:val="00B43676"/>
    <w:rsid w:val="00B44195"/>
    <w:rsid w:val="00B450CB"/>
    <w:rsid w:val="00B46BE4"/>
    <w:rsid w:val="00B472AC"/>
    <w:rsid w:val="00B51888"/>
    <w:rsid w:val="00B52B27"/>
    <w:rsid w:val="00B52F83"/>
    <w:rsid w:val="00B53E7A"/>
    <w:rsid w:val="00B554DD"/>
    <w:rsid w:val="00B55B53"/>
    <w:rsid w:val="00B565BF"/>
    <w:rsid w:val="00B567A2"/>
    <w:rsid w:val="00B6180E"/>
    <w:rsid w:val="00B62E84"/>
    <w:rsid w:val="00B62EAC"/>
    <w:rsid w:val="00B6357F"/>
    <w:rsid w:val="00B65B70"/>
    <w:rsid w:val="00B7046C"/>
    <w:rsid w:val="00B71B86"/>
    <w:rsid w:val="00B71EA0"/>
    <w:rsid w:val="00B71F24"/>
    <w:rsid w:val="00B72BA6"/>
    <w:rsid w:val="00B732F3"/>
    <w:rsid w:val="00B74E5D"/>
    <w:rsid w:val="00B753B7"/>
    <w:rsid w:val="00B7555A"/>
    <w:rsid w:val="00B75C61"/>
    <w:rsid w:val="00B8031E"/>
    <w:rsid w:val="00B80D05"/>
    <w:rsid w:val="00B81035"/>
    <w:rsid w:val="00B84C8A"/>
    <w:rsid w:val="00B85247"/>
    <w:rsid w:val="00B85312"/>
    <w:rsid w:val="00B8626C"/>
    <w:rsid w:val="00B86541"/>
    <w:rsid w:val="00B8691B"/>
    <w:rsid w:val="00B87EE3"/>
    <w:rsid w:val="00B90281"/>
    <w:rsid w:val="00B90AC8"/>
    <w:rsid w:val="00B924B6"/>
    <w:rsid w:val="00B92544"/>
    <w:rsid w:val="00B934BD"/>
    <w:rsid w:val="00B964B9"/>
    <w:rsid w:val="00B97118"/>
    <w:rsid w:val="00B9743F"/>
    <w:rsid w:val="00B97462"/>
    <w:rsid w:val="00B97793"/>
    <w:rsid w:val="00BA1052"/>
    <w:rsid w:val="00BA1577"/>
    <w:rsid w:val="00BA3EA3"/>
    <w:rsid w:val="00BA4B7E"/>
    <w:rsid w:val="00BA4FD1"/>
    <w:rsid w:val="00BA5367"/>
    <w:rsid w:val="00BA634A"/>
    <w:rsid w:val="00BA68B3"/>
    <w:rsid w:val="00BA6FDC"/>
    <w:rsid w:val="00BA7B25"/>
    <w:rsid w:val="00BA7F2B"/>
    <w:rsid w:val="00BB1716"/>
    <w:rsid w:val="00BB1B7D"/>
    <w:rsid w:val="00BB252E"/>
    <w:rsid w:val="00BB2C3D"/>
    <w:rsid w:val="00BB4AAE"/>
    <w:rsid w:val="00BB5206"/>
    <w:rsid w:val="00BB7465"/>
    <w:rsid w:val="00BB76D1"/>
    <w:rsid w:val="00BB7AF6"/>
    <w:rsid w:val="00BB7DC3"/>
    <w:rsid w:val="00BB7F64"/>
    <w:rsid w:val="00BC0775"/>
    <w:rsid w:val="00BC0BFA"/>
    <w:rsid w:val="00BC12F4"/>
    <w:rsid w:val="00BC21A9"/>
    <w:rsid w:val="00BC24E3"/>
    <w:rsid w:val="00BC2535"/>
    <w:rsid w:val="00BC2942"/>
    <w:rsid w:val="00BC2AC6"/>
    <w:rsid w:val="00BC44DB"/>
    <w:rsid w:val="00BC4CC6"/>
    <w:rsid w:val="00BC5C4E"/>
    <w:rsid w:val="00BC6040"/>
    <w:rsid w:val="00BC75FE"/>
    <w:rsid w:val="00BC7C71"/>
    <w:rsid w:val="00BD1808"/>
    <w:rsid w:val="00BD214F"/>
    <w:rsid w:val="00BD45B9"/>
    <w:rsid w:val="00BD5C6D"/>
    <w:rsid w:val="00BD7389"/>
    <w:rsid w:val="00BD79CA"/>
    <w:rsid w:val="00BE155B"/>
    <w:rsid w:val="00BE1D73"/>
    <w:rsid w:val="00BE1ED3"/>
    <w:rsid w:val="00BE2499"/>
    <w:rsid w:val="00BE3C93"/>
    <w:rsid w:val="00BE3E12"/>
    <w:rsid w:val="00BE4B93"/>
    <w:rsid w:val="00BE5014"/>
    <w:rsid w:val="00BF064E"/>
    <w:rsid w:val="00BF1498"/>
    <w:rsid w:val="00BF14E6"/>
    <w:rsid w:val="00BF1B4A"/>
    <w:rsid w:val="00BF1BAE"/>
    <w:rsid w:val="00BF1F60"/>
    <w:rsid w:val="00BF25A0"/>
    <w:rsid w:val="00BF2C44"/>
    <w:rsid w:val="00BF4080"/>
    <w:rsid w:val="00BF4129"/>
    <w:rsid w:val="00BF49A1"/>
    <w:rsid w:val="00BF4D9F"/>
    <w:rsid w:val="00BF5B08"/>
    <w:rsid w:val="00BF5C57"/>
    <w:rsid w:val="00BF5EC6"/>
    <w:rsid w:val="00BF78E2"/>
    <w:rsid w:val="00BF7FF8"/>
    <w:rsid w:val="00C00458"/>
    <w:rsid w:val="00C018F2"/>
    <w:rsid w:val="00C019B4"/>
    <w:rsid w:val="00C01EA7"/>
    <w:rsid w:val="00C022A6"/>
    <w:rsid w:val="00C02BEF"/>
    <w:rsid w:val="00C0551B"/>
    <w:rsid w:val="00C05C64"/>
    <w:rsid w:val="00C07705"/>
    <w:rsid w:val="00C07A9F"/>
    <w:rsid w:val="00C129C2"/>
    <w:rsid w:val="00C12B1F"/>
    <w:rsid w:val="00C12BBC"/>
    <w:rsid w:val="00C13048"/>
    <w:rsid w:val="00C13F43"/>
    <w:rsid w:val="00C14A25"/>
    <w:rsid w:val="00C16274"/>
    <w:rsid w:val="00C20474"/>
    <w:rsid w:val="00C2060C"/>
    <w:rsid w:val="00C21ACA"/>
    <w:rsid w:val="00C22F86"/>
    <w:rsid w:val="00C2515F"/>
    <w:rsid w:val="00C2538C"/>
    <w:rsid w:val="00C273F6"/>
    <w:rsid w:val="00C27475"/>
    <w:rsid w:val="00C27497"/>
    <w:rsid w:val="00C30F04"/>
    <w:rsid w:val="00C31487"/>
    <w:rsid w:val="00C32962"/>
    <w:rsid w:val="00C32A50"/>
    <w:rsid w:val="00C33BBD"/>
    <w:rsid w:val="00C37762"/>
    <w:rsid w:val="00C415CC"/>
    <w:rsid w:val="00C42104"/>
    <w:rsid w:val="00C421F5"/>
    <w:rsid w:val="00C42BB0"/>
    <w:rsid w:val="00C43B18"/>
    <w:rsid w:val="00C44AEF"/>
    <w:rsid w:val="00C44EFC"/>
    <w:rsid w:val="00C45037"/>
    <w:rsid w:val="00C45EB6"/>
    <w:rsid w:val="00C46F29"/>
    <w:rsid w:val="00C504E3"/>
    <w:rsid w:val="00C51C35"/>
    <w:rsid w:val="00C52846"/>
    <w:rsid w:val="00C54C07"/>
    <w:rsid w:val="00C573F1"/>
    <w:rsid w:val="00C601D4"/>
    <w:rsid w:val="00C6099B"/>
    <w:rsid w:val="00C61D4D"/>
    <w:rsid w:val="00C623E9"/>
    <w:rsid w:val="00C6559C"/>
    <w:rsid w:val="00C65CAF"/>
    <w:rsid w:val="00C664A9"/>
    <w:rsid w:val="00C67DEC"/>
    <w:rsid w:val="00C7024E"/>
    <w:rsid w:val="00C71979"/>
    <w:rsid w:val="00C72549"/>
    <w:rsid w:val="00C731A3"/>
    <w:rsid w:val="00C74108"/>
    <w:rsid w:val="00C74275"/>
    <w:rsid w:val="00C75A72"/>
    <w:rsid w:val="00C76E45"/>
    <w:rsid w:val="00C77566"/>
    <w:rsid w:val="00C7766D"/>
    <w:rsid w:val="00C804EF"/>
    <w:rsid w:val="00C848C9"/>
    <w:rsid w:val="00C868E6"/>
    <w:rsid w:val="00C87377"/>
    <w:rsid w:val="00C91775"/>
    <w:rsid w:val="00C92CCB"/>
    <w:rsid w:val="00C932D2"/>
    <w:rsid w:val="00C93854"/>
    <w:rsid w:val="00C942AB"/>
    <w:rsid w:val="00C9439C"/>
    <w:rsid w:val="00C94429"/>
    <w:rsid w:val="00C95A9A"/>
    <w:rsid w:val="00C95EF1"/>
    <w:rsid w:val="00C9605E"/>
    <w:rsid w:val="00CA0217"/>
    <w:rsid w:val="00CA0E09"/>
    <w:rsid w:val="00CA1A22"/>
    <w:rsid w:val="00CA1B18"/>
    <w:rsid w:val="00CA2013"/>
    <w:rsid w:val="00CA2FDF"/>
    <w:rsid w:val="00CA3246"/>
    <w:rsid w:val="00CA3E5D"/>
    <w:rsid w:val="00CA44A8"/>
    <w:rsid w:val="00CA508C"/>
    <w:rsid w:val="00CB09FC"/>
    <w:rsid w:val="00CB0B75"/>
    <w:rsid w:val="00CB1BEC"/>
    <w:rsid w:val="00CB29D7"/>
    <w:rsid w:val="00CB375E"/>
    <w:rsid w:val="00CB61BD"/>
    <w:rsid w:val="00CC15EC"/>
    <w:rsid w:val="00CC16DC"/>
    <w:rsid w:val="00CC1863"/>
    <w:rsid w:val="00CC1DE9"/>
    <w:rsid w:val="00CC2E6B"/>
    <w:rsid w:val="00CC2EC8"/>
    <w:rsid w:val="00CC2F7E"/>
    <w:rsid w:val="00CC3531"/>
    <w:rsid w:val="00CC3E8A"/>
    <w:rsid w:val="00CC3F0E"/>
    <w:rsid w:val="00CC6FA1"/>
    <w:rsid w:val="00CD045D"/>
    <w:rsid w:val="00CD0E51"/>
    <w:rsid w:val="00CD1BDF"/>
    <w:rsid w:val="00CD321E"/>
    <w:rsid w:val="00CD48BA"/>
    <w:rsid w:val="00CD4D72"/>
    <w:rsid w:val="00CD5624"/>
    <w:rsid w:val="00CD56CB"/>
    <w:rsid w:val="00CD5D26"/>
    <w:rsid w:val="00CD798D"/>
    <w:rsid w:val="00CE0AC6"/>
    <w:rsid w:val="00CE1527"/>
    <w:rsid w:val="00CE2C8E"/>
    <w:rsid w:val="00CE3863"/>
    <w:rsid w:val="00CE3F14"/>
    <w:rsid w:val="00CE407D"/>
    <w:rsid w:val="00CE63D7"/>
    <w:rsid w:val="00CE6586"/>
    <w:rsid w:val="00CE7AF3"/>
    <w:rsid w:val="00CF0591"/>
    <w:rsid w:val="00CF1D11"/>
    <w:rsid w:val="00CF1F0E"/>
    <w:rsid w:val="00CF2694"/>
    <w:rsid w:val="00CF27A3"/>
    <w:rsid w:val="00CF50A2"/>
    <w:rsid w:val="00CF5297"/>
    <w:rsid w:val="00CF6063"/>
    <w:rsid w:val="00CF756E"/>
    <w:rsid w:val="00D00727"/>
    <w:rsid w:val="00D040DE"/>
    <w:rsid w:val="00D04335"/>
    <w:rsid w:val="00D0450E"/>
    <w:rsid w:val="00D0486B"/>
    <w:rsid w:val="00D04DFF"/>
    <w:rsid w:val="00D05181"/>
    <w:rsid w:val="00D066C1"/>
    <w:rsid w:val="00D06713"/>
    <w:rsid w:val="00D06825"/>
    <w:rsid w:val="00D07913"/>
    <w:rsid w:val="00D10C78"/>
    <w:rsid w:val="00D10CC4"/>
    <w:rsid w:val="00D1153C"/>
    <w:rsid w:val="00D16057"/>
    <w:rsid w:val="00D17AA6"/>
    <w:rsid w:val="00D20009"/>
    <w:rsid w:val="00D207AF"/>
    <w:rsid w:val="00D215A8"/>
    <w:rsid w:val="00D21804"/>
    <w:rsid w:val="00D23433"/>
    <w:rsid w:val="00D26117"/>
    <w:rsid w:val="00D2691C"/>
    <w:rsid w:val="00D27B1D"/>
    <w:rsid w:val="00D27C49"/>
    <w:rsid w:val="00D30147"/>
    <w:rsid w:val="00D30651"/>
    <w:rsid w:val="00D329AC"/>
    <w:rsid w:val="00D32C9D"/>
    <w:rsid w:val="00D33A41"/>
    <w:rsid w:val="00D3403A"/>
    <w:rsid w:val="00D341E9"/>
    <w:rsid w:val="00D375F4"/>
    <w:rsid w:val="00D41C25"/>
    <w:rsid w:val="00D41D15"/>
    <w:rsid w:val="00D44369"/>
    <w:rsid w:val="00D44E47"/>
    <w:rsid w:val="00D45570"/>
    <w:rsid w:val="00D45632"/>
    <w:rsid w:val="00D45BC6"/>
    <w:rsid w:val="00D46384"/>
    <w:rsid w:val="00D47A0A"/>
    <w:rsid w:val="00D50A6F"/>
    <w:rsid w:val="00D5123B"/>
    <w:rsid w:val="00D52BF7"/>
    <w:rsid w:val="00D536C8"/>
    <w:rsid w:val="00D54DD8"/>
    <w:rsid w:val="00D55BE3"/>
    <w:rsid w:val="00D56B18"/>
    <w:rsid w:val="00D61C92"/>
    <w:rsid w:val="00D6281D"/>
    <w:rsid w:val="00D63A4D"/>
    <w:rsid w:val="00D642B5"/>
    <w:rsid w:val="00D64F0B"/>
    <w:rsid w:val="00D65657"/>
    <w:rsid w:val="00D677E9"/>
    <w:rsid w:val="00D7025A"/>
    <w:rsid w:val="00D70ABB"/>
    <w:rsid w:val="00D73A21"/>
    <w:rsid w:val="00D73DAC"/>
    <w:rsid w:val="00D74206"/>
    <w:rsid w:val="00D74BCE"/>
    <w:rsid w:val="00D74EC0"/>
    <w:rsid w:val="00D75860"/>
    <w:rsid w:val="00D75EA0"/>
    <w:rsid w:val="00D76626"/>
    <w:rsid w:val="00D76FCB"/>
    <w:rsid w:val="00D7780C"/>
    <w:rsid w:val="00D77F08"/>
    <w:rsid w:val="00D80988"/>
    <w:rsid w:val="00D81F17"/>
    <w:rsid w:val="00D829B7"/>
    <w:rsid w:val="00D82E5E"/>
    <w:rsid w:val="00D83540"/>
    <w:rsid w:val="00D84EC5"/>
    <w:rsid w:val="00D857E5"/>
    <w:rsid w:val="00D858EC"/>
    <w:rsid w:val="00D85EE9"/>
    <w:rsid w:val="00D86985"/>
    <w:rsid w:val="00D87679"/>
    <w:rsid w:val="00D87AE9"/>
    <w:rsid w:val="00D87B2F"/>
    <w:rsid w:val="00D87EC6"/>
    <w:rsid w:val="00D90104"/>
    <w:rsid w:val="00D9021A"/>
    <w:rsid w:val="00D91D16"/>
    <w:rsid w:val="00D92C66"/>
    <w:rsid w:val="00D92E9E"/>
    <w:rsid w:val="00D9328A"/>
    <w:rsid w:val="00D93981"/>
    <w:rsid w:val="00D94B4B"/>
    <w:rsid w:val="00D96D78"/>
    <w:rsid w:val="00D96E6F"/>
    <w:rsid w:val="00D97267"/>
    <w:rsid w:val="00D97588"/>
    <w:rsid w:val="00D975C6"/>
    <w:rsid w:val="00D97721"/>
    <w:rsid w:val="00DA0C78"/>
    <w:rsid w:val="00DA39AD"/>
    <w:rsid w:val="00DA3E37"/>
    <w:rsid w:val="00DA3FD4"/>
    <w:rsid w:val="00DA4474"/>
    <w:rsid w:val="00DA4975"/>
    <w:rsid w:val="00DA4986"/>
    <w:rsid w:val="00DA5B28"/>
    <w:rsid w:val="00DA5B8F"/>
    <w:rsid w:val="00DA5CFB"/>
    <w:rsid w:val="00DA602C"/>
    <w:rsid w:val="00DA603B"/>
    <w:rsid w:val="00DA6197"/>
    <w:rsid w:val="00DA6832"/>
    <w:rsid w:val="00DA69FE"/>
    <w:rsid w:val="00DA7804"/>
    <w:rsid w:val="00DA7BDD"/>
    <w:rsid w:val="00DB006B"/>
    <w:rsid w:val="00DB1546"/>
    <w:rsid w:val="00DB1F33"/>
    <w:rsid w:val="00DB397B"/>
    <w:rsid w:val="00DB3A5D"/>
    <w:rsid w:val="00DB43D4"/>
    <w:rsid w:val="00DB5518"/>
    <w:rsid w:val="00DB67BD"/>
    <w:rsid w:val="00DB76A7"/>
    <w:rsid w:val="00DB77BC"/>
    <w:rsid w:val="00DC0B1F"/>
    <w:rsid w:val="00DC2C7B"/>
    <w:rsid w:val="00DC2D34"/>
    <w:rsid w:val="00DC39C0"/>
    <w:rsid w:val="00DC3DD2"/>
    <w:rsid w:val="00DC5C6A"/>
    <w:rsid w:val="00DC7AAA"/>
    <w:rsid w:val="00DD0499"/>
    <w:rsid w:val="00DD0EB3"/>
    <w:rsid w:val="00DD2061"/>
    <w:rsid w:val="00DD2869"/>
    <w:rsid w:val="00DD37B2"/>
    <w:rsid w:val="00DD4DCA"/>
    <w:rsid w:val="00DD523C"/>
    <w:rsid w:val="00DD5A2A"/>
    <w:rsid w:val="00DD6A62"/>
    <w:rsid w:val="00DE0A7F"/>
    <w:rsid w:val="00DE0CEA"/>
    <w:rsid w:val="00DE1DB2"/>
    <w:rsid w:val="00DE5255"/>
    <w:rsid w:val="00DE579E"/>
    <w:rsid w:val="00DE614E"/>
    <w:rsid w:val="00DE6FF7"/>
    <w:rsid w:val="00DE7984"/>
    <w:rsid w:val="00DE7F61"/>
    <w:rsid w:val="00DF0751"/>
    <w:rsid w:val="00DF0ADB"/>
    <w:rsid w:val="00DF0D31"/>
    <w:rsid w:val="00DF1342"/>
    <w:rsid w:val="00DF1838"/>
    <w:rsid w:val="00DF246F"/>
    <w:rsid w:val="00DF2CFA"/>
    <w:rsid w:val="00DF4461"/>
    <w:rsid w:val="00DF5491"/>
    <w:rsid w:val="00DF6FE3"/>
    <w:rsid w:val="00DF72C1"/>
    <w:rsid w:val="00DF75ED"/>
    <w:rsid w:val="00DF7A24"/>
    <w:rsid w:val="00E001E7"/>
    <w:rsid w:val="00E00D1C"/>
    <w:rsid w:val="00E00D52"/>
    <w:rsid w:val="00E01F47"/>
    <w:rsid w:val="00E02EF0"/>
    <w:rsid w:val="00E04A45"/>
    <w:rsid w:val="00E04A59"/>
    <w:rsid w:val="00E04CF7"/>
    <w:rsid w:val="00E05083"/>
    <w:rsid w:val="00E052BF"/>
    <w:rsid w:val="00E0635A"/>
    <w:rsid w:val="00E070F8"/>
    <w:rsid w:val="00E07A27"/>
    <w:rsid w:val="00E07F6E"/>
    <w:rsid w:val="00E1039F"/>
    <w:rsid w:val="00E11D6F"/>
    <w:rsid w:val="00E12028"/>
    <w:rsid w:val="00E1213F"/>
    <w:rsid w:val="00E12649"/>
    <w:rsid w:val="00E1280C"/>
    <w:rsid w:val="00E14CF7"/>
    <w:rsid w:val="00E150C2"/>
    <w:rsid w:val="00E1537B"/>
    <w:rsid w:val="00E154DD"/>
    <w:rsid w:val="00E162CC"/>
    <w:rsid w:val="00E17C1B"/>
    <w:rsid w:val="00E20244"/>
    <w:rsid w:val="00E2084D"/>
    <w:rsid w:val="00E21173"/>
    <w:rsid w:val="00E21B91"/>
    <w:rsid w:val="00E21D63"/>
    <w:rsid w:val="00E22A52"/>
    <w:rsid w:val="00E23A31"/>
    <w:rsid w:val="00E23B5F"/>
    <w:rsid w:val="00E25362"/>
    <w:rsid w:val="00E25EF1"/>
    <w:rsid w:val="00E261C8"/>
    <w:rsid w:val="00E307C7"/>
    <w:rsid w:val="00E30E55"/>
    <w:rsid w:val="00E316ED"/>
    <w:rsid w:val="00E3350A"/>
    <w:rsid w:val="00E335C9"/>
    <w:rsid w:val="00E337A2"/>
    <w:rsid w:val="00E33FB2"/>
    <w:rsid w:val="00E3427A"/>
    <w:rsid w:val="00E34E0A"/>
    <w:rsid w:val="00E3771B"/>
    <w:rsid w:val="00E403DF"/>
    <w:rsid w:val="00E40FA1"/>
    <w:rsid w:val="00E41BB0"/>
    <w:rsid w:val="00E42973"/>
    <w:rsid w:val="00E451C3"/>
    <w:rsid w:val="00E4633A"/>
    <w:rsid w:val="00E47BC3"/>
    <w:rsid w:val="00E52057"/>
    <w:rsid w:val="00E535A5"/>
    <w:rsid w:val="00E53D24"/>
    <w:rsid w:val="00E5458D"/>
    <w:rsid w:val="00E5460E"/>
    <w:rsid w:val="00E56496"/>
    <w:rsid w:val="00E57A4A"/>
    <w:rsid w:val="00E609A9"/>
    <w:rsid w:val="00E6193E"/>
    <w:rsid w:val="00E62599"/>
    <w:rsid w:val="00E63A53"/>
    <w:rsid w:val="00E64C9A"/>
    <w:rsid w:val="00E64FA8"/>
    <w:rsid w:val="00E65954"/>
    <w:rsid w:val="00E65E42"/>
    <w:rsid w:val="00E67799"/>
    <w:rsid w:val="00E7072A"/>
    <w:rsid w:val="00E723B9"/>
    <w:rsid w:val="00E73629"/>
    <w:rsid w:val="00E76567"/>
    <w:rsid w:val="00E775B0"/>
    <w:rsid w:val="00E778D5"/>
    <w:rsid w:val="00E81CF3"/>
    <w:rsid w:val="00E821BD"/>
    <w:rsid w:val="00E828F0"/>
    <w:rsid w:val="00E82BB0"/>
    <w:rsid w:val="00E8444B"/>
    <w:rsid w:val="00E84D11"/>
    <w:rsid w:val="00E84E48"/>
    <w:rsid w:val="00E86A2C"/>
    <w:rsid w:val="00E86CA7"/>
    <w:rsid w:val="00E870A3"/>
    <w:rsid w:val="00E8760B"/>
    <w:rsid w:val="00E90854"/>
    <w:rsid w:val="00E90C6B"/>
    <w:rsid w:val="00E91366"/>
    <w:rsid w:val="00E91765"/>
    <w:rsid w:val="00E93499"/>
    <w:rsid w:val="00E94EAA"/>
    <w:rsid w:val="00E953ED"/>
    <w:rsid w:val="00E9574D"/>
    <w:rsid w:val="00E9598D"/>
    <w:rsid w:val="00E968DD"/>
    <w:rsid w:val="00E97D25"/>
    <w:rsid w:val="00EA1463"/>
    <w:rsid w:val="00EA1F9B"/>
    <w:rsid w:val="00EA2899"/>
    <w:rsid w:val="00EA2CD3"/>
    <w:rsid w:val="00EA34D3"/>
    <w:rsid w:val="00EA3F34"/>
    <w:rsid w:val="00EA418F"/>
    <w:rsid w:val="00EA5326"/>
    <w:rsid w:val="00EA7930"/>
    <w:rsid w:val="00EB09C0"/>
    <w:rsid w:val="00EB0AA6"/>
    <w:rsid w:val="00EB1B07"/>
    <w:rsid w:val="00EB27F9"/>
    <w:rsid w:val="00EB2975"/>
    <w:rsid w:val="00EB29EB"/>
    <w:rsid w:val="00EB2ACA"/>
    <w:rsid w:val="00EB33A1"/>
    <w:rsid w:val="00EB44CE"/>
    <w:rsid w:val="00EB4638"/>
    <w:rsid w:val="00EB56B8"/>
    <w:rsid w:val="00EB5A27"/>
    <w:rsid w:val="00EB5B87"/>
    <w:rsid w:val="00EB5C1C"/>
    <w:rsid w:val="00EB5D8E"/>
    <w:rsid w:val="00EB5EA0"/>
    <w:rsid w:val="00EB5ECB"/>
    <w:rsid w:val="00EB7532"/>
    <w:rsid w:val="00EC12EE"/>
    <w:rsid w:val="00EC22EA"/>
    <w:rsid w:val="00EC28F3"/>
    <w:rsid w:val="00EC2E63"/>
    <w:rsid w:val="00EC3252"/>
    <w:rsid w:val="00EC36BE"/>
    <w:rsid w:val="00EC3A49"/>
    <w:rsid w:val="00EC3AE0"/>
    <w:rsid w:val="00EC3BED"/>
    <w:rsid w:val="00EC4554"/>
    <w:rsid w:val="00EC4A98"/>
    <w:rsid w:val="00EC6D71"/>
    <w:rsid w:val="00EC72E3"/>
    <w:rsid w:val="00EC7355"/>
    <w:rsid w:val="00ED24FC"/>
    <w:rsid w:val="00ED2509"/>
    <w:rsid w:val="00ED298B"/>
    <w:rsid w:val="00ED3024"/>
    <w:rsid w:val="00ED3BD8"/>
    <w:rsid w:val="00ED420A"/>
    <w:rsid w:val="00ED4772"/>
    <w:rsid w:val="00ED505C"/>
    <w:rsid w:val="00ED52F0"/>
    <w:rsid w:val="00ED672F"/>
    <w:rsid w:val="00ED7539"/>
    <w:rsid w:val="00ED7FCB"/>
    <w:rsid w:val="00EE0230"/>
    <w:rsid w:val="00EE1355"/>
    <w:rsid w:val="00EE20AC"/>
    <w:rsid w:val="00EE3643"/>
    <w:rsid w:val="00EE5CF6"/>
    <w:rsid w:val="00EE5EBA"/>
    <w:rsid w:val="00EE7321"/>
    <w:rsid w:val="00EE7957"/>
    <w:rsid w:val="00EF28AA"/>
    <w:rsid w:val="00EF2EA4"/>
    <w:rsid w:val="00EF2ED2"/>
    <w:rsid w:val="00EF3A64"/>
    <w:rsid w:val="00EF3A82"/>
    <w:rsid w:val="00EF3BB2"/>
    <w:rsid w:val="00EF43EE"/>
    <w:rsid w:val="00EF5650"/>
    <w:rsid w:val="00EF569B"/>
    <w:rsid w:val="00EF6128"/>
    <w:rsid w:val="00EF6A6F"/>
    <w:rsid w:val="00EF6CA4"/>
    <w:rsid w:val="00EF7ABF"/>
    <w:rsid w:val="00F00565"/>
    <w:rsid w:val="00F00CE2"/>
    <w:rsid w:val="00F011B9"/>
    <w:rsid w:val="00F012F6"/>
    <w:rsid w:val="00F01339"/>
    <w:rsid w:val="00F01A44"/>
    <w:rsid w:val="00F02527"/>
    <w:rsid w:val="00F035C9"/>
    <w:rsid w:val="00F047C5"/>
    <w:rsid w:val="00F04E0D"/>
    <w:rsid w:val="00F0503D"/>
    <w:rsid w:val="00F05645"/>
    <w:rsid w:val="00F07053"/>
    <w:rsid w:val="00F0711C"/>
    <w:rsid w:val="00F10564"/>
    <w:rsid w:val="00F10A42"/>
    <w:rsid w:val="00F11033"/>
    <w:rsid w:val="00F13566"/>
    <w:rsid w:val="00F142B4"/>
    <w:rsid w:val="00F14F05"/>
    <w:rsid w:val="00F1582F"/>
    <w:rsid w:val="00F170E9"/>
    <w:rsid w:val="00F17CAA"/>
    <w:rsid w:val="00F20B2D"/>
    <w:rsid w:val="00F216D6"/>
    <w:rsid w:val="00F2268E"/>
    <w:rsid w:val="00F23DE0"/>
    <w:rsid w:val="00F23E9D"/>
    <w:rsid w:val="00F242FE"/>
    <w:rsid w:val="00F2482B"/>
    <w:rsid w:val="00F24B9D"/>
    <w:rsid w:val="00F25085"/>
    <w:rsid w:val="00F27B4D"/>
    <w:rsid w:val="00F27F3A"/>
    <w:rsid w:val="00F313CC"/>
    <w:rsid w:val="00F3405F"/>
    <w:rsid w:val="00F34505"/>
    <w:rsid w:val="00F34745"/>
    <w:rsid w:val="00F34F60"/>
    <w:rsid w:val="00F354B6"/>
    <w:rsid w:val="00F36C49"/>
    <w:rsid w:val="00F36CF7"/>
    <w:rsid w:val="00F370EC"/>
    <w:rsid w:val="00F376DF"/>
    <w:rsid w:val="00F40A28"/>
    <w:rsid w:val="00F41474"/>
    <w:rsid w:val="00F41C18"/>
    <w:rsid w:val="00F41F77"/>
    <w:rsid w:val="00F427E4"/>
    <w:rsid w:val="00F428FD"/>
    <w:rsid w:val="00F42C08"/>
    <w:rsid w:val="00F45253"/>
    <w:rsid w:val="00F462F5"/>
    <w:rsid w:val="00F4680C"/>
    <w:rsid w:val="00F4707B"/>
    <w:rsid w:val="00F47626"/>
    <w:rsid w:val="00F477BD"/>
    <w:rsid w:val="00F51201"/>
    <w:rsid w:val="00F513CB"/>
    <w:rsid w:val="00F52286"/>
    <w:rsid w:val="00F5262D"/>
    <w:rsid w:val="00F53AFF"/>
    <w:rsid w:val="00F5402A"/>
    <w:rsid w:val="00F548DA"/>
    <w:rsid w:val="00F55E0F"/>
    <w:rsid w:val="00F56342"/>
    <w:rsid w:val="00F5700C"/>
    <w:rsid w:val="00F6055C"/>
    <w:rsid w:val="00F62685"/>
    <w:rsid w:val="00F65676"/>
    <w:rsid w:val="00F65B5E"/>
    <w:rsid w:val="00F66D3F"/>
    <w:rsid w:val="00F67033"/>
    <w:rsid w:val="00F72406"/>
    <w:rsid w:val="00F72427"/>
    <w:rsid w:val="00F75303"/>
    <w:rsid w:val="00F75ACF"/>
    <w:rsid w:val="00F7779E"/>
    <w:rsid w:val="00F77934"/>
    <w:rsid w:val="00F77BA1"/>
    <w:rsid w:val="00F77EFB"/>
    <w:rsid w:val="00F80219"/>
    <w:rsid w:val="00F80B5D"/>
    <w:rsid w:val="00F810FD"/>
    <w:rsid w:val="00F8328A"/>
    <w:rsid w:val="00F832AB"/>
    <w:rsid w:val="00F843BD"/>
    <w:rsid w:val="00F85930"/>
    <w:rsid w:val="00F85F45"/>
    <w:rsid w:val="00F878F6"/>
    <w:rsid w:val="00F918EA"/>
    <w:rsid w:val="00F91F5C"/>
    <w:rsid w:val="00F92718"/>
    <w:rsid w:val="00F942E2"/>
    <w:rsid w:val="00F94366"/>
    <w:rsid w:val="00F94452"/>
    <w:rsid w:val="00F94826"/>
    <w:rsid w:val="00F95801"/>
    <w:rsid w:val="00F96117"/>
    <w:rsid w:val="00F962CC"/>
    <w:rsid w:val="00F96C03"/>
    <w:rsid w:val="00F97220"/>
    <w:rsid w:val="00F97C5E"/>
    <w:rsid w:val="00F97D1F"/>
    <w:rsid w:val="00FA0459"/>
    <w:rsid w:val="00FA04C7"/>
    <w:rsid w:val="00FA4271"/>
    <w:rsid w:val="00FA436B"/>
    <w:rsid w:val="00FA491B"/>
    <w:rsid w:val="00FA608D"/>
    <w:rsid w:val="00FA74E4"/>
    <w:rsid w:val="00FA7897"/>
    <w:rsid w:val="00FA7B5B"/>
    <w:rsid w:val="00FA7D0A"/>
    <w:rsid w:val="00FB1957"/>
    <w:rsid w:val="00FB1DC6"/>
    <w:rsid w:val="00FB2438"/>
    <w:rsid w:val="00FB2EFD"/>
    <w:rsid w:val="00FB33E9"/>
    <w:rsid w:val="00FB5F12"/>
    <w:rsid w:val="00FB6572"/>
    <w:rsid w:val="00FB6E9F"/>
    <w:rsid w:val="00FB785E"/>
    <w:rsid w:val="00FB7E92"/>
    <w:rsid w:val="00FC03E0"/>
    <w:rsid w:val="00FC154D"/>
    <w:rsid w:val="00FC2EE6"/>
    <w:rsid w:val="00FC4C6C"/>
    <w:rsid w:val="00FC4FE8"/>
    <w:rsid w:val="00FC6235"/>
    <w:rsid w:val="00FC62BC"/>
    <w:rsid w:val="00FC6961"/>
    <w:rsid w:val="00FD02D6"/>
    <w:rsid w:val="00FD210F"/>
    <w:rsid w:val="00FD27C1"/>
    <w:rsid w:val="00FD2F94"/>
    <w:rsid w:val="00FD34BC"/>
    <w:rsid w:val="00FD3AC9"/>
    <w:rsid w:val="00FD410A"/>
    <w:rsid w:val="00FD45D3"/>
    <w:rsid w:val="00FD61C5"/>
    <w:rsid w:val="00FD6408"/>
    <w:rsid w:val="00FD6A4B"/>
    <w:rsid w:val="00FD7EBA"/>
    <w:rsid w:val="00FE0331"/>
    <w:rsid w:val="00FE0500"/>
    <w:rsid w:val="00FE0B5F"/>
    <w:rsid w:val="00FE14CD"/>
    <w:rsid w:val="00FE240C"/>
    <w:rsid w:val="00FE28FE"/>
    <w:rsid w:val="00FE2AF7"/>
    <w:rsid w:val="00FE33E5"/>
    <w:rsid w:val="00FE37DC"/>
    <w:rsid w:val="00FE44D2"/>
    <w:rsid w:val="00FE61EF"/>
    <w:rsid w:val="00FE66A0"/>
    <w:rsid w:val="00FE68C0"/>
    <w:rsid w:val="00FE70B2"/>
    <w:rsid w:val="00FF03B7"/>
    <w:rsid w:val="00FF03FC"/>
    <w:rsid w:val="00FF0F29"/>
    <w:rsid w:val="00FF109E"/>
    <w:rsid w:val="00FF114E"/>
    <w:rsid w:val="00FF1537"/>
    <w:rsid w:val="00FF306A"/>
    <w:rsid w:val="00FF59BA"/>
    <w:rsid w:val="00FF5CF1"/>
    <w:rsid w:val="00FF6ACC"/>
    <w:rsid w:val="00FF710B"/>
    <w:rsid w:val="00FF78E1"/>
    <w:rsid w:val="00FF7B8D"/>
    <w:rsid w:val="00FF7FE1"/>
    <w:rsid w:val="025F107F"/>
    <w:rsid w:val="027E47DC"/>
    <w:rsid w:val="03D90E06"/>
    <w:rsid w:val="04EF706D"/>
    <w:rsid w:val="06B4604F"/>
    <w:rsid w:val="07789314"/>
    <w:rsid w:val="09C7F520"/>
    <w:rsid w:val="0DEB9D0A"/>
    <w:rsid w:val="0EF37608"/>
    <w:rsid w:val="0FBE8A4E"/>
    <w:rsid w:val="13FFA045"/>
    <w:rsid w:val="15CA82E3"/>
    <w:rsid w:val="15FFA540"/>
    <w:rsid w:val="164C53A8"/>
    <w:rsid w:val="17BB8811"/>
    <w:rsid w:val="18DA6866"/>
    <w:rsid w:val="19FD461D"/>
    <w:rsid w:val="19FDA387"/>
    <w:rsid w:val="19FEB06A"/>
    <w:rsid w:val="1BFE4294"/>
    <w:rsid w:val="1BFF4C8E"/>
    <w:rsid w:val="1C773104"/>
    <w:rsid w:val="1D00159D"/>
    <w:rsid w:val="1D284F57"/>
    <w:rsid w:val="1D3FC661"/>
    <w:rsid w:val="1D4A4435"/>
    <w:rsid w:val="1DEE4262"/>
    <w:rsid w:val="1EAB96E3"/>
    <w:rsid w:val="1EAD703E"/>
    <w:rsid w:val="1EFF586C"/>
    <w:rsid w:val="1FBCE627"/>
    <w:rsid w:val="1FFD0A48"/>
    <w:rsid w:val="204B21A3"/>
    <w:rsid w:val="209033B2"/>
    <w:rsid w:val="209B0E6C"/>
    <w:rsid w:val="24B2135C"/>
    <w:rsid w:val="26715185"/>
    <w:rsid w:val="26B750E9"/>
    <w:rsid w:val="26FB11DB"/>
    <w:rsid w:val="26FE6899"/>
    <w:rsid w:val="2769B305"/>
    <w:rsid w:val="277FBCE4"/>
    <w:rsid w:val="27F737A8"/>
    <w:rsid w:val="297FCE97"/>
    <w:rsid w:val="29E325CE"/>
    <w:rsid w:val="29FE1C9F"/>
    <w:rsid w:val="2BDF9A29"/>
    <w:rsid w:val="2BFAE690"/>
    <w:rsid w:val="2C027343"/>
    <w:rsid w:val="2D3F8A10"/>
    <w:rsid w:val="2D97A51D"/>
    <w:rsid w:val="2DBB1351"/>
    <w:rsid w:val="2DDF14A4"/>
    <w:rsid w:val="2E7F77EC"/>
    <w:rsid w:val="2EBFEFBC"/>
    <w:rsid w:val="2F4ABDC6"/>
    <w:rsid w:val="2F6408F5"/>
    <w:rsid w:val="2F7D74C1"/>
    <w:rsid w:val="2FAC90D3"/>
    <w:rsid w:val="2FB6E5CD"/>
    <w:rsid w:val="2FBB17DE"/>
    <w:rsid w:val="2FEB37BC"/>
    <w:rsid w:val="2FEB83F8"/>
    <w:rsid w:val="2FEBBA78"/>
    <w:rsid w:val="2FFFA821"/>
    <w:rsid w:val="32812593"/>
    <w:rsid w:val="33BD49B9"/>
    <w:rsid w:val="33EF4BAC"/>
    <w:rsid w:val="3557DF41"/>
    <w:rsid w:val="359F184F"/>
    <w:rsid w:val="35BC6A65"/>
    <w:rsid w:val="35EF1EBD"/>
    <w:rsid w:val="35EF2FA2"/>
    <w:rsid w:val="375363B1"/>
    <w:rsid w:val="377FFC87"/>
    <w:rsid w:val="3973535F"/>
    <w:rsid w:val="39EF0B27"/>
    <w:rsid w:val="3A7FC913"/>
    <w:rsid w:val="3B4D1C6C"/>
    <w:rsid w:val="3B675248"/>
    <w:rsid w:val="3B8E29D7"/>
    <w:rsid w:val="3BB78DCB"/>
    <w:rsid w:val="3BBB9EAC"/>
    <w:rsid w:val="3BBE0731"/>
    <w:rsid w:val="3BE5E4C4"/>
    <w:rsid w:val="3BED4CAD"/>
    <w:rsid w:val="3BFE4DDA"/>
    <w:rsid w:val="3BFE64B7"/>
    <w:rsid w:val="3BFF8CCA"/>
    <w:rsid w:val="3C5D7EA6"/>
    <w:rsid w:val="3C9F7FC7"/>
    <w:rsid w:val="3D0E4E0E"/>
    <w:rsid w:val="3D1F52D5"/>
    <w:rsid w:val="3D3FB187"/>
    <w:rsid w:val="3D714C6E"/>
    <w:rsid w:val="3DB7F198"/>
    <w:rsid w:val="3DF33401"/>
    <w:rsid w:val="3DFDB996"/>
    <w:rsid w:val="3E4FFF35"/>
    <w:rsid w:val="3EB66FA6"/>
    <w:rsid w:val="3EE8C4C0"/>
    <w:rsid w:val="3EF76DFD"/>
    <w:rsid w:val="3EFE95E6"/>
    <w:rsid w:val="3F23309F"/>
    <w:rsid w:val="3F3D28EE"/>
    <w:rsid w:val="3F4D7937"/>
    <w:rsid w:val="3F6516A3"/>
    <w:rsid w:val="3F6ED3D8"/>
    <w:rsid w:val="3F6F3ADB"/>
    <w:rsid w:val="3F7FC563"/>
    <w:rsid w:val="3FAE36DE"/>
    <w:rsid w:val="3FAFAD15"/>
    <w:rsid w:val="3FBEB977"/>
    <w:rsid w:val="3FBF044C"/>
    <w:rsid w:val="3FCEAA4A"/>
    <w:rsid w:val="3FEE42CB"/>
    <w:rsid w:val="3FEF2818"/>
    <w:rsid w:val="3FFBB425"/>
    <w:rsid w:val="3FFC6253"/>
    <w:rsid w:val="3FFF21FF"/>
    <w:rsid w:val="41402C2B"/>
    <w:rsid w:val="433F1D6D"/>
    <w:rsid w:val="45D1274E"/>
    <w:rsid w:val="475F8FAB"/>
    <w:rsid w:val="47BC32D9"/>
    <w:rsid w:val="47EB009D"/>
    <w:rsid w:val="47EFEC7E"/>
    <w:rsid w:val="47FF19DE"/>
    <w:rsid w:val="496AF3A9"/>
    <w:rsid w:val="4A77573B"/>
    <w:rsid w:val="4BF369D8"/>
    <w:rsid w:val="4D661184"/>
    <w:rsid w:val="4D73BCF8"/>
    <w:rsid w:val="4DB2D62D"/>
    <w:rsid w:val="4EFF39D3"/>
    <w:rsid w:val="4FA2741F"/>
    <w:rsid w:val="4FA721F7"/>
    <w:rsid w:val="4FBFEDC9"/>
    <w:rsid w:val="52EA4615"/>
    <w:rsid w:val="532ECCCE"/>
    <w:rsid w:val="534556B8"/>
    <w:rsid w:val="53A0483E"/>
    <w:rsid w:val="55AF4470"/>
    <w:rsid w:val="55BD66C6"/>
    <w:rsid w:val="55BEF8DB"/>
    <w:rsid w:val="55CB418C"/>
    <w:rsid w:val="55EB999A"/>
    <w:rsid w:val="566DAB5F"/>
    <w:rsid w:val="568FF659"/>
    <w:rsid w:val="571F7FD4"/>
    <w:rsid w:val="577B5EE6"/>
    <w:rsid w:val="577DDB11"/>
    <w:rsid w:val="578266DD"/>
    <w:rsid w:val="57B7E580"/>
    <w:rsid w:val="57F70FC5"/>
    <w:rsid w:val="57FB32EF"/>
    <w:rsid w:val="57FE5115"/>
    <w:rsid w:val="58FE422F"/>
    <w:rsid w:val="59A58B9D"/>
    <w:rsid w:val="59BE6F7B"/>
    <w:rsid w:val="59E7BA12"/>
    <w:rsid w:val="5ABDFB3F"/>
    <w:rsid w:val="5AFF91D1"/>
    <w:rsid w:val="5B3D9DCA"/>
    <w:rsid w:val="5BDEB299"/>
    <w:rsid w:val="5BF7CF4F"/>
    <w:rsid w:val="5BFE2DF4"/>
    <w:rsid w:val="5BFFF61A"/>
    <w:rsid w:val="5C7B1749"/>
    <w:rsid w:val="5CF1CF3F"/>
    <w:rsid w:val="5D672B80"/>
    <w:rsid w:val="5DBBA8E9"/>
    <w:rsid w:val="5DBF874F"/>
    <w:rsid w:val="5DCA5803"/>
    <w:rsid w:val="5DF7113B"/>
    <w:rsid w:val="5DFF9615"/>
    <w:rsid w:val="5E6F62C3"/>
    <w:rsid w:val="5E7F9AE0"/>
    <w:rsid w:val="5E9DDDEE"/>
    <w:rsid w:val="5EEDED0E"/>
    <w:rsid w:val="5EFB0C02"/>
    <w:rsid w:val="5EFD110C"/>
    <w:rsid w:val="5F3FA1DA"/>
    <w:rsid w:val="5F67DA85"/>
    <w:rsid w:val="5F76AB6B"/>
    <w:rsid w:val="5F779FDF"/>
    <w:rsid w:val="5F7E0A8E"/>
    <w:rsid w:val="5F9FFE29"/>
    <w:rsid w:val="5FBF0BC6"/>
    <w:rsid w:val="5FCA8EF4"/>
    <w:rsid w:val="5FDD5418"/>
    <w:rsid w:val="5FDE8B89"/>
    <w:rsid w:val="5FE6545A"/>
    <w:rsid w:val="5FF293F6"/>
    <w:rsid w:val="5FF5A2EC"/>
    <w:rsid w:val="5FF9F814"/>
    <w:rsid w:val="5FFF3698"/>
    <w:rsid w:val="5FFF4C8B"/>
    <w:rsid w:val="5FFF4FB1"/>
    <w:rsid w:val="5FFF7AF3"/>
    <w:rsid w:val="5FFF8708"/>
    <w:rsid w:val="622F3B93"/>
    <w:rsid w:val="62AE0CAC"/>
    <w:rsid w:val="62AFECAC"/>
    <w:rsid w:val="63EF82B1"/>
    <w:rsid w:val="64FB2280"/>
    <w:rsid w:val="658FF04F"/>
    <w:rsid w:val="659EED3C"/>
    <w:rsid w:val="65FD8339"/>
    <w:rsid w:val="67ADEAAA"/>
    <w:rsid w:val="67F9E62C"/>
    <w:rsid w:val="67FCC9BA"/>
    <w:rsid w:val="67FF3264"/>
    <w:rsid w:val="67FFA54D"/>
    <w:rsid w:val="67FFA820"/>
    <w:rsid w:val="689B6D22"/>
    <w:rsid w:val="68FD15A5"/>
    <w:rsid w:val="69D4092D"/>
    <w:rsid w:val="69E93FEF"/>
    <w:rsid w:val="69ED1E9E"/>
    <w:rsid w:val="6B5D7453"/>
    <w:rsid w:val="6B7B57AA"/>
    <w:rsid w:val="6BBE192A"/>
    <w:rsid w:val="6BC70610"/>
    <w:rsid w:val="6BF55C17"/>
    <w:rsid w:val="6BFD2AB9"/>
    <w:rsid w:val="6C2E6FBB"/>
    <w:rsid w:val="6CBD19C5"/>
    <w:rsid w:val="6CEAC8E9"/>
    <w:rsid w:val="6CFEF55B"/>
    <w:rsid w:val="6CFF7D06"/>
    <w:rsid w:val="6D7F559A"/>
    <w:rsid w:val="6D87221A"/>
    <w:rsid w:val="6DB68CD6"/>
    <w:rsid w:val="6DE5623A"/>
    <w:rsid w:val="6DFF6C6D"/>
    <w:rsid w:val="6E07DBA8"/>
    <w:rsid w:val="6EC622B7"/>
    <w:rsid w:val="6EC9405A"/>
    <w:rsid w:val="6ED93E1E"/>
    <w:rsid w:val="6EFF5135"/>
    <w:rsid w:val="6F7D7FB7"/>
    <w:rsid w:val="6FA09E95"/>
    <w:rsid w:val="6FAF1635"/>
    <w:rsid w:val="6FBE6EF7"/>
    <w:rsid w:val="6FBF32FC"/>
    <w:rsid w:val="6FD45E64"/>
    <w:rsid w:val="6FD764B6"/>
    <w:rsid w:val="6FDE75CF"/>
    <w:rsid w:val="6FDF2D71"/>
    <w:rsid w:val="6FF60E42"/>
    <w:rsid w:val="6FF7E4DD"/>
    <w:rsid w:val="6FFA5B84"/>
    <w:rsid w:val="6FFD34EE"/>
    <w:rsid w:val="6FFDAD5F"/>
    <w:rsid w:val="6FFF4B62"/>
    <w:rsid w:val="6FFFB005"/>
    <w:rsid w:val="6FFFB83C"/>
    <w:rsid w:val="72538C37"/>
    <w:rsid w:val="72B7BC3D"/>
    <w:rsid w:val="72CF2058"/>
    <w:rsid w:val="737E9D90"/>
    <w:rsid w:val="737FB862"/>
    <w:rsid w:val="73BF16C1"/>
    <w:rsid w:val="73CBE860"/>
    <w:rsid w:val="73DEF24B"/>
    <w:rsid w:val="73E31F79"/>
    <w:rsid w:val="73EF84A9"/>
    <w:rsid w:val="73FE6133"/>
    <w:rsid w:val="747B6250"/>
    <w:rsid w:val="74BDBB7D"/>
    <w:rsid w:val="757D3CEF"/>
    <w:rsid w:val="757F0598"/>
    <w:rsid w:val="75A92288"/>
    <w:rsid w:val="75CF96BD"/>
    <w:rsid w:val="75D12488"/>
    <w:rsid w:val="763AD54E"/>
    <w:rsid w:val="769EF06C"/>
    <w:rsid w:val="769F0020"/>
    <w:rsid w:val="76AB65A1"/>
    <w:rsid w:val="76BC6941"/>
    <w:rsid w:val="76BFC30C"/>
    <w:rsid w:val="76F9963B"/>
    <w:rsid w:val="775748EA"/>
    <w:rsid w:val="77674699"/>
    <w:rsid w:val="776A517E"/>
    <w:rsid w:val="777B508F"/>
    <w:rsid w:val="777E0FCD"/>
    <w:rsid w:val="779F62F6"/>
    <w:rsid w:val="77B15ACD"/>
    <w:rsid w:val="77B74E65"/>
    <w:rsid w:val="77BC5927"/>
    <w:rsid w:val="77C9AF85"/>
    <w:rsid w:val="77DCFEBD"/>
    <w:rsid w:val="77EB6B8D"/>
    <w:rsid w:val="77EFD244"/>
    <w:rsid w:val="77EFDF88"/>
    <w:rsid w:val="77F4D68F"/>
    <w:rsid w:val="77F5A7A8"/>
    <w:rsid w:val="77FF5938"/>
    <w:rsid w:val="77FF77F5"/>
    <w:rsid w:val="78AF455F"/>
    <w:rsid w:val="78CB8E58"/>
    <w:rsid w:val="793E8E64"/>
    <w:rsid w:val="795B9549"/>
    <w:rsid w:val="797F1551"/>
    <w:rsid w:val="79BF400C"/>
    <w:rsid w:val="79FDC0F9"/>
    <w:rsid w:val="79FF54F7"/>
    <w:rsid w:val="79FF8C14"/>
    <w:rsid w:val="7A7B6399"/>
    <w:rsid w:val="7A960B5A"/>
    <w:rsid w:val="7AB6A159"/>
    <w:rsid w:val="7AF32657"/>
    <w:rsid w:val="7B1BD1DE"/>
    <w:rsid w:val="7B2B62C3"/>
    <w:rsid w:val="7B330506"/>
    <w:rsid w:val="7B3EDD43"/>
    <w:rsid w:val="7B3F9386"/>
    <w:rsid w:val="7B69AD35"/>
    <w:rsid w:val="7B7F252C"/>
    <w:rsid w:val="7B7FA8F7"/>
    <w:rsid w:val="7BB981B8"/>
    <w:rsid w:val="7BD746CD"/>
    <w:rsid w:val="7BDC8E06"/>
    <w:rsid w:val="7BDF9B70"/>
    <w:rsid w:val="7BDFAAEF"/>
    <w:rsid w:val="7BF66A2C"/>
    <w:rsid w:val="7BFB01E0"/>
    <w:rsid w:val="7BFB1824"/>
    <w:rsid w:val="7BFD06D3"/>
    <w:rsid w:val="7BFD98F5"/>
    <w:rsid w:val="7C76E0F5"/>
    <w:rsid w:val="7CB1EBFD"/>
    <w:rsid w:val="7CD76D1C"/>
    <w:rsid w:val="7CDF1C79"/>
    <w:rsid w:val="7CF233F1"/>
    <w:rsid w:val="7CFBAE74"/>
    <w:rsid w:val="7D139739"/>
    <w:rsid w:val="7D1EDB1C"/>
    <w:rsid w:val="7D4FDC51"/>
    <w:rsid w:val="7D6510A9"/>
    <w:rsid w:val="7D67288C"/>
    <w:rsid w:val="7D6CF108"/>
    <w:rsid w:val="7D72050F"/>
    <w:rsid w:val="7D77B63C"/>
    <w:rsid w:val="7D7BC897"/>
    <w:rsid w:val="7D7CAE5C"/>
    <w:rsid w:val="7D9B2D81"/>
    <w:rsid w:val="7D9FF012"/>
    <w:rsid w:val="7DBBCFCF"/>
    <w:rsid w:val="7DBFF90B"/>
    <w:rsid w:val="7DDF5C76"/>
    <w:rsid w:val="7DE45FEE"/>
    <w:rsid w:val="7DE5E6C0"/>
    <w:rsid w:val="7DE91C20"/>
    <w:rsid w:val="7DEF5680"/>
    <w:rsid w:val="7DF5C3DD"/>
    <w:rsid w:val="7DFDB57A"/>
    <w:rsid w:val="7DFE45C7"/>
    <w:rsid w:val="7DFE8307"/>
    <w:rsid w:val="7DFF558C"/>
    <w:rsid w:val="7DFFCD50"/>
    <w:rsid w:val="7DFFCF3C"/>
    <w:rsid w:val="7E6AAB17"/>
    <w:rsid w:val="7E75659C"/>
    <w:rsid w:val="7E764649"/>
    <w:rsid w:val="7E7E032F"/>
    <w:rsid w:val="7E7F3157"/>
    <w:rsid w:val="7E8B7391"/>
    <w:rsid w:val="7EB59F02"/>
    <w:rsid w:val="7EB6854F"/>
    <w:rsid w:val="7ECF0CF4"/>
    <w:rsid w:val="7ED6101F"/>
    <w:rsid w:val="7EEEF4EF"/>
    <w:rsid w:val="7EEFBD1C"/>
    <w:rsid w:val="7EEFC3E6"/>
    <w:rsid w:val="7EEFDFAE"/>
    <w:rsid w:val="7EF75655"/>
    <w:rsid w:val="7EFF0279"/>
    <w:rsid w:val="7EFF0D02"/>
    <w:rsid w:val="7EFF5924"/>
    <w:rsid w:val="7EFF88B2"/>
    <w:rsid w:val="7F37122D"/>
    <w:rsid w:val="7F3FFE92"/>
    <w:rsid w:val="7F5D9B65"/>
    <w:rsid w:val="7F671CA3"/>
    <w:rsid w:val="7F6FDF17"/>
    <w:rsid w:val="7F724FD2"/>
    <w:rsid w:val="7F77022D"/>
    <w:rsid w:val="7F7710E5"/>
    <w:rsid w:val="7F771EDD"/>
    <w:rsid w:val="7F774E35"/>
    <w:rsid w:val="7F7B5BEE"/>
    <w:rsid w:val="7F7DC5D1"/>
    <w:rsid w:val="7F7F1DDE"/>
    <w:rsid w:val="7F7F7574"/>
    <w:rsid w:val="7F7F9B86"/>
    <w:rsid w:val="7F951EAE"/>
    <w:rsid w:val="7F9A596E"/>
    <w:rsid w:val="7F9F0931"/>
    <w:rsid w:val="7F9F91D1"/>
    <w:rsid w:val="7FAE56E2"/>
    <w:rsid w:val="7FAF7183"/>
    <w:rsid w:val="7FAFF87D"/>
    <w:rsid w:val="7FB3BED3"/>
    <w:rsid w:val="7FB760CD"/>
    <w:rsid w:val="7FBD37AA"/>
    <w:rsid w:val="7FBE8A72"/>
    <w:rsid w:val="7FBEA937"/>
    <w:rsid w:val="7FBF2B75"/>
    <w:rsid w:val="7FBF2D2E"/>
    <w:rsid w:val="7FCFF9AB"/>
    <w:rsid w:val="7FD552BE"/>
    <w:rsid w:val="7FDBA087"/>
    <w:rsid w:val="7FDCD7C3"/>
    <w:rsid w:val="7FDF33A8"/>
    <w:rsid w:val="7FDFA989"/>
    <w:rsid w:val="7FE14B30"/>
    <w:rsid w:val="7FEAC4DC"/>
    <w:rsid w:val="7FEBCE1B"/>
    <w:rsid w:val="7FEF64D3"/>
    <w:rsid w:val="7FEF93AD"/>
    <w:rsid w:val="7FEFEB42"/>
    <w:rsid w:val="7FF301AA"/>
    <w:rsid w:val="7FF73962"/>
    <w:rsid w:val="7FF7F7B8"/>
    <w:rsid w:val="7FFA42D4"/>
    <w:rsid w:val="7FFB3E4A"/>
    <w:rsid w:val="7FFB7FE0"/>
    <w:rsid w:val="7FFB82B9"/>
    <w:rsid w:val="7FFE1B3C"/>
    <w:rsid w:val="7FFE2C4C"/>
    <w:rsid w:val="7FFF0373"/>
    <w:rsid w:val="7FFF4D76"/>
    <w:rsid w:val="7FFF4DCE"/>
    <w:rsid w:val="7FFF7026"/>
    <w:rsid w:val="7FFF778A"/>
    <w:rsid w:val="7FFF943E"/>
    <w:rsid w:val="7FFFCE5C"/>
    <w:rsid w:val="7FFFE376"/>
    <w:rsid w:val="7FFFF190"/>
    <w:rsid w:val="7FFFF1A0"/>
    <w:rsid w:val="89DB8352"/>
    <w:rsid w:val="89EB5A03"/>
    <w:rsid w:val="8BBF34A6"/>
    <w:rsid w:val="8F794636"/>
    <w:rsid w:val="8FADA2AB"/>
    <w:rsid w:val="91E77C8F"/>
    <w:rsid w:val="94BFF78E"/>
    <w:rsid w:val="957BEF8B"/>
    <w:rsid w:val="96CD4CB3"/>
    <w:rsid w:val="976545A6"/>
    <w:rsid w:val="99BF8DF8"/>
    <w:rsid w:val="9BB94BD1"/>
    <w:rsid w:val="9BF757AB"/>
    <w:rsid w:val="9BFED078"/>
    <w:rsid w:val="9BFFB5C5"/>
    <w:rsid w:val="9D876608"/>
    <w:rsid w:val="9DC7709E"/>
    <w:rsid w:val="9DED6EAB"/>
    <w:rsid w:val="9EAE5E20"/>
    <w:rsid w:val="9EB7FD73"/>
    <w:rsid w:val="9F2B5B6A"/>
    <w:rsid w:val="9F3E5FF4"/>
    <w:rsid w:val="9F6CC422"/>
    <w:rsid w:val="9F8CCFE8"/>
    <w:rsid w:val="9FED72E3"/>
    <w:rsid w:val="9FF57306"/>
    <w:rsid w:val="A79777EA"/>
    <w:rsid w:val="A7B786DB"/>
    <w:rsid w:val="A7FB434D"/>
    <w:rsid w:val="AA6D5C7F"/>
    <w:rsid w:val="AAEF4907"/>
    <w:rsid w:val="AB7B5589"/>
    <w:rsid w:val="ABBFE528"/>
    <w:rsid w:val="ABDF00E4"/>
    <w:rsid w:val="ABEC3DCA"/>
    <w:rsid w:val="ACB9BBAA"/>
    <w:rsid w:val="AD67E6AE"/>
    <w:rsid w:val="AD9E6134"/>
    <w:rsid w:val="AF7FE0BD"/>
    <w:rsid w:val="AFDE5828"/>
    <w:rsid w:val="AFEB5A36"/>
    <w:rsid w:val="AFEE2CC6"/>
    <w:rsid w:val="B2F764AD"/>
    <w:rsid w:val="B37E0A3A"/>
    <w:rsid w:val="B4AB7E8A"/>
    <w:rsid w:val="B575FD60"/>
    <w:rsid w:val="B57C4F3A"/>
    <w:rsid w:val="B5CF85B3"/>
    <w:rsid w:val="B5F710BC"/>
    <w:rsid w:val="B7674371"/>
    <w:rsid w:val="B79DD7B5"/>
    <w:rsid w:val="B7D675C8"/>
    <w:rsid w:val="B7DF6851"/>
    <w:rsid w:val="B7EE4B03"/>
    <w:rsid w:val="B7FB55EA"/>
    <w:rsid w:val="B7FC364F"/>
    <w:rsid w:val="B7FDDE51"/>
    <w:rsid w:val="B7FF9B73"/>
    <w:rsid w:val="B7FFC237"/>
    <w:rsid w:val="B8F3E4DA"/>
    <w:rsid w:val="BAFF60CF"/>
    <w:rsid w:val="BB581943"/>
    <w:rsid w:val="BB78F274"/>
    <w:rsid w:val="BB7F7387"/>
    <w:rsid w:val="BBEA61F7"/>
    <w:rsid w:val="BBF54B1E"/>
    <w:rsid w:val="BBFACBC4"/>
    <w:rsid w:val="BCEB76D5"/>
    <w:rsid w:val="BCFDAC8A"/>
    <w:rsid w:val="BCFFF5D6"/>
    <w:rsid w:val="BD38C6E8"/>
    <w:rsid w:val="BDA843BF"/>
    <w:rsid w:val="BDBBF532"/>
    <w:rsid w:val="BDDE567E"/>
    <w:rsid w:val="BEBF3396"/>
    <w:rsid w:val="BEC3B854"/>
    <w:rsid w:val="BEFCBA63"/>
    <w:rsid w:val="BF3C1412"/>
    <w:rsid w:val="BF3D99E1"/>
    <w:rsid w:val="BF468448"/>
    <w:rsid w:val="BF551682"/>
    <w:rsid w:val="BF5F47B0"/>
    <w:rsid w:val="BF6E4711"/>
    <w:rsid w:val="BF7C8B1F"/>
    <w:rsid w:val="BF7D99CA"/>
    <w:rsid w:val="BF7E3CA5"/>
    <w:rsid w:val="BFBE58E7"/>
    <w:rsid w:val="BFBF75B4"/>
    <w:rsid w:val="BFCD74E2"/>
    <w:rsid w:val="BFD60509"/>
    <w:rsid w:val="BFE2D332"/>
    <w:rsid w:val="BFE7449D"/>
    <w:rsid w:val="BFF5F7B1"/>
    <w:rsid w:val="BFF8D9C7"/>
    <w:rsid w:val="BFF928B1"/>
    <w:rsid w:val="BFF9D1B0"/>
    <w:rsid w:val="BFFBF115"/>
    <w:rsid w:val="BFFEEEB5"/>
    <w:rsid w:val="BFFEFD77"/>
    <w:rsid w:val="BFFF39C4"/>
    <w:rsid w:val="BFFF49A3"/>
    <w:rsid w:val="BFFF4D67"/>
    <w:rsid w:val="BFFFC6A1"/>
    <w:rsid w:val="C3D9B554"/>
    <w:rsid w:val="CB162AEA"/>
    <w:rsid w:val="CBAD3FC4"/>
    <w:rsid w:val="CCFF70D1"/>
    <w:rsid w:val="CD4FE1F8"/>
    <w:rsid w:val="CDEC7228"/>
    <w:rsid w:val="CE3E431F"/>
    <w:rsid w:val="CEE70E29"/>
    <w:rsid w:val="CEFB8F85"/>
    <w:rsid w:val="CEFFCC0E"/>
    <w:rsid w:val="CF3F4F01"/>
    <w:rsid w:val="CF7F0474"/>
    <w:rsid w:val="CF972A75"/>
    <w:rsid w:val="CFA395BD"/>
    <w:rsid w:val="CFBFC161"/>
    <w:rsid w:val="CFEB4E13"/>
    <w:rsid w:val="CFEF3B42"/>
    <w:rsid w:val="CFEFE505"/>
    <w:rsid w:val="CFFE042A"/>
    <w:rsid w:val="D1BF5B71"/>
    <w:rsid w:val="D2D563D3"/>
    <w:rsid w:val="D3B9761D"/>
    <w:rsid w:val="D4FEC788"/>
    <w:rsid w:val="D53F1597"/>
    <w:rsid w:val="D6FAE9E5"/>
    <w:rsid w:val="D77D8431"/>
    <w:rsid w:val="D7DADDE8"/>
    <w:rsid w:val="DAA7AD58"/>
    <w:rsid w:val="DB7F63F6"/>
    <w:rsid w:val="DB961CDB"/>
    <w:rsid w:val="DBAF8BE1"/>
    <w:rsid w:val="DBDBB2FC"/>
    <w:rsid w:val="DBEE092E"/>
    <w:rsid w:val="DBFE9BBE"/>
    <w:rsid w:val="DC3D3E98"/>
    <w:rsid w:val="DCF54FA7"/>
    <w:rsid w:val="DD3A43A0"/>
    <w:rsid w:val="DD7A356E"/>
    <w:rsid w:val="DD7F6E46"/>
    <w:rsid w:val="DDE6ED51"/>
    <w:rsid w:val="DDFD1333"/>
    <w:rsid w:val="DDFFBEFC"/>
    <w:rsid w:val="DE4785BF"/>
    <w:rsid w:val="DE6FFC79"/>
    <w:rsid w:val="DE8F5A42"/>
    <w:rsid w:val="DE9FB1B1"/>
    <w:rsid w:val="DECD4109"/>
    <w:rsid w:val="DEEF5F84"/>
    <w:rsid w:val="DEFE0B83"/>
    <w:rsid w:val="DEFE25F4"/>
    <w:rsid w:val="DF3B43C3"/>
    <w:rsid w:val="DF696007"/>
    <w:rsid w:val="DF773784"/>
    <w:rsid w:val="DF77401B"/>
    <w:rsid w:val="DF797833"/>
    <w:rsid w:val="DF7B4421"/>
    <w:rsid w:val="DF7B5F80"/>
    <w:rsid w:val="DF7DE92E"/>
    <w:rsid w:val="DFBE024F"/>
    <w:rsid w:val="DFBF7E92"/>
    <w:rsid w:val="DFBFBDA0"/>
    <w:rsid w:val="DFD2178E"/>
    <w:rsid w:val="DFD7150C"/>
    <w:rsid w:val="DFDF8C52"/>
    <w:rsid w:val="DFFA709B"/>
    <w:rsid w:val="DFFD65E9"/>
    <w:rsid w:val="E56F96D9"/>
    <w:rsid w:val="E5F3262B"/>
    <w:rsid w:val="E5F76930"/>
    <w:rsid w:val="E5FE16BC"/>
    <w:rsid w:val="E67B5B29"/>
    <w:rsid w:val="E6F63805"/>
    <w:rsid w:val="E6FDFAAA"/>
    <w:rsid w:val="E77F4402"/>
    <w:rsid w:val="E7DFF60D"/>
    <w:rsid w:val="E8DFF95F"/>
    <w:rsid w:val="E93D1F4F"/>
    <w:rsid w:val="E97F2E58"/>
    <w:rsid w:val="EADE10A1"/>
    <w:rsid w:val="EAFFD1B5"/>
    <w:rsid w:val="EB3F131C"/>
    <w:rsid w:val="EB4A936B"/>
    <w:rsid w:val="EBBFA40E"/>
    <w:rsid w:val="EBD4347C"/>
    <w:rsid w:val="EBD60E8E"/>
    <w:rsid w:val="EBD75070"/>
    <w:rsid w:val="EBF96D92"/>
    <w:rsid w:val="EBFB9F5D"/>
    <w:rsid w:val="EBFDFAC2"/>
    <w:rsid w:val="EBFE6FB8"/>
    <w:rsid w:val="EC131931"/>
    <w:rsid w:val="ECBF1C96"/>
    <w:rsid w:val="ECDB141E"/>
    <w:rsid w:val="ECFFB258"/>
    <w:rsid w:val="ED2FDDEB"/>
    <w:rsid w:val="EDB34A43"/>
    <w:rsid w:val="EDBE6301"/>
    <w:rsid w:val="EDDEB6F8"/>
    <w:rsid w:val="EDE551A6"/>
    <w:rsid w:val="EDE65C02"/>
    <w:rsid w:val="EE9D2F1A"/>
    <w:rsid w:val="EEBFBAEB"/>
    <w:rsid w:val="EEDED918"/>
    <w:rsid w:val="EEEF833E"/>
    <w:rsid w:val="EEF55054"/>
    <w:rsid w:val="EEFE382A"/>
    <w:rsid w:val="EF5B179F"/>
    <w:rsid w:val="EF5E2534"/>
    <w:rsid w:val="EF6B2DE4"/>
    <w:rsid w:val="EF6F6B85"/>
    <w:rsid w:val="EF7F0414"/>
    <w:rsid w:val="EF7F10B3"/>
    <w:rsid w:val="EF8E42BA"/>
    <w:rsid w:val="EFA707ED"/>
    <w:rsid w:val="EFBF9A24"/>
    <w:rsid w:val="EFEBAA31"/>
    <w:rsid w:val="EFF79A3C"/>
    <w:rsid w:val="EFF90E87"/>
    <w:rsid w:val="EFFBDE16"/>
    <w:rsid w:val="EFFED0F5"/>
    <w:rsid w:val="EFFF084B"/>
    <w:rsid w:val="F0F928AE"/>
    <w:rsid w:val="F138C34F"/>
    <w:rsid w:val="F175BA3B"/>
    <w:rsid w:val="F23F5BB1"/>
    <w:rsid w:val="F2AD2782"/>
    <w:rsid w:val="F31F6730"/>
    <w:rsid w:val="F37F16CB"/>
    <w:rsid w:val="F3BF342E"/>
    <w:rsid w:val="F3F731A6"/>
    <w:rsid w:val="F3FC6036"/>
    <w:rsid w:val="F3FFA80B"/>
    <w:rsid w:val="F4FEBFDF"/>
    <w:rsid w:val="F53E6702"/>
    <w:rsid w:val="F57561EB"/>
    <w:rsid w:val="F5B61386"/>
    <w:rsid w:val="F5BFC93C"/>
    <w:rsid w:val="F6529231"/>
    <w:rsid w:val="F67EF601"/>
    <w:rsid w:val="F6B7C82E"/>
    <w:rsid w:val="F6BB4D4C"/>
    <w:rsid w:val="F6DF3266"/>
    <w:rsid w:val="F6DF96C3"/>
    <w:rsid w:val="F6FDA4F4"/>
    <w:rsid w:val="F71980EB"/>
    <w:rsid w:val="F7199EE1"/>
    <w:rsid w:val="F75EB9A3"/>
    <w:rsid w:val="F76F44C8"/>
    <w:rsid w:val="F76FA5DA"/>
    <w:rsid w:val="F773419A"/>
    <w:rsid w:val="F797D8CE"/>
    <w:rsid w:val="F7BD261B"/>
    <w:rsid w:val="F7BEF564"/>
    <w:rsid w:val="F7D70D33"/>
    <w:rsid w:val="F7EFB30A"/>
    <w:rsid w:val="F7F7BF23"/>
    <w:rsid w:val="F7FABC14"/>
    <w:rsid w:val="F7FBD222"/>
    <w:rsid w:val="F7FC4411"/>
    <w:rsid w:val="F7FD16B9"/>
    <w:rsid w:val="F7FF0DB3"/>
    <w:rsid w:val="F7FF56FC"/>
    <w:rsid w:val="F7FFD482"/>
    <w:rsid w:val="F7FFD7BC"/>
    <w:rsid w:val="F8EF2A5A"/>
    <w:rsid w:val="F8EF35CB"/>
    <w:rsid w:val="F8FF4F3C"/>
    <w:rsid w:val="F97F7ED8"/>
    <w:rsid w:val="F9AD90CA"/>
    <w:rsid w:val="F9BD2AE7"/>
    <w:rsid w:val="F9DF4E51"/>
    <w:rsid w:val="F9F786D3"/>
    <w:rsid w:val="F9FB8D49"/>
    <w:rsid w:val="F9FF6263"/>
    <w:rsid w:val="FA33D855"/>
    <w:rsid w:val="FA3F1504"/>
    <w:rsid w:val="FAEE8911"/>
    <w:rsid w:val="FAFF003C"/>
    <w:rsid w:val="FB2C0F33"/>
    <w:rsid w:val="FB3F7AEF"/>
    <w:rsid w:val="FB67A54F"/>
    <w:rsid w:val="FB7F8DD2"/>
    <w:rsid w:val="FBBFA122"/>
    <w:rsid w:val="FBC55282"/>
    <w:rsid w:val="FBDFF97D"/>
    <w:rsid w:val="FBEBD8FD"/>
    <w:rsid w:val="FBEE8793"/>
    <w:rsid w:val="FBF25B3F"/>
    <w:rsid w:val="FBF74075"/>
    <w:rsid w:val="FBF8D3FA"/>
    <w:rsid w:val="FBF9711C"/>
    <w:rsid w:val="FBFAC75A"/>
    <w:rsid w:val="FBFFA432"/>
    <w:rsid w:val="FC2FED69"/>
    <w:rsid w:val="FC5E459F"/>
    <w:rsid w:val="FC6F60F5"/>
    <w:rsid w:val="FCA79812"/>
    <w:rsid w:val="FCBA4DC5"/>
    <w:rsid w:val="FCD55108"/>
    <w:rsid w:val="FCFF3CDF"/>
    <w:rsid w:val="FD6F20CA"/>
    <w:rsid w:val="FD79F4B6"/>
    <w:rsid w:val="FD8FEF9F"/>
    <w:rsid w:val="FDCF59CC"/>
    <w:rsid w:val="FDE80727"/>
    <w:rsid w:val="FDEE0A05"/>
    <w:rsid w:val="FE068613"/>
    <w:rsid w:val="FE131E1C"/>
    <w:rsid w:val="FE3740D7"/>
    <w:rsid w:val="FE530AC2"/>
    <w:rsid w:val="FE7D53A5"/>
    <w:rsid w:val="FEAD84B6"/>
    <w:rsid w:val="FEBD014A"/>
    <w:rsid w:val="FECAF458"/>
    <w:rsid w:val="FECB560F"/>
    <w:rsid w:val="FEE5BE69"/>
    <w:rsid w:val="FEF37E47"/>
    <w:rsid w:val="FEF77F97"/>
    <w:rsid w:val="FEFE418D"/>
    <w:rsid w:val="FEFF9071"/>
    <w:rsid w:val="FEFF9ED5"/>
    <w:rsid w:val="FEFFEBF6"/>
    <w:rsid w:val="FF495A97"/>
    <w:rsid w:val="FF4BD8B9"/>
    <w:rsid w:val="FF576A82"/>
    <w:rsid w:val="FF6746B7"/>
    <w:rsid w:val="FF711A03"/>
    <w:rsid w:val="FF77A4D8"/>
    <w:rsid w:val="FF7AF324"/>
    <w:rsid w:val="FF7BC4EE"/>
    <w:rsid w:val="FF7F2792"/>
    <w:rsid w:val="FF7FA712"/>
    <w:rsid w:val="FF7FD3DF"/>
    <w:rsid w:val="FF9AAFE5"/>
    <w:rsid w:val="FF9E2B22"/>
    <w:rsid w:val="FF9EEDDB"/>
    <w:rsid w:val="FF9FA23B"/>
    <w:rsid w:val="FFB10D73"/>
    <w:rsid w:val="FFB1B215"/>
    <w:rsid w:val="FFB413D6"/>
    <w:rsid w:val="FFBB3BC0"/>
    <w:rsid w:val="FFBB51E2"/>
    <w:rsid w:val="FFBDEEBD"/>
    <w:rsid w:val="FFBF1C29"/>
    <w:rsid w:val="FFC3E5B1"/>
    <w:rsid w:val="FFCE4024"/>
    <w:rsid w:val="FFCFA38D"/>
    <w:rsid w:val="FFD74FB5"/>
    <w:rsid w:val="FFDF2805"/>
    <w:rsid w:val="FFDF4429"/>
    <w:rsid w:val="FFDF671E"/>
    <w:rsid w:val="FFE49617"/>
    <w:rsid w:val="FFE71389"/>
    <w:rsid w:val="FFE7C05C"/>
    <w:rsid w:val="FFE7E2B4"/>
    <w:rsid w:val="FFEC5751"/>
    <w:rsid w:val="FFEF0B74"/>
    <w:rsid w:val="FFEFB3F1"/>
    <w:rsid w:val="FFEFBDAA"/>
    <w:rsid w:val="FFF1BF5E"/>
    <w:rsid w:val="FFF6BB16"/>
    <w:rsid w:val="FFF71F74"/>
    <w:rsid w:val="FFF7A45F"/>
    <w:rsid w:val="FFF95B02"/>
    <w:rsid w:val="FFFA002A"/>
    <w:rsid w:val="FFFA4C14"/>
    <w:rsid w:val="FFFB3CD4"/>
    <w:rsid w:val="FFFE3B2A"/>
    <w:rsid w:val="FFFED00F"/>
    <w:rsid w:val="FFFF4695"/>
    <w:rsid w:val="FFFF73E9"/>
    <w:rsid w:val="FFFF97FD"/>
    <w:rsid w:val="FFFFA9DC"/>
    <w:rsid w:val="FFFFAF06"/>
    <w:rsid w:val="FFFFC721"/>
    <w:rsid w:val="FFFFD398"/>
    <w:rsid w:val="FFFFE38F"/>
    <w:rsid w:val="FFFFF5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iPriority="99"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仿宋_GB2312" w:cs="Times New Roman"/>
      <w:kern w:val="2"/>
      <w:sz w:val="28"/>
      <w:szCs w:val="24"/>
      <w:lang w:val="en-US" w:eastAsia="zh-CN" w:bidi="ar-SA"/>
    </w:rPr>
  </w:style>
  <w:style w:type="paragraph" w:styleId="3">
    <w:name w:val="heading 1"/>
    <w:basedOn w:val="1"/>
    <w:next w:val="1"/>
    <w:qFormat/>
    <w:uiPriority w:val="0"/>
    <w:pPr>
      <w:spacing w:line="520" w:lineRule="atLeast"/>
      <w:ind w:firstLine="560"/>
      <w:outlineLvl w:val="0"/>
    </w:pPr>
    <w:rPr>
      <w:rFonts w:ascii="黑体" w:hAnsi="黑体" w:eastAsia="黑体"/>
      <w:sz w:val="32"/>
      <w:szCs w:val="32"/>
    </w:rPr>
  </w:style>
  <w:style w:type="paragraph" w:styleId="4">
    <w:name w:val="heading 2"/>
    <w:basedOn w:val="1"/>
    <w:next w:val="1"/>
    <w:link w:val="39"/>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5">
    <w:name w:val="heading 3"/>
    <w:basedOn w:val="1"/>
    <w:next w:val="1"/>
    <w:link w:val="37"/>
    <w:semiHidden/>
    <w:unhideWhenUsed/>
    <w:qFormat/>
    <w:uiPriority w:val="0"/>
    <w:pPr>
      <w:keepNext/>
      <w:keepLines/>
      <w:spacing w:before="260" w:after="260" w:line="416" w:lineRule="auto"/>
      <w:outlineLvl w:val="2"/>
    </w:pPr>
    <w:rPr>
      <w:b/>
      <w:bCs/>
      <w:sz w:val="32"/>
      <w:szCs w:val="32"/>
    </w:rPr>
  </w:style>
  <w:style w:type="paragraph" w:styleId="6">
    <w:name w:val="heading 4"/>
    <w:basedOn w:val="1"/>
    <w:next w:val="1"/>
    <w:link w:val="26"/>
    <w:semiHidden/>
    <w:unhideWhenUsed/>
    <w:qFormat/>
    <w:uiPriority w:val="0"/>
    <w:pPr>
      <w:keepNext/>
      <w:keepLines/>
      <w:spacing w:before="280" w:after="290" w:line="376" w:lineRule="auto"/>
      <w:outlineLvl w:val="3"/>
    </w:pPr>
    <w:rPr>
      <w:rFonts w:ascii="等线 Light" w:hAnsi="等线 Light" w:eastAsia="等线 Light"/>
      <w:b/>
      <w:bCs/>
      <w:szCs w:val="28"/>
    </w:rPr>
  </w:style>
  <w:style w:type="paragraph" w:styleId="7">
    <w:name w:val="heading 5"/>
    <w:basedOn w:val="1"/>
    <w:next w:val="1"/>
    <w:link w:val="36"/>
    <w:semiHidden/>
    <w:unhideWhenUsed/>
    <w:qFormat/>
    <w:uiPriority w:val="0"/>
    <w:pPr>
      <w:keepNext/>
      <w:keepLines/>
      <w:spacing w:before="280" w:after="290" w:line="376" w:lineRule="auto"/>
      <w:outlineLvl w:val="4"/>
    </w:pPr>
    <w:rPr>
      <w:b/>
      <w:bCs/>
      <w:szCs w:val="28"/>
    </w:rPr>
  </w:style>
  <w:style w:type="character" w:default="1" w:styleId="20">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2">
    <w:name w:val="Body Text 2"/>
    <w:basedOn w:val="1"/>
    <w:unhideWhenUsed/>
    <w:qFormat/>
    <w:uiPriority w:val="99"/>
    <w:pPr>
      <w:spacing w:after="120" w:line="480" w:lineRule="auto"/>
    </w:pPr>
  </w:style>
  <w:style w:type="paragraph" w:styleId="8">
    <w:name w:val="annotation text"/>
    <w:basedOn w:val="1"/>
    <w:link w:val="29"/>
    <w:qFormat/>
    <w:uiPriority w:val="0"/>
    <w:pPr>
      <w:jc w:val="left"/>
    </w:pPr>
  </w:style>
  <w:style w:type="paragraph" w:styleId="9">
    <w:name w:val="Body Text Indent"/>
    <w:basedOn w:val="1"/>
    <w:link w:val="33"/>
    <w:qFormat/>
    <w:uiPriority w:val="0"/>
    <w:pPr>
      <w:spacing w:line="600" w:lineRule="exact"/>
      <w:ind w:firstLine="560" w:firstLineChars="200"/>
    </w:pPr>
    <w:rPr>
      <w:lang w:val="zh-CN"/>
    </w:rPr>
  </w:style>
  <w:style w:type="paragraph" w:styleId="10">
    <w:name w:val="Plain Text"/>
    <w:basedOn w:val="1"/>
    <w:link w:val="28"/>
    <w:qFormat/>
    <w:uiPriority w:val="0"/>
    <w:rPr>
      <w:rFonts w:ascii="宋体" w:hAnsi="Courier New" w:eastAsia="宋体" w:cs="Courier New"/>
      <w:sz w:val="21"/>
      <w:szCs w:val="21"/>
    </w:rPr>
  </w:style>
  <w:style w:type="paragraph" w:styleId="11">
    <w:name w:val="Balloon Text"/>
    <w:basedOn w:val="1"/>
    <w:link w:val="31"/>
    <w:qFormat/>
    <w:uiPriority w:val="0"/>
    <w:rPr>
      <w:sz w:val="18"/>
      <w:szCs w:val="18"/>
    </w:rPr>
  </w:style>
  <w:style w:type="paragraph" w:styleId="12">
    <w:name w:val="footer"/>
    <w:basedOn w:val="1"/>
    <w:link w:val="25"/>
    <w:qFormat/>
    <w:uiPriority w:val="99"/>
    <w:pPr>
      <w:tabs>
        <w:tab w:val="center" w:pos="4153"/>
        <w:tab w:val="right" w:pos="8306"/>
      </w:tabs>
      <w:snapToGrid w:val="0"/>
      <w:jc w:val="left"/>
    </w:pPr>
    <w:rPr>
      <w:sz w:val="18"/>
      <w:szCs w:val="18"/>
    </w:rPr>
  </w:style>
  <w:style w:type="paragraph" w:styleId="13">
    <w:name w:val="header"/>
    <w:basedOn w:val="1"/>
    <w:link w:val="24"/>
    <w:qFormat/>
    <w:uiPriority w:val="0"/>
    <w:pPr>
      <w:tabs>
        <w:tab w:val="center" w:pos="4153"/>
        <w:tab w:val="right" w:pos="8306"/>
      </w:tabs>
      <w:snapToGrid w:val="0"/>
      <w:jc w:val="center"/>
    </w:pPr>
    <w:rPr>
      <w:sz w:val="18"/>
      <w:szCs w:val="18"/>
    </w:rPr>
  </w:style>
  <w:style w:type="paragraph" w:styleId="14">
    <w:name w:val="toc 1"/>
    <w:basedOn w:val="10"/>
    <w:next w:val="10"/>
    <w:qFormat/>
    <w:uiPriority w:val="39"/>
    <w:rPr>
      <w:rFonts w:ascii="文鼎大标宋简" w:eastAsia="文鼎大标宋简" w:cs="文鼎大标宋简"/>
      <w:spacing w:val="4"/>
      <w:sz w:val="36"/>
    </w:rPr>
  </w:style>
  <w:style w:type="paragraph" w:styleId="15">
    <w:name w:val="toc 2"/>
    <w:basedOn w:val="1"/>
    <w:next w:val="1"/>
    <w:qFormat/>
    <w:uiPriority w:val="39"/>
    <w:pPr>
      <w:ind w:left="420" w:leftChars="200"/>
    </w:pPr>
  </w:style>
  <w:style w:type="paragraph" w:styleId="16">
    <w:name w:val="Normal (Web)"/>
    <w:basedOn w:val="1"/>
    <w:unhideWhenUsed/>
    <w:qFormat/>
    <w:uiPriority w:val="99"/>
    <w:pPr>
      <w:widowControl/>
      <w:spacing w:before="100" w:beforeAutospacing="1" w:after="100" w:afterAutospacing="1"/>
      <w:jc w:val="left"/>
    </w:pPr>
    <w:rPr>
      <w:rFonts w:ascii="宋体" w:hAnsi="宋体" w:eastAsia="宋体" w:cs="宋体"/>
      <w:kern w:val="0"/>
      <w:sz w:val="24"/>
    </w:rPr>
  </w:style>
  <w:style w:type="paragraph" w:styleId="17">
    <w:name w:val="annotation subject"/>
    <w:basedOn w:val="8"/>
    <w:next w:val="8"/>
    <w:link w:val="30"/>
    <w:qFormat/>
    <w:uiPriority w:val="0"/>
    <w:rPr>
      <w:b/>
      <w:bCs/>
    </w:rPr>
  </w:style>
  <w:style w:type="table" w:styleId="19">
    <w:name w:val="Table Grid"/>
    <w:basedOn w:val="18"/>
    <w:qFormat/>
    <w:uiPriority w:val="59"/>
    <w:rPr>
      <w:rFonts w:asciiTheme="minorHAnsi" w:hAnsiTheme="minorHAnsi" w:eastAsiaTheme="minorEastAsia" w:cstheme="minorBidi"/>
      <w:kern w:val="2"/>
      <w:sz w:val="21"/>
      <w:szCs w:val="22"/>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qFormat/>
    <w:uiPriority w:val="22"/>
    <w:rPr>
      <w:b/>
      <w:bCs/>
    </w:rPr>
  </w:style>
  <w:style w:type="character" w:styleId="22">
    <w:name w:val="Hyperlink"/>
    <w:qFormat/>
    <w:uiPriority w:val="99"/>
    <w:rPr>
      <w:color w:val="0000FF"/>
      <w:u w:val="single"/>
    </w:rPr>
  </w:style>
  <w:style w:type="character" w:styleId="23">
    <w:name w:val="annotation reference"/>
    <w:qFormat/>
    <w:uiPriority w:val="0"/>
    <w:rPr>
      <w:sz w:val="21"/>
      <w:szCs w:val="21"/>
    </w:rPr>
  </w:style>
  <w:style w:type="character" w:customStyle="1" w:styleId="24">
    <w:name w:val="页眉 字符"/>
    <w:link w:val="13"/>
    <w:qFormat/>
    <w:uiPriority w:val="0"/>
    <w:rPr>
      <w:rFonts w:ascii="Times New Roman" w:hAnsi="Times New Roman" w:eastAsia="仿宋_GB2312"/>
      <w:kern w:val="2"/>
      <w:sz w:val="18"/>
      <w:szCs w:val="18"/>
    </w:rPr>
  </w:style>
  <w:style w:type="character" w:customStyle="1" w:styleId="25">
    <w:name w:val="页脚 字符"/>
    <w:link w:val="12"/>
    <w:qFormat/>
    <w:uiPriority w:val="99"/>
    <w:rPr>
      <w:rFonts w:ascii="Times New Roman" w:hAnsi="Times New Roman" w:eastAsia="仿宋_GB2312"/>
      <w:kern w:val="2"/>
      <w:sz w:val="18"/>
      <w:szCs w:val="18"/>
    </w:rPr>
  </w:style>
  <w:style w:type="character" w:customStyle="1" w:styleId="26">
    <w:name w:val="标题 4 字符"/>
    <w:link w:val="6"/>
    <w:semiHidden/>
    <w:qFormat/>
    <w:uiPriority w:val="0"/>
    <w:rPr>
      <w:rFonts w:ascii="等线 Light" w:hAnsi="等线 Light" w:eastAsia="等线 Light" w:cs="Times New Roman"/>
      <w:b/>
      <w:bCs/>
      <w:kern w:val="2"/>
      <w:sz w:val="28"/>
      <w:szCs w:val="28"/>
    </w:rPr>
  </w:style>
  <w:style w:type="paragraph" w:customStyle="1" w:styleId="27">
    <w:name w:val="列表段落1"/>
    <w:basedOn w:val="1"/>
    <w:qFormat/>
    <w:uiPriority w:val="99"/>
    <w:pPr>
      <w:ind w:firstLine="420" w:firstLineChars="200"/>
    </w:pPr>
  </w:style>
  <w:style w:type="character" w:customStyle="1" w:styleId="28">
    <w:name w:val="纯文本 字符"/>
    <w:link w:val="10"/>
    <w:qFormat/>
    <w:uiPriority w:val="0"/>
    <w:rPr>
      <w:rFonts w:ascii="宋体" w:hAnsi="Courier New" w:cs="Courier New"/>
      <w:kern w:val="2"/>
      <w:sz w:val="21"/>
      <w:szCs w:val="21"/>
    </w:rPr>
  </w:style>
  <w:style w:type="character" w:customStyle="1" w:styleId="29">
    <w:name w:val="批注文字 字符"/>
    <w:link w:val="8"/>
    <w:qFormat/>
    <w:uiPriority w:val="0"/>
    <w:rPr>
      <w:rFonts w:ascii="Times New Roman" w:hAnsi="Times New Roman" w:eastAsia="仿宋_GB2312"/>
      <w:kern w:val="2"/>
      <w:sz w:val="28"/>
      <w:szCs w:val="24"/>
    </w:rPr>
  </w:style>
  <w:style w:type="character" w:customStyle="1" w:styleId="30">
    <w:name w:val="批注主题 字符"/>
    <w:link w:val="17"/>
    <w:qFormat/>
    <w:uiPriority w:val="0"/>
    <w:rPr>
      <w:rFonts w:ascii="Times New Roman" w:hAnsi="Times New Roman" w:eastAsia="仿宋_GB2312"/>
      <w:b/>
      <w:bCs/>
      <w:kern w:val="2"/>
      <w:sz w:val="28"/>
      <w:szCs w:val="24"/>
    </w:rPr>
  </w:style>
  <w:style w:type="character" w:customStyle="1" w:styleId="31">
    <w:name w:val="批注框文本 字符"/>
    <w:link w:val="11"/>
    <w:qFormat/>
    <w:uiPriority w:val="0"/>
    <w:rPr>
      <w:rFonts w:ascii="Times New Roman" w:hAnsi="Times New Roman" w:eastAsia="仿宋_GB2312"/>
      <w:kern w:val="2"/>
      <w:sz w:val="18"/>
      <w:szCs w:val="18"/>
    </w:rPr>
  </w:style>
  <w:style w:type="paragraph" w:customStyle="1" w:styleId="32">
    <w:name w:val="005正文"/>
    <w:qFormat/>
    <w:uiPriority w:val="0"/>
    <w:pPr>
      <w:widowControl w:val="0"/>
      <w:adjustRightInd w:val="0"/>
      <w:snapToGrid w:val="0"/>
      <w:spacing w:beforeLines="50" w:afterLines="50" w:line="360" w:lineRule="auto"/>
      <w:ind w:firstLine="200" w:firstLineChars="200"/>
      <w:jc w:val="both"/>
    </w:pPr>
    <w:rPr>
      <w:rFonts w:ascii="Times New Roman" w:hAnsi="Times New Roman" w:eastAsia="仿宋_GB2312" w:cs="Times New Roman"/>
      <w:kern w:val="2"/>
      <w:sz w:val="24"/>
      <w:szCs w:val="24"/>
      <w:lang w:val="en-US" w:eastAsia="zh-CN" w:bidi="ar-SA"/>
    </w:rPr>
  </w:style>
  <w:style w:type="character" w:customStyle="1" w:styleId="33">
    <w:name w:val="正文文本缩进 字符"/>
    <w:link w:val="9"/>
    <w:qFormat/>
    <w:uiPriority w:val="0"/>
    <w:rPr>
      <w:rFonts w:ascii="Times New Roman" w:hAnsi="Times New Roman" w:eastAsia="仿宋_GB2312"/>
      <w:kern w:val="2"/>
      <w:sz w:val="28"/>
      <w:szCs w:val="24"/>
      <w:lang w:val="zh-CN"/>
    </w:rPr>
  </w:style>
  <w:style w:type="paragraph" w:customStyle="1" w:styleId="34">
    <w:name w:val="biaogeshangbiaoti"/>
    <w:basedOn w:val="1"/>
    <w:qFormat/>
    <w:uiPriority w:val="0"/>
    <w:pPr>
      <w:widowControl/>
      <w:spacing w:before="100" w:beforeAutospacing="1" w:after="100" w:afterAutospacing="1"/>
      <w:jc w:val="left"/>
    </w:pPr>
    <w:rPr>
      <w:rFonts w:ascii="黑体" w:hAnsi="宋体" w:eastAsia="黑体" w:cs="宋体"/>
      <w:b/>
      <w:bCs/>
      <w:kern w:val="0"/>
      <w:sz w:val="54"/>
      <w:szCs w:val="54"/>
    </w:rPr>
  </w:style>
  <w:style w:type="paragraph" w:customStyle="1" w:styleId="35">
    <w:name w:val="p0"/>
    <w:basedOn w:val="1"/>
    <w:qFormat/>
    <w:uiPriority w:val="0"/>
    <w:pPr>
      <w:widowControl/>
    </w:pPr>
    <w:rPr>
      <w:rFonts w:ascii="Calibri" w:hAnsi="Calibri" w:eastAsia="宋体"/>
      <w:kern w:val="0"/>
      <w:sz w:val="21"/>
      <w:szCs w:val="21"/>
    </w:rPr>
  </w:style>
  <w:style w:type="character" w:customStyle="1" w:styleId="36">
    <w:name w:val="标题 5 字符"/>
    <w:link w:val="7"/>
    <w:semiHidden/>
    <w:qFormat/>
    <w:uiPriority w:val="0"/>
    <w:rPr>
      <w:rFonts w:ascii="Times New Roman" w:hAnsi="Times New Roman" w:eastAsia="仿宋_GB2312"/>
      <w:b/>
      <w:bCs/>
      <w:kern w:val="2"/>
      <w:sz w:val="28"/>
      <w:szCs w:val="28"/>
    </w:rPr>
  </w:style>
  <w:style w:type="character" w:customStyle="1" w:styleId="37">
    <w:name w:val="标题 3 字符"/>
    <w:link w:val="5"/>
    <w:semiHidden/>
    <w:qFormat/>
    <w:uiPriority w:val="0"/>
    <w:rPr>
      <w:rFonts w:ascii="Times New Roman" w:hAnsi="Times New Roman" w:eastAsia="仿宋_GB2312"/>
      <w:b/>
      <w:bCs/>
      <w:kern w:val="2"/>
      <w:sz w:val="32"/>
      <w:szCs w:val="32"/>
    </w:rPr>
  </w:style>
  <w:style w:type="character" w:customStyle="1" w:styleId="38">
    <w:name w:val="未处理的提及1"/>
    <w:semiHidden/>
    <w:unhideWhenUsed/>
    <w:qFormat/>
    <w:uiPriority w:val="99"/>
    <w:rPr>
      <w:color w:val="605E5C"/>
      <w:shd w:val="clear" w:color="auto" w:fill="E1DFDD"/>
    </w:rPr>
  </w:style>
  <w:style w:type="character" w:customStyle="1" w:styleId="39">
    <w:name w:val="标题 2 字符"/>
    <w:basedOn w:val="20"/>
    <w:link w:val="4"/>
    <w:qFormat/>
    <w:uiPriority w:val="0"/>
    <w:rPr>
      <w:rFonts w:asciiTheme="majorHAnsi" w:hAnsiTheme="majorHAnsi" w:eastAsiaTheme="majorEastAsia" w:cstheme="majorBidi"/>
      <w:b/>
      <w:bCs/>
      <w:kern w:val="2"/>
      <w:sz w:val="32"/>
      <w:szCs w:val="32"/>
    </w:rPr>
  </w:style>
  <w:style w:type="table" w:customStyle="1" w:styleId="40">
    <w:name w:val="Table Normal"/>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59</Pages>
  <Words>9740</Words>
  <Characters>10078</Characters>
  <Lines>332</Lines>
  <Paragraphs>93</Paragraphs>
  <TotalTime>0</TotalTime>
  <ScaleCrop>false</ScaleCrop>
  <LinksUpToDate>false</LinksUpToDate>
  <CharactersWithSpaces>11159</CharactersWithSpaces>
  <Application>WPS Office_6.12.1.8902_F1E327BC-269C-435d-A152-05C5408002CA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2024-07-25T21:31:00Z</dcterms:created>
  <dc:creator>stcsm</dc:creator>
  <cp:lastModifiedBy>吴伯涛</cp:lastModifiedBy>
  <cp:lastPrinted>2024-07-20T16:21:00Z</cp:lastPrinted>
  <dcterms:modified xsi:type="dcterms:W3CDTF">2025-07-21T11:20:29Z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2052-6.12.1.8902</vt:lpwstr>
  </property>
  <property fmtid="{D5CDD505-2E9C-101B-9397-08002B2CF9AE}" pid="3" name="ICV">
    <vt:lpwstr>1B2ACF4F0EA5453B8EA70385F3ED7ACB_13</vt:lpwstr>
  </property>
</Properties>
</file>