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29201">
      <w:pPr>
        <w:pStyle w:val="2"/>
        <w:keepNext w:val="0"/>
        <w:keepLines w:val="0"/>
        <w:pageBreakBefore w:val="0"/>
        <w:kinsoku/>
        <w:wordWrap/>
        <w:overflowPunct/>
        <w:bidi w:val="0"/>
        <w:spacing w:after="0" w:line="360" w:lineRule="auto"/>
        <w:ind w:left="0" w:leftChars="0"/>
        <w:textAlignment w:val="auto"/>
        <w:outlineLvl w:val="0"/>
        <w:rPr>
          <w:rFonts w:eastAsia="黑体"/>
          <w:b/>
          <w:sz w:val="52"/>
        </w:rPr>
      </w:pPr>
      <w:bookmarkStart w:id="0" w:name="_Toc17865"/>
      <w:r>
        <w:rPr>
          <w:rFonts w:ascii="Times New Roman" w:hAnsi="Times New Roman" w:eastAsia="黑体"/>
          <w:sz w:val="30"/>
          <w:szCs w:val="30"/>
        </w:rPr>
        <w:t>附件</w:t>
      </w:r>
      <w:r>
        <w:rPr>
          <w:rFonts w:hint="eastAsia" w:eastAsia="黑体"/>
          <w:sz w:val="30"/>
          <w:szCs w:val="30"/>
          <w:lang w:val="en-US" w:eastAsia="zh-CN"/>
        </w:rPr>
        <w:t>2</w:t>
      </w:r>
      <w:r>
        <w:rPr>
          <w:rFonts w:ascii="Times New Roman" w:hAnsi="Times New Roman" w:eastAsia="黑体"/>
          <w:sz w:val="30"/>
          <w:szCs w:val="30"/>
        </w:rPr>
        <w:t>：</w:t>
      </w:r>
    </w:p>
    <w:p w14:paraId="6FC3D2BD">
      <w:pPr>
        <w:keepNext w:val="0"/>
        <w:keepLines w:val="0"/>
        <w:pageBreakBefore w:val="0"/>
        <w:widowControl w:val="0"/>
        <w:kinsoku/>
        <w:wordWrap/>
        <w:overflowPunct/>
        <w:topLinePunct w:val="0"/>
        <w:autoSpaceDE/>
        <w:autoSpaceDN/>
        <w:bidi w:val="0"/>
        <w:adjustRightInd/>
        <w:snapToGrid/>
        <w:spacing w:before="1144" w:beforeLines="300"/>
        <w:jc w:val="center"/>
        <w:textAlignment w:val="auto"/>
        <w:rPr>
          <w:rFonts w:eastAsia="黑体"/>
          <w:b/>
          <w:sz w:val="52"/>
        </w:rPr>
      </w:pPr>
      <w:r>
        <w:rPr>
          <w:rFonts w:eastAsia="黑体"/>
          <w:b/>
          <w:sz w:val="52"/>
        </w:rPr>
        <w:t>上海市科学技术委员会</w:t>
      </w:r>
      <w:bookmarkEnd w:id="0"/>
    </w:p>
    <w:p w14:paraId="2FE780B9">
      <w:pPr>
        <w:jc w:val="center"/>
        <w:rPr>
          <w:rFonts w:eastAsia="黑体"/>
          <w:b/>
          <w:sz w:val="52"/>
        </w:rPr>
      </w:pPr>
      <w:bookmarkStart w:id="1" w:name="_Toc11645"/>
      <w:r>
        <w:rPr>
          <w:rFonts w:hint="eastAsia" w:eastAsia="黑体"/>
          <w:b/>
          <w:sz w:val="52"/>
          <w:lang w:val="en-US" w:eastAsia="zh-CN"/>
        </w:rPr>
        <w:t>战略前沿专项</w:t>
      </w:r>
      <w:r>
        <w:rPr>
          <w:rFonts w:eastAsia="黑体"/>
          <w:b/>
          <w:sz w:val="52"/>
        </w:rPr>
        <w:t>项目可行性方案</w:t>
      </w:r>
      <w:bookmarkEnd w:id="1"/>
    </w:p>
    <w:p w14:paraId="5BEFF600">
      <w:pPr>
        <w:jc w:val="center"/>
        <w:rPr>
          <w:rFonts w:eastAsia="黑体"/>
          <w:b/>
          <w:szCs w:val="28"/>
        </w:rPr>
      </w:pPr>
    </w:p>
    <w:p w14:paraId="3F8131EF">
      <w:pPr>
        <w:jc w:val="center"/>
        <w:rPr>
          <w:rFonts w:eastAsia="黑体"/>
          <w:b/>
          <w:szCs w:val="28"/>
        </w:rPr>
      </w:pPr>
    </w:p>
    <w:p w14:paraId="46995C56">
      <w:pPr>
        <w:jc w:val="center"/>
        <w:rPr>
          <w:rFonts w:eastAsia="黑体"/>
          <w:b/>
          <w:szCs w:val="28"/>
        </w:rPr>
      </w:pPr>
    </w:p>
    <w:p w14:paraId="01B3F3C0">
      <w:pPr>
        <w:jc w:val="center"/>
        <w:rPr>
          <w:rFonts w:eastAsia="黑体"/>
          <w:b/>
          <w:szCs w:val="28"/>
        </w:rPr>
      </w:pPr>
    </w:p>
    <w:p w14:paraId="40F0C558">
      <w:pPr>
        <w:spacing w:line="760" w:lineRule="exact"/>
        <w:ind w:left="1154"/>
        <w:rPr>
          <w:u w:val="single"/>
        </w:rPr>
      </w:pPr>
      <w:r>
        <w:t>项目名称</w:t>
      </w:r>
      <w:r>
        <w:rPr>
          <w:u w:val="single"/>
        </w:rPr>
        <w:t xml:space="preserve"> </w:t>
      </w:r>
      <w:r>
        <w:rPr>
          <w:rFonts w:hint="eastAsia"/>
          <w:u w:val="single"/>
          <w:lang w:val="en-US" w:eastAsia="zh-CN"/>
        </w:rPr>
        <w:t xml:space="preserve">                                        </w:t>
      </w:r>
      <w:r>
        <w:rPr>
          <w:u w:val="single"/>
        </w:rPr>
        <w:t xml:space="preserve"> </w:t>
      </w:r>
    </w:p>
    <w:p w14:paraId="7491A444">
      <w:pPr>
        <w:spacing w:line="760" w:lineRule="exact"/>
        <w:ind w:left="1154"/>
        <w:rPr>
          <w:u w:val="single"/>
        </w:rPr>
      </w:pPr>
      <w:r>
        <w:t>开始日期</w:t>
      </w:r>
      <w:r>
        <w:rPr>
          <w:u w:val="single"/>
        </w:rPr>
        <w:t xml:space="preserve">              </w:t>
      </w:r>
      <w:r>
        <w:rPr>
          <w:rFonts w:hint="eastAsia"/>
          <w:u w:val="single"/>
          <w:lang w:val="en-US" w:eastAsia="zh-CN"/>
        </w:rPr>
        <w:t xml:space="preserve">           </w:t>
      </w:r>
      <w:r>
        <w:rPr>
          <w:u w:val="single"/>
        </w:rPr>
        <w:t xml:space="preserve">                 </w:t>
      </w:r>
    </w:p>
    <w:p w14:paraId="265F035B">
      <w:pPr>
        <w:spacing w:line="760" w:lineRule="exact"/>
        <w:ind w:left="1154"/>
      </w:pPr>
      <w:r>
        <w:t>结束日期</w:t>
      </w:r>
      <w:r>
        <w:rPr>
          <w:u w:val="single"/>
        </w:rPr>
        <w:t xml:space="preserve">              </w:t>
      </w:r>
      <w:r>
        <w:rPr>
          <w:rFonts w:hint="eastAsia"/>
          <w:u w:val="single"/>
          <w:lang w:val="en-US" w:eastAsia="zh-CN"/>
        </w:rPr>
        <w:t xml:space="preserve">           </w:t>
      </w:r>
      <w:r>
        <w:rPr>
          <w:u w:val="single"/>
        </w:rPr>
        <w:t xml:space="preserve">                 </w:t>
      </w:r>
    </w:p>
    <w:p w14:paraId="2DB0052A">
      <w:pPr>
        <w:spacing w:line="760" w:lineRule="exact"/>
        <w:ind w:left="1154"/>
      </w:pPr>
      <w:r>
        <w:t>承担单位</w:t>
      </w:r>
      <w:r>
        <w:rPr>
          <w:u w:val="single"/>
        </w:rPr>
        <w:t xml:space="preserve">         </w:t>
      </w:r>
      <w:r>
        <w:rPr>
          <w:rFonts w:hint="eastAsia"/>
          <w:u w:val="single"/>
          <w:lang w:val="en-US" w:eastAsia="zh-CN"/>
        </w:rPr>
        <w:t xml:space="preserve">                         </w:t>
      </w:r>
      <w:r>
        <w:rPr>
          <w:u w:val="single"/>
        </w:rPr>
        <w:t xml:space="preserve">  </w:t>
      </w:r>
      <w:r>
        <w:rPr>
          <w:sz w:val="24"/>
        </w:rPr>
        <w:t>（盖章）</w:t>
      </w:r>
    </w:p>
    <w:p w14:paraId="6100F3AE">
      <w:pPr>
        <w:tabs>
          <w:tab w:val="left" w:pos="533"/>
        </w:tabs>
        <w:spacing w:line="760" w:lineRule="exact"/>
        <w:ind w:left="1154"/>
      </w:pPr>
      <w:r>
        <w:t>通讯地址</w:t>
      </w:r>
      <w:r>
        <w:rPr>
          <w:u w:val="single"/>
        </w:rPr>
        <w:t xml:space="preserve">         </w:t>
      </w:r>
      <w:r>
        <w:rPr>
          <w:rFonts w:hint="eastAsia"/>
          <w:u w:val="single"/>
          <w:lang w:val="en-US" w:eastAsia="zh-CN"/>
        </w:rPr>
        <w:t xml:space="preserve">                          </w:t>
      </w:r>
      <w:r>
        <w:rPr>
          <w:rFonts w:hint="eastAsia"/>
          <w:u w:val="single"/>
        </w:rPr>
        <w:t xml:space="preserve"> </w:t>
      </w:r>
      <w:r>
        <w:rPr>
          <w:u w:val="single"/>
        </w:rPr>
        <w:t xml:space="preserve">      </w:t>
      </w:r>
    </w:p>
    <w:p w14:paraId="5E648794">
      <w:pPr>
        <w:spacing w:line="760" w:lineRule="exact"/>
        <w:ind w:left="1154"/>
      </w:pPr>
      <w:r>
        <w:t>联系电话</w:t>
      </w:r>
      <w:r>
        <w:rPr>
          <w:u w:val="single"/>
        </w:rPr>
        <w:t xml:space="preserve">    </w:t>
      </w:r>
      <w:r>
        <w:rPr>
          <w:rFonts w:hint="eastAsia"/>
          <w:u w:val="single"/>
          <w:lang w:val="en-US" w:eastAsia="zh-CN"/>
        </w:rPr>
        <w:t xml:space="preserve">         </w:t>
      </w:r>
      <w:r>
        <w:rPr>
          <w:u w:val="single"/>
        </w:rPr>
        <w:t xml:space="preserve">     </w:t>
      </w:r>
      <w:r>
        <w:t>邮政编码</w:t>
      </w:r>
      <w:r>
        <w:rPr>
          <w:u w:val="single"/>
        </w:rPr>
        <w:t xml:space="preserve">     </w:t>
      </w:r>
      <w:r>
        <w:rPr>
          <w:rFonts w:hint="eastAsia"/>
          <w:u w:val="single"/>
          <w:lang w:val="en-US" w:eastAsia="zh-CN"/>
        </w:rPr>
        <w:t xml:space="preserve">        </w:t>
      </w:r>
      <w:r>
        <w:rPr>
          <w:u w:val="single"/>
        </w:rPr>
        <w:t xml:space="preserve">    </w:t>
      </w:r>
    </w:p>
    <w:p w14:paraId="429BC9C3">
      <w:pPr>
        <w:spacing w:line="760" w:lineRule="exact"/>
        <w:ind w:left="1154"/>
        <w:rPr>
          <w:u w:val="single"/>
        </w:rPr>
      </w:pPr>
      <w:r>
        <w:t>项目负责人</w:t>
      </w:r>
      <w:r>
        <w:rPr>
          <w:u w:val="single"/>
        </w:rPr>
        <w:t xml:space="preserve">                </w:t>
      </w:r>
      <w:r>
        <w:rPr>
          <w:rFonts w:hint="eastAsia"/>
          <w:u w:val="single"/>
          <w:lang w:val="en-US" w:eastAsia="zh-CN"/>
        </w:rPr>
        <w:t xml:space="preserve">    </w:t>
      </w:r>
      <w:r>
        <w:rPr>
          <w:u w:val="single"/>
        </w:rPr>
        <w:t xml:space="preserve">                     </w:t>
      </w:r>
    </w:p>
    <w:p w14:paraId="4BFC44D7">
      <w:pPr>
        <w:spacing w:line="760" w:lineRule="exact"/>
        <w:ind w:left="1154"/>
      </w:pPr>
      <w:r>
        <w:t>手 机</w:t>
      </w:r>
      <w:r>
        <w:rPr>
          <w:rFonts w:hint="eastAsia"/>
        </w:rPr>
        <w:t xml:space="preserve"> </w:t>
      </w:r>
      <w:r>
        <w:rPr>
          <w:u w:val="single"/>
        </w:rPr>
        <w:t xml:space="preserve">   </w:t>
      </w:r>
      <w:r>
        <w:rPr>
          <w:rFonts w:hint="eastAsia"/>
          <w:u w:val="single"/>
          <w:lang w:val="en-US" w:eastAsia="zh-CN"/>
        </w:rPr>
        <w:t xml:space="preserve">      </w:t>
      </w:r>
      <w:r>
        <w:rPr>
          <w:u w:val="single"/>
        </w:rPr>
        <w:t xml:space="preserve">    </w:t>
      </w:r>
      <w:r>
        <w:t>电子邮件</w:t>
      </w:r>
      <w:r>
        <w:rPr>
          <w:u w:val="single"/>
        </w:rPr>
        <w:t xml:space="preserve">   </w:t>
      </w:r>
      <w:r>
        <w:rPr>
          <w:rFonts w:hint="eastAsia"/>
          <w:u w:val="single"/>
          <w:lang w:val="en-US" w:eastAsia="zh-CN"/>
        </w:rPr>
        <w:t xml:space="preserve">                  </w:t>
      </w:r>
      <w:r>
        <w:rPr>
          <w:u w:val="single"/>
        </w:rPr>
        <w:t xml:space="preserve">   </w:t>
      </w:r>
    </w:p>
    <w:p w14:paraId="554A8552">
      <w:pPr>
        <w:ind w:firstLine="1120" w:firstLineChars="400"/>
        <w:rPr>
          <w:rFonts w:eastAsia="宋体"/>
        </w:rPr>
      </w:pPr>
    </w:p>
    <w:p w14:paraId="5F9EA387">
      <w:pPr>
        <w:jc w:val="center"/>
        <w:rPr>
          <w:rFonts w:eastAsia="宋体"/>
        </w:rPr>
      </w:pPr>
    </w:p>
    <w:p w14:paraId="686D1271">
      <w:pPr>
        <w:jc w:val="center"/>
        <w:rPr>
          <w:rFonts w:eastAsia="宋体"/>
        </w:rPr>
      </w:pPr>
    </w:p>
    <w:p w14:paraId="6B04755D">
      <w:pPr>
        <w:jc w:val="center"/>
        <w:rPr>
          <w:rFonts w:eastAsia="宋体"/>
        </w:rPr>
      </w:pPr>
    </w:p>
    <w:p w14:paraId="0A6FFC18">
      <w:pPr>
        <w:jc w:val="center"/>
        <w:rPr>
          <w:rFonts w:eastAsia="文鼎大标宋简"/>
          <w:sz w:val="36"/>
        </w:rPr>
      </w:pPr>
      <w:r>
        <w:rPr>
          <w:rFonts w:ascii="等线" w:hAnsi="等线" w:eastAsia="楷体_GB2312" w:cs="Times New Roman"/>
          <w:kern w:val="32"/>
          <w:sz w:val="32"/>
          <w:szCs w:val="32"/>
        </w:rPr>
        <w:t>上海市科学技术委员会</w:t>
      </w:r>
      <w:r>
        <w:rPr>
          <w:rFonts w:hint="eastAsia" w:ascii="等线" w:hAnsi="等线" w:eastAsia="楷体_GB2312" w:cs="Times New Roman"/>
          <w:kern w:val="32"/>
          <w:sz w:val="32"/>
          <w:szCs w:val="32"/>
        </w:rPr>
        <w:t>制</w:t>
      </w:r>
    </w:p>
    <w:p w14:paraId="64049D43">
      <w:pPr>
        <w:rPr>
          <w:rFonts w:eastAsia="文鼎大标宋简"/>
          <w:sz w:val="36"/>
        </w:rPr>
      </w:pPr>
    </w:p>
    <w:p w14:paraId="7A78B33A">
      <w:pPr>
        <w:snapToGrid w:val="0"/>
        <w:spacing w:line="360" w:lineRule="auto"/>
        <w:rPr>
          <w:sz w:val="30"/>
          <w:szCs w:val="30"/>
        </w:rPr>
        <w:sectPr>
          <w:pgSz w:w="11906" w:h="16838"/>
          <w:pgMar w:top="1247" w:right="1191" w:bottom="936" w:left="1191" w:header="851" w:footer="992" w:gutter="0"/>
          <w:cols w:space="720" w:num="1"/>
          <w:docGrid w:type="lines" w:linePitch="381" w:charSpace="0"/>
        </w:sectPr>
      </w:pPr>
      <w:r>
        <w:rPr>
          <w:rFonts w:eastAsia="文鼎大标宋简"/>
          <w:sz w:val="36"/>
        </w:rPr>
        <w:br w:type="page"/>
      </w:r>
    </w:p>
    <w:p w14:paraId="1DC8AED1">
      <w:pPr>
        <w:keepNext w:val="0"/>
        <w:keepLines w:val="0"/>
        <w:pageBreakBefore w:val="0"/>
        <w:widowControl w:val="0"/>
        <w:numPr>
          <w:ilvl w:val="0"/>
          <w:numId w:val="0"/>
        </w:numPr>
        <w:kinsoku/>
        <w:wordWrap/>
        <w:overflowPunct/>
        <w:topLinePunct w:val="0"/>
        <w:autoSpaceDE w:val="0"/>
        <w:autoSpaceDN w:val="0"/>
        <w:bidi w:val="0"/>
        <w:adjustRightInd/>
        <w:snapToGrid/>
        <w:spacing w:beforeAutospacing="0" w:after="192" w:afterLines="50" w:afterAutospacing="0" w:line="560" w:lineRule="exact"/>
        <w:ind w:right="0" w:rightChars="0"/>
        <w:jc w:val="both"/>
        <w:textAlignment w:val="auto"/>
        <w:outlineLvl w:val="0"/>
        <w:rPr>
          <w:rFonts w:ascii="黑体" w:hAnsi="黑体" w:eastAsia="黑体" w:cs="Times New Roman"/>
          <w:kern w:val="2"/>
          <w:sz w:val="28"/>
          <w:szCs w:val="28"/>
          <w:lang w:val="en-US" w:eastAsia="zh-CN" w:bidi="ar-SA"/>
        </w:rPr>
      </w:pPr>
      <w:r>
        <w:rPr>
          <w:rFonts w:hint="eastAsia" w:ascii="黑体" w:hAnsi="黑体" w:eastAsia="黑体" w:cs="Times New Roman"/>
          <w:kern w:val="2"/>
          <w:sz w:val="28"/>
          <w:szCs w:val="28"/>
          <w:lang w:val="en-US" w:eastAsia="zh-CN" w:bidi="ar-SA"/>
        </w:rPr>
        <w:t>一、项目基本信息</w:t>
      </w:r>
    </w:p>
    <w:tbl>
      <w:tblPr>
        <w:tblStyle w:val="18"/>
        <w:tblW w:w="963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28" w:type="dxa"/>
          <w:bottom w:w="0" w:type="dxa"/>
          <w:right w:w="28" w:type="dxa"/>
        </w:tblCellMar>
      </w:tblPr>
      <w:tblGrid>
        <w:gridCol w:w="1591"/>
        <w:gridCol w:w="1926"/>
        <w:gridCol w:w="1513"/>
        <w:gridCol w:w="1309"/>
        <w:gridCol w:w="177"/>
        <w:gridCol w:w="668"/>
        <w:gridCol w:w="889"/>
        <w:gridCol w:w="464"/>
        <w:gridCol w:w="1101"/>
      </w:tblGrid>
      <w:tr w14:paraId="35DFA788">
        <w:trPr>
          <w:cantSplit/>
          <w:trHeight w:val="23" w:hRule="atLeast"/>
          <w:jc w:val="center"/>
        </w:trPr>
        <w:tc>
          <w:tcPr>
            <w:tcW w:w="3517" w:type="dxa"/>
            <w:gridSpan w:val="2"/>
            <w:vAlign w:val="center"/>
          </w:tcPr>
          <w:p w14:paraId="19EDF640">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项目名称</w:t>
            </w:r>
          </w:p>
        </w:tc>
        <w:tc>
          <w:tcPr>
            <w:tcW w:w="6121" w:type="dxa"/>
            <w:gridSpan w:val="7"/>
            <w:vAlign w:val="center"/>
          </w:tcPr>
          <w:p w14:paraId="54061A18">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2E1B0380">
        <w:trPr>
          <w:cantSplit/>
          <w:trHeight w:val="23" w:hRule="atLeast"/>
          <w:jc w:val="center"/>
        </w:trPr>
        <w:tc>
          <w:tcPr>
            <w:tcW w:w="3517" w:type="dxa"/>
            <w:gridSpan w:val="2"/>
            <w:vAlign w:val="center"/>
          </w:tcPr>
          <w:p w14:paraId="7A0D4644">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项目经费</w:t>
            </w:r>
          </w:p>
        </w:tc>
        <w:tc>
          <w:tcPr>
            <w:tcW w:w="2999" w:type="dxa"/>
            <w:gridSpan w:val="3"/>
            <w:vAlign w:val="center"/>
          </w:tcPr>
          <w:p w14:paraId="259C171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u w:val="single"/>
              </w:rPr>
            </w:pPr>
            <w:r>
              <w:rPr>
                <w:rFonts w:hint="eastAsia" w:ascii="仿宋" w:hAnsi="仿宋" w:eastAsia="仿宋" w:cs="Times New Roman"/>
                <w:color w:val="000000"/>
                <w:sz w:val="28"/>
                <w:szCs w:val="28"/>
              </w:rPr>
              <w:t>专项</w:t>
            </w:r>
            <w:r>
              <w:rPr>
                <w:rFonts w:hint="eastAsia" w:ascii="仿宋" w:hAnsi="仿宋" w:eastAsia="仿宋" w:cs="Times New Roman"/>
                <w:color w:val="000000"/>
                <w:sz w:val="28"/>
                <w:szCs w:val="28"/>
                <w:u w:val="single"/>
              </w:rPr>
              <w:t xml:space="preserve">        </w:t>
            </w:r>
            <w:r>
              <w:rPr>
                <w:rFonts w:hint="eastAsia" w:ascii="仿宋" w:hAnsi="仿宋" w:eastAsia="仿宋" w:cs="Times New Roman"/>
                <w:color w:val="000000"/>
                <w:sz w:val="28"/>
                <w:szCs w:val="28"/>
              </w:rPr>
              <w:t>万元</w:t>
            </w:r>
          </w:p>
        </w:tc>
        <w:tc>
          <w:tcPr>
            <w:tcW w:w="3122" w:type="dxa"/>
            <w:gridSpan w:val="4"/>
            <w:vAlign w:val="center"/>
          </w:tcPr>
          <w:p w14:paraId="12A385C8">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自筹</w:t>
            </w:r>
            <w:r>
              <w:rPr>
                <w:rFonts w:hint="eastAsia" w:ascii="仿宋" w:hAnsi="仿宋" w:eastAsia="仿宋" w:cs="Times New Roman"/>
                <w:color w:val="000000"/>
                <w:sz w:val="28"/>
                <w:szCs w:val="28"/>
                <w:u w:val="single"/>
              </w:rPr>
              <w:t xml:space="preserve">        </w:t>
            </w:r>
            <w:r>
              <w:rPr>
                <w:rFonts w:hint="eastAsia" w:ascii="仿宋" w:hAnsi="仿宋" w:eastAsia="仿宋" w:cs="Times New Roman"/>
                <w:color w:val="000000"/>
                <w:sz w:val="28"/>
                <w:szCs w:val="28"/>
              </w:rPr>
              <w:t>万元</w:t>
            </w:r>
          </w:p>
        </w:tc>
      </w:tr>
      <w:tr w14:paraId="17C95F02">
        <w:trPr>
          <w:cantSplit/>
          <w:trHeight w:val="23" w:hRule="atLeast"/>
          <w:jc w:val="center"/>
        </w:trPr>
        <w:tc>
          <w:tcPr>
            <w:tcW w:w="3517" w:type="dxa"/>
            <w:gridSpan w:val="2"/>
            <w:vAlign w:val="center"/>
          </w:tcPr>
          <w:p w14:paraId="144C229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执行期</w:t>
            </w:r>
          </w:p>
        </w:tc>
        <w:tc>
          <w:tcPr>
            <w:tcW w:w="6121" w:type="dxa"/>
            <w:gridSpan w:val="7"/>
            <w:vAlign w:val="center"/>
          </w:tcPr>
          <w:p w14:paraId="4666FFB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1FCE6B2E">
        <w:trPr>
          <w:cantSplit/>
          <w:trHeight w:val="23" w:hRule="atLeast"/>
          <w:jc w:val="center"/>
        </w:trPr>
        <w:tc>
          <w:tcPr>
            <w:tcW w:w="1591" w:type="dxa"/>
            <w:vMerge w:val="restart"/>
            <w:vAlign w:val="center"/>
          </w:tcPr>
          <w:p w14:paraId="1F3996AD">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项目承担</w:t>
            </w:r>
          </w:p>
          <w:p w14:paraId="375F53F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单位信息</w:t>
            </w:r>
          </w:p>
        </w:tc>
        <w:tc>
          <w:tcPr>
            <w:tcW w:w="1926" w:type="dxa"/>
            <w:vAlign w:val="center"/>
          </w:tcPr>
          <w:p w14:paraId="48A2D71A">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单位名称</w:t>
            </w:r>
          </w:p>
        </w:tc>
        <w:tc>
          <w:tcPr>
            <w:tcW w:w="2822" w:type="dxa"/>
            <w:gridSpan w:val="2"/>
            <w:vAlign w:val="center"/>
          </w:tcPr>
          <w:p w14:paraId="2477D8F0">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0B95B31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单位性质</w:t>
            </w:r>
          </w:p>
        </w:tc>
        <w:tc>
          <w:tcPr>
            <w:tcW w:w="1565" w:type="dxa"/>
            <w:gridSpan w:val="2"/>
            <w:vAlign w:val="center"/>
          </w:tcPr>
          <w:p w14:paraId="145051D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65A4A09B">
        <w:trPr>
          <w:cantSplit/>
          <w:trHeight w:val="23" w:hRule="atLeast"/>
          <w:jc w:val="center"/>
        </w:trPr>
        <w:tc>
          <w:tcPr>
            <w:tcW w:w="1591" w:type="dxa"/>
            <w:vMerge w:val="continue"/>
            <w:vAlign w:val="center"/>
          </w:tcPr>
          <w:p w14:paraId="47D0DDE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4F412B6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单位所在地</w:t>
            </w:r>
          </w:p>
        </w:tc>
        <w:tc>
          <w:tcPr>
            <w:tcW w:w="2822" w:type="dxa"/>
            <w:gridSpan w:val="2"/>
            <w:vAlign w:val="center"/>
          </w:tcPr>
          <w:p w14:paraId="76BB375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4CF2F540">
            <w:pPr>
              <w:keepNext w:val="0"/>
              <w:keepLines w:val="0"/>
              <w:pageBreakBefore w:val="0"/>
              <w:widowControl w:val="0"/>
              <w:kinsoku/>
              <w:wordWrap/>
              <w:overflowPunct/>
              <w:topLinePunct w:val="0"/>
              <w:autoSpaceDE w:val="0"/>
              <w:autoSpaceDN w:val="0"/>
              <w:bidi w:val="0"/>
              <w:adjustRightInd/>
              <w:snapToGrid/>
              <w:spacing w:beforeAutospacing="0" w:afterAutospacing="0" w:line="360" w:lineRule="exact"/>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组织机构</w:t>
            </w:r>
            <w:r>
              <w:rPr>
                <w:rFonts w:hint="eastAsia" w:ascii="仿宋" w:hAnsi="仿宋" w:eastAsia="仿宋" w:cs="Times New Roman"/>
                <w:color w:val="000000"/>
                <w:sz w:val="28"/>
                <w:szCs w:val="28"/>
              </w:rPr>
              <w:br w:type="textWrapping"/>
            </w:r>
            <w:r>
              <w:rPr>
                <w:rFonts w:hint="eastAsia" w:ascii="仿宋" w:hAnsi="仿宋" w:eastAsia="仿宋" w:cs="Times New Roman"/>
                <w:color w:val="000000"/>
                <w:sz w:val="28"/>
                <w:szCs w:val="28"/>
              </w:rPr>
              <w:t>代码</w:t>
            </w:r>
          </w:p>
        </w:tc>
        <w:tc>
          <w:tcPr>
            <w:tcW w:w="1565" w:type="dxa"/>
            <w:gridSpan w:val="2"/>
            <w:vAlign w:val="center"/>
          </w:tcPr>
          <w:p w14:paraId="3D179CC5">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3DDB9E99">
        <w:trPr>
          <w:cantSplit/>
          <w:trHeight w:val="23" w:hRule="atLeast"/>
          <w:jc w:val="center"/>
        </w:trPr>
        <w:tc>
          <w:tcPr>
            <w:tcW w:w="1591" w:type="dxa"/>
            <w:vMerge w:val="continue"/>
            <w:vAlign w:val="center"/>
          </w:tcPr>
          <w:p w14:paraId="73A82DF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3C1194B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开户银行</w:t>
            </w:r>
          </w:p>
        </w:tc>
        <w:tc>
          <w:tcPr>
            <w:tcW w:w="2822" w:type="dxa"/>
            <w:gridSpan w:val="2"/>
            <w:vAlign w:val="center"/>
          </w:tcPr>
          <w:p w14:paraId="63F8130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344A3DCB">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开户名</w:t>
            </w:r>
          </w:p>
        </w:tc>
        <w:tc>
          <w:tcPr>
            <w:tcW w:w="1565" w:type="dxa"/>
            <w:gridSpan w:val="2"/>
            <w:vAlign w:val="center"/>
          </w:tcPr>
          <w:p w14:paraId="6C392185">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501A531E">
        <w:trPr>
          <w:cantSplit/>
          <w:trHeight w:val="23" w:hRule="atLeast"/>
          <w:jc w:val="center"/>
        </w:trPr>
        <w:tc>
          <w:tcPr>
            <w:tcW w:w="1591" w:type="dxa"/>
            <w:vMerge w:val="continue"/>
            <w:vAlign w:val="center"/>
          </w:tcPr>
          <w:p w14:paraId="785002D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6312FFA4">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账</w:t>
            </w:r>
            <w:r>
              <w:rPr>
                <w:rFonts w:ascii="仿宋" w:hAnsi="仿宋" w:eastAsia="仿宋" w:cs="Times New Roman"/>
                <w:color w:val="000000"/>
                <w:sz w:val="28"/>
                <w:szCs w:val="28"/>
              </w:rPr>
              <w:t xml:space="preserve">  </w:t>
            </w:r>
            <w:r>
              <w:rPr>
                <w:rFonts w:hint="eastAsia" w:ascii="仿宋" w:hAnsi="仿宋" w:eastAsia="仿宋" w:cs="Times New Roman"/>
                <w:color w:val="000000"/>
                <w:sz w:val="28"/>
                <w:szCs w:val="28"/>
              </w:rPr>
              <w:t>号</w:t>
            </w:r>
          </w:p>
        </w:tc>
        <w:tc>
          <w:tcPr>
            <w:tcW w:w="6121" w:type="dxa"/>
            <w:gridSpan w:val="7"/>
            <w:vAlign w:val="center"/>
          </w:tcPr>
          <w:p w14:paraId="46CD482D">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68F06F7E">
        <w:trPr>
          <w:cantSplit/>
          <w:trHeight w:val="23" w:hRule="atLeast"/>
          <w:jc w:val="center"/>
        </w:trPr>
        <w:tc>
          <w:tcPr>
            <w:tcW w:w="1591" w:type="dxa"/>
            <w:vMerge w:val="continue"/>
            <w:vAlign w:val="center"/>
          </w:tcPr>
          <w:p w14:paraId="3F56CFF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685940D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法人代表</w:t>
            </w:r>
          </w:p>
        </w:tc>
        <w:tc>
          <w:tcPr>
            <w:tcW w:w="2822" w:type="dxa"/>
            <w:gridSpan w:val="2"/>
            <w:vAlign w:val="center"/>
          </w:tcPr>
          <w:p w14:paraId="00347E4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38644A6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证件类型</w:t>
            </w:r>
          </w:p>
        </w:tc>
        <w:tc>
          <w:tcPr>
            <w:tcW w:w="1565" w:type="dxa"/>
            <w:gridSpan w:val="2"/>
            <w:vAlign w:val="center"/>
          </w:tcPr>
          <w:p w14:paraId="21AA7A8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096CFBF3">
        <w:trPr>
          <w:cantSplit/>
          <w:trHeight w:val="23" w:hRule="atLeast"/>
          <w:jc w:val="center"/>
        </w:trPr>
        <w:tc>
          <w:tcPr>
            <w:tcW w:w="1591" w:type="dxa"/>
            <w:vMerge w:val="continue"/>
            <w:vAlign w:val="center"/>
          </w:tcPr>
          <w:p w14:paraId="28A67BF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0395487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证件号码</w:t>
            </w:r>
          </w:p>
        </w:tc>
        <w:tc>
          <w:tcPr>
            <w:tcW w:w="6121" w:type="dxa"/>
            <w:gridSpan w:val="7"/>
            <w:vAlign w:val="center"/>
          </w:tcPr>
          <w:p w14:paraId="6BD8A39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7D6697FF">
        <w:trPr>
          <w:cantSplit/>
          <w:trHeight w:val="23" w:hRule="atLeast"/>
          <w:jc w:val="center"/>
        </w:trPr>
        <w:tc>
          <w:tcPr>
            <w:tcW w:w="1591" w:type="dxa"/>
            <w:vMerge w:val="restart"/>
            <w:vAlign w:val="center"/>
          </w:tcPr>
          <w:p w14:paraId="45BF9C0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项目负责人</w:t>
            </w:r>
          </w:p>
        </w:tc>
        <w:tc>
          <w:tcPr>
            <w:tcW w:w="1926" w:type="dxa"/>
            <w:vAlign w:val="center"/>
          </w:tcPr>
          <w:p w14:paraId="23EE33DF">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姓名</w:t>
            </w:r>
          </w:p>
        </w:tc>
        <w:tc>
          <w:tcPr>
            <w:tcW w:w="1513" w:type="dxa"/>
            <w:vAlign w:val="center"/>
          </w:tcPr>
          <w:p w14:paraId="7FAD0EBF">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309" w:type="dxa"/>
            <w:vAlign w:val="center"/>
          </w:tcPr>
          <w:p w14:paraId="37D427F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性别</w:t>
            </w:r>
          </w:p>
        </w:tc>
        <w:tc>
          <w:tcPr>
            <w:tcW w:w="845" w:type="dxa"/>
            <w:gridSpan w:val="2"/>
            <w:vAlign w:val="center"/>
          </w:tcPr>
          <w:p w14:paraId="140E250F">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353" w:type="dxa"/>
            <w:gridSpan w:val="2"/>
            <w:vAlign w:val="center"/>
          </w:tcPr>
          <w:p w14:paraId="440C0B0B">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出生日期</w:t>
            </w:r>
          </w:p>
        </w:tc>
        <w:tc>
          <w:tcPr>
            <w:tcW w:w="1101" w:type="dxa"/>
            <w:vAlign w:val="center"/>
          </w:tcPr>
          <w:p w14:paraId="27CAE56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7508C55E">
        <w:trPr>
          <w:cantSplit/>
          <w:trHeight w:val="23" w:hRule="atLeast"/>
          <w:jc w:val="center"/>
        </w:trPr>
        <w:tc>
          <w:tcPr>
            <w:tcW w:w="1591" w:type="dxa"/>
            <w:vMerge w:val="continue"/>
            <w:vAlign w:val="center"/>
          </w:tcPr>
          <w:p w14:paraId="03AF557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0D6ED8BA">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证件类型</w:t>
            </w:r>
          </w:p>
        </w:tc>
        <w:tc>
          <w:tcPr>
            <w:tcW w:w="1513" w:type="dxa"/>
            <w:vAlign w:val="center"/>
          </w:tcPr>
          <w:p w14:paraId="2478A31B">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309" w:type="dxa"/>
            <w:vAlign w:val="center"/>
          </w:tcPr>
          <w:p w14:paraId="7B222EF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证件号码</w:t>
            </w:r>
          </w:p>
        </w:tc>
        <w:tc>
          <w:tcPr>
            <w:tcW w:w="3299" w:type="dxa"/>
            <w:gridSpan w:val="5"/>
            <w:vAlign w:val="center"/>
          </w:tcPr>
          <w:p w14:paraId="26FA039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57C7A3FD">
        <w:trPr>
          <w:cantSplit/>
          <w:trHeight w:val="23" w:hRule="atLeast"/>
          <w:jc w:val="center"/>
        </w:trPr>
        <w:tc>
          <w:tcPr>
            <w:tcW w:w="1591" w:type="dxa"/>
            <w:vMerge w:val="continue"/>
            <w:vAlign w:val="center"/>
          </w:tcPr>
          <w:p w14:paraId="0868743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769BE79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职称</w:t>
            </w:r>
          </w:p>
        </w:tc>
        <w:tc>
          <w:tcPr>
            <w:tcW w:w="2822" w:type="dxa"/>
            <w:gridSpan w:val="2"/>
            <w:vAlign w:val="center"/>
          </w:tcPr>
          <w:p w14:paraId="4D4C042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3B1B96A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职务</w:t>
            </w:r>
          </w:p>
        </w:tc>
        <w:tc>
          <w:tcPr>
            <w:tcW w:w="1565" w:type="dxa"/>
            <w:gridSpan w:val="2"/>
            <w:vAlign w:val="center"/>
          </w:tcPr>
          <w:p w14:paraId="3E59313D">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5614E1A6">
        <w:trPr>
          <w:cantSplit/>
          <w:trHeight w:val="23" w:hRule="atLeast"/>
          <w:jc w:val="center"/>
        </w:trPr>
        <w:tc>
          <w:tcPr>
            <w:tcW w:w="1591" w:type="dxa"/>
            <w:vMerge w:val="continue"/>
            <w:vAlign w:val="center"/>
          </w:tcPr>
          <w:p w14:paraId="0FD73135">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5286ACE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电子邮箱</w:t>
            </w:r>
          </w:p>
        </w:tc>
        <w:tc>
          <w:tcPr>
            <w:tcW w:w="2822" w:type="dxa"/>
            <w:gridSpan w:val="2"/>
            <w:vAlign w:val="center"/>
          </w:tcPr>
          <w:p w14:paraId="77DD6B8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577" w:firstLineChars="202"/>
              <w:jc w:val="center"/>
              <w:textAlignment w:val="auto"/>
              <w:rPr>
                <w:rFonts w:ascii="仿宋" w:hAnsi="仿宋" w:eastAsia="仿宋" w:cs="Times New Roman"/>
                <w:color w:val="000000"/>
                <w:sz w:val="28"/>
                <w:szCs w:val="28"/>
              </w:rPr>
            </w:pPr>
          </w:p>
        </w:tc>
        <w:tc>
          <w:tcPr>
            <w:tcW w:w="1734" w:type="dxa"/>
            <w:gridSpan w:val="3"/>
            <w:vAlign w:val="center"/>
          </w:tcPr>
          <w:p w14:paraId="6ED9A08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移动电话</w:t>
            </w:r>
          </w:p>
        </w:tc>
        <w:tc>
          <w:tcPr>
            <w:tcW w:w="1565" w:type="dxa"/>
            <w:gridSpan w:val="2"/>
            <w:vAlign w:val="center"/>
          </w:tcPr>
          <w:p w14:paraId="7117DDB5">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6B004545">
        <w:trPr>
          <w:cantSplit/>
          <w:trHeight w:val="23" w:hRule="atLeast"/>
          <w:jc w:val="center"/>
        </w:trPr>
        <w:tc>
          <w:tcPr>
            <w:tcW w:w="1591" w:type="dxa"/>
            <w:vMerge w:val="restart"/>
            <w:vAlign w:val="center"/>
          </w:tcPr>
          <w:p w14:paraId="1BA91A6D">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项目联系人</w:t>
            </w:r>
          </w:p>
        </w:tc>
        <w:tc>
          <w:tcPr>
            <w:tcW w:w="1926" w:type="dxa"/>
            <w:vAlign w:val="center"/>
          </w:tcPr>
          <w:p w14:paraId="48B5937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姓名</w:t>
            </w:r>
          </w:p>
        </w:tc>
        <w:tc>
          <w:tcPr>
            <w:tcW w:w="2822" w:type="dxa"/>
            <w:gridSpan w:val="2"/>
            <w:vAlign w:val="center"/>
          </w:tcPr>
          <w:p w14:paraId="2B41081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2E0F88D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性别</w:t>
            </w:r>
          </w:p>
        </w:tc>
        <w:tc>
          <w:tcPr>
            <w:tcW w:w="1565" w:type="dxa"/>
            <w:gridSpan w:val="2"/>
            <w:vAlign w:val="center"/>
          </w:tcPr>
          <w:p w14:paraId="54F9015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3DC09349">
        <w:trPr>
          <w:cantSplit/>
          <w:trHeight w:val="90" w:hRule="atLeast"/>
          <w:jc w:val="center"/>
        </w:trPr>
        <w:tc>
          <w:tcPr>
            <w:tcW w:w="1591" w:type="dxa"/>
            <w:vMerge w:val="continue"/>
            <w:vAlign w:val="center"/>
          </w:tcPr>
          <w:p w14:paraId="3345E45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3C184AD0">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电子邮箱</w:t>
            </w:r>
          </w:p>
        </w:tc>
        <w:tc>
          <w:tcPr>
            <w:tcW w:w="2822" w:type="dxa"/>
            <w:gridSpan w:val="2"/>
            <w:vAlign w:val="center"/>
          </w:tcPr>
          <w:p w14:paraId="79329B5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4A82050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移动电话</w:t>
            </w:r>
          </w:p>
        </w:tc>
        <w:tc>
          <w:tcPr>
            <w:tcW w:w="1565" w:type="dxa"/>
            <w:gridSpan w:val="2"/>
            <w:vAlign w:val="center"/>
          </w:tcPr>
          <w:p w14:paraId="6E7683D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3B64631E">
        <w:trPr>
          <w:cantSplit/>
          <w:trHeight w:val="3449" w:hRule="atLeast"/>
          <w:jc w:val="center"/>
        </w:trPr>
        <w:tc>
          <w:tcPr>
            <w:tcW w:w="1591" w:type="dxa"/>
            <w:vAlign w:val="center"/>
          </w:tcPr>
          <w:p w14:paraId="3D35E53A">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default" w:ascii="仿宋" w:hAnsi="仿宋" w:eastAsia="仿宋" w:cs="Times New Roman"/>
                <w:color w:val="000000"/>
                <w:sz w:val="28"/>
                <w:szCs w:val="28"/>
                <w:lang w:val="en-US" w:eastAsia="zh-CN"/>
              </w:rPr>
            </w:pPr>
            <w:r>
              <w:rPr>
                <w:rFonts w:hint="eastAsia" w:ascii="仿宋" w:hAnsi="仿宋" w:eastAsia="仿宋" w:cs="Times New Roman"/>
                <w:color w:val="000000"/>
                <w:sz w:val="28"/>
                <w:szCs w:val="28"/>
                <w:lang w:val="en-US" w:eastAsia="zh-CN"/>
              </w:rPr>
              <w:t>项目摘要</w:t>
            </w:r>
          </w:p>
        </w:tc>
        <w:tc>
          <w:tcPr>
            <w:tcW w:w="8047" w:type="dxa"/>
            <w:gridSpan w:val="8"/>
            <w:vAlign w:val="top"/>
          </w:tcPr>
          <w:p w14:paraId="2E41BF98">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both"/>
              <w:textAlignment w:val="auto"/>
              <w:rPr>
                <w:rFonts w:ascii="仿宋" w:hAnsi="仿宋" w:eastAsia="仿宋" w:cs="Times New Roman"/>
                <w:color w:val="000000"/>
                <w:sz w:val="28"/>
                <w:szCs w:val="28"/>
              </w:rPr>
            </w:pPr>
            <w:r>
              <w:rPr>
                <w:rFonts w:hint="eastAsia" w:cs="Times New Roman"/>
                <w:color w:val="0000FF"/>
                <w:sz w:val="28"/>
                <w:szCs w:val="28"/>
              </w:rPr>
              <w:t>简要概述项目的总体目标、研究内容、技术方法、预期性能、预期成果及其技术转化方向和途径等。（500字以内）</w:t>
            </w:r>
          </w:p>
        </w:tc>
      </w:tr>
    </w:tbl>
    <w:p w14:paraId="0B0197D1">
      <w:pPr>
        <w:wordWrap/>
        <w:autoSpaceDE w:val="0"/>
        <w:autoSpaceDN w:val="0"/>
        <w:spacing w:line="600" w:lineRule="exact"/>
        <w:ind w:firstLine="0" w:firstLineChars="0"/>
        <w:rPr>
          <w:rFonts w:eastAsia="黑体"/>
          <w:sz w:val="32"/>
          <w:szCs w:val="32"/>
        </w:rPr>
      </w:pPr>
      <w:r>
        <w:rPr>
          <w:rFonts w:cs="Times New Roman"/>
          <w:sz w:val="28"/>
          <w:szCs w:val="28"/>
        </w:rPr>
        <w:br w:type="page"/>
      </w:r>
    </w:p>
    <w:p w14:paraId="1249F588">
      <w:pPr>
        <w:snapToGrid w:val="0"/>
        <w:spacing w:line="360" w:lineRule="auto"/>
        <w:outlineLvl w:val="0"/>
        <w:rPr>
          <w:rFonts w:eastAsia="黑体"/>
          <w:sz w:val="32"/>
          <w:szCs w:val="32"/>
        </w:rPr>
      </w:pPr>
      <w:bookmarkStart w:id="2" w:name="_Toc172321774"/>
      <w:bookmarkStart w:id="3" w:name="_Toc172321778"/>
      <w:bookmarkStart w:id="4" w:name="_Hlk65778781"/>
      <w:r>
        <w:rPr>
          <w:rFonts w:hint="eastAsia" w:eastAsia="黑体"/>
          <w:sz w:val="32"/>
          <w:szCs w:val="32"/>
          <w:lang w:val="en-US" w:eastAsia="zh-CN"/>
        </w:rPr>
        <w:t>二</w:t>
      </w:r>
      <w:r>
        <w:rPr>
          <w:rFonts w:eastAsia="黑体"/>
          <w:sz w:val="32"/>
          <w:szCs w:val="32"/>
        </w:rPr>
        <w:t>、立项依据</w:t>
      </w:r>
      <w:bookmarkEnd w:id="2"/>
    </w:p>
    <w:p w14:paraId="1E683841">
      <w:pPr>
        <w:snapToGrid w:val="0"/>
        <w:spacing w:line="360" w:lineRule="auto"/>
        <w:ind w:firstLine="572" w:firstLineChars="200"/>
        <w:outlineLvl w:val="1"/>
        <w:rPr>
          <w:rFonts w:eastAsia="楷体_GB2312"/>
        </w:rPr>
      </w:pPr>
      <w:bookmarkStart w:id="5" w:name="_Toc172321775"/>
      <w:r>
        <w:rPr>
          <w:rFonts w:eastAsia="楷体_GB2312"/>
        </w:rPr>
        <w:t>（一）国家战略需求分析</w:t>
      </w:r>
      <w:bookmarkEnd w:id="5"/>
    </w:p>
    <w:p w14:paraId="4AA0390E">
      <w:pPr>
        <w:pStyle w:val="2"/>
        <w:ind w:left="840" w:leftChars="0" w:firstLine="420" w:firstLineChars="0"/>
        <w:rPr>
          <w:rFonts w:hint="eastAsia"/>
          <w:lang w:val="en-US" w:eastAsia="zh-CN"/>
        </w:rPr>
      </w:pPr>
      <w:r>
        <w:rPr>
          <w:rFonts w:hint="eastAsia"/>
          <w:lang w:val="en-US" w:eastAsia="zh-CN"/>
        </w:rPr>
        <w:t>“十四五”《数字经济发展规划》明确将6G纳入前瞻布局，要求构建“高速泛在、智能敏捷、绿色低碳”的新型信息基础设施——这不仅刷新了网络性能指标，更将“绿色”与“智能”并列为同等重要的硬性约束。沿着这一主线，工业和信息化部设定了明确的时间节点：2025年启动6G标准化工作，2030年前后实现试商用。要在短短五年内从概念探讨迈向标准确立，亟需验证“高速率×低时延×高能效”技术组合的端到端原型系统。</w:t>
      </w:r>
    </w:p>
    <w:p w14:paraId="05EA5452">
      <w:pPr>
        <w:pStyle w:val="2"/>
        <w:ind w:left="840" w:leftChars="0" w:firstLine="420" w:firstLineChars="0"/>
        <w:rPr>
          <w:rFonts w:hint="eastAsia"/>
          <w:lang w:val="en-US" w:eastAsia="zh-CN"/>
        </w:rPr>
      </w:pPr>
      <w:r>
        <w:rPr>
          <w:rFonts w:hint="eastAsia"/>
          <w:lang w:val="en-US" w:eastAsia="zh-CN"/>
        </w:rPr>
        <w:t>“双碳”目标进一步将“能耗”从软约束提升为硬指标。《信息通信行业绿色低碳发展行动计划（2022-2025）》要求单位信息流量能耗下降20%；“东数西算”工程提出“算力-比特-能量”协同调度，倒逼终端具备本地化智能推理与能耗管理能力，否则云端算力再强也难以有效落地。在AI-Native网络已成业界共识的背景下，国家科技管理部门正积极推动“算法-系统-芯片”一体化攻关，特别强调自主芯片与终端侧AI推理的安全可控。</w:t>
      </w:r>
    </w:p>
    <w:p w14:paraId="255C427B">
      <w:pPr>
        <w:pStyle w:val="2"/>
        <w:ind w:left="840" w:leftChars="0" w:firstLine="420" w:firstLineChars="0"/>
        <w:rPr>
          <w:rFonts w:hint="eastAsia"/>
          <w:lang w:val="en-US" w:eastAsia="zh-CN"/>
        </w:rPr>
      </w:pPr>
      <w:r>
        <w:rPr>
          <w:rFonts w:hint="eastAsia"/>
          <w:lang w:val="en-US" w:eastAsia="zh-CN"/>
        </w:rPr>
        <w:t>因此，从顶层规划到部委行动，再到绿色低碳与算力布局的配套政策，国家层面对6G的期望可概括为三点：一是更快更稳定的无线空口，二是端到端的极致能效，三是可在终端本地落地的AI原生能力。我们的课题“面向6G新终端的空口AI关键技术及芯片原型验证”恰好将这三点集中于同一“落地点”——通过轻量化空口AI、高能效NPU芯片及原型终端验证，实证国家战略提出的目标，并为即将到来的6G标准窗口提供可量化、可复制的工程支撑。</w:t>
      </w:r>
    </w:p>
    <w:p w14:paraId="2B3F0967">
      <w:pPr>
        <w:numPr>
          <w:ilvl w:val="0"/>
          <w:numId w:val="1"/>
        </w:numPr>
        <w:snapToGrid w:val="0"/>
        <w:spacing w:line="360" w:lineRule="auto"/>
        <w:ind w:firstLine="572" w:firstLineChars="200"/>
        <w:outlineLvl w:val="1"/>
        <w:rPr>
          <w:lang w:val="zh-CN"/>
        </w:rPr>
      </w:pPr>
      <w:bookmarkStart w:id="6" w:name="_Toc172321777"/>
      <w:r>
        <w:rPr>
          <w:rFonts w:eastAsia="楷体_GB2312"/>
        </w:rPr>
        <w:t>国内外研究概况和发展趋势</w:t>
      </w:r>
      <w:bookmarkEnd w:id="6"/>
    </w:p>
    <w:p w14:paraId="6B72499E">
      <w:pPr>
        <w:pStyle w:val="2"/>
        <w:numPr>
          <w:ilvl w:val="0"/>
          <w:numId w:val="2"/>
        </w:numPr>
        <w:ind w:left="840" w:leftChars="0" w:firstLine="420" w:firstLineChars="0"/>
        <w:rPr>
          <w:rFonts w:hint="default"/>
          <w:lang w:val="en-US" w:eastAsia="zh-CN"/>
        </w:rPr>
      </w:pPr>
      <w:r>
        <w:rPr>
          <w:rFonts w:hint="eastAsia"/>
          <w:lang w:val="en-US" w:eastAsia="zh-CN"/>
        </w:rPr>
        <w:t>国内研究现状</w:t>
      </w:r>
    </w:p>
    <w:p w14:paraId="1B9F4F7D">
      <w:pPr>
        <w:pStyle w:val="2"/>
        <w:ind w:left="840" w:leftChars="0" w:firstLine="420" w:firstLineChars="0"/>
        <w:rPr>
          <w:rFonts w:hint="eastAsia"/>
          <w:lang w:val="en-US" w:eastAsia="zh-CN"/>
        </w:rPr>
      </w:pPr>
      <w:r>
        <w:rPr>
          <w:rFonts w:hint="eastAsia"/>
          <w:lang w:val="en-US" w:eastAsia="zh-CN"/>
        </w:rPr>
        <w:t>自2019年工信部牵头成立IMT-2030（6G）推进组以来，我国6G研发已由愿景描绘阶段步入系统化攻关阶段。推进组在《6G总体愿景与潜在关键技术》《6G无线系统设计白皮书》等系列文件中，首次将“空口AI”和“AI-Native网络”纳入协议栈，要求在PHY/MAC层植入机器学习模型，实现端-网协同智能化，为终端侧AI推理奠定了政策基础。</w:t>
      </w:r>
    </w:p>
    <w:p w14:paraId="086819C2">
      <w:pPr>
        <w:pStyle w:val="2"/>
        <w:ind w:left="840" w:leftChars="0" w:firstLine="420" w:firstLineChars="0"/>
        <w:rPr>
          <w:rFonts w:hint="eastAsia"/>
          <w:lang w:val="en-US" w:eastAsia="zh-CN"/>
        </w:rPr>
      </w:pPr>
      <w:r>
        <w:rPr>
          <w:rFonts w:hint="eastAsia"/>
          <w:lang w:val="en-US" w:eastAsia="zh-CN"/>
        </w:rPr>
        <w:t>三大运营商和设备商迅速响应，展开原型验证：中国移动提出“通感算一体”架构，侧重终端-边缘协同推理；中国电信在外场样机中测试AI辅助信道感知与资源调度；华为、中兴启动AI-Native物理层样机，围绕模型融合和功耗优化进行迭代实验。这些进展表明，国内产业界已将“终端就地推理”视为提升6G空口性能的实际抓手。</w:t>
      </w:r>
    </w:p>
    <w:p w14:paraId="5EA2AADB">
      <w:pPr>
        <w:pStyle w:val="2"/>
        <w:ind w:left="840" w:leftChars="0" w:firstLine="420" w:firstLineChars="0"/>
        <w:rPr>
          <w:rFonts w:hint="eastAsia"/>
          <w:lang w:val="en-US" w:eastAsia="zh-CN"/>
        </w:rPr>
      </w:pPr>
      <w:r>
        <w:rPr>
          <w:rFonts w:hint="eastAsia"/>
          <w:lang w:val="en-US" w:eastAsia="zh-CN"/>
        </w:rPr>
        <w:t>高校和科研机构则提供了强大的算法支持。以上海交通大学、清华大学、紫金山实验室为代表的团队，先后在Transformer非线性均衡、动态波束赋形、多跳链路AI调度等方向取得突破，并发表顶级会议论文，填补了多项空口智能算法空白。其中，交大提出的Transformer驱动均衡器已在实采毫米波数据上验证可恢复失真信号，为后续芯片固化提供了明确模型。</w:t>
      </w:r>
    </w:p>
    <w:p w14:paraId="2EB9CC0C">
      <w:pPr>
        <w:pStyle w:val="2"/>
        <w:ind w:left="840" w:leftChars="0" w:firstLine="420" w:firstLineChars="0"/>
        <w:rPr>
          <w:rFonts w:hint="eastAsia"/>
          <w:lang w:val="en-US" w:eastAsia="zh-CN"/>
        </w:rPr>
      </w:pPr>
      <w:r>
        <w:rPr>
          <w:rFonts w:hint="eastAsia"/>
          <w:lang w:val="en-US" w:eastAsia="zh-CN"/>
        </w:rPr>
        <w:t>在硬件层面，国内正形成“算法-系统-芯片”一体化发展趋势。寒武纪、地平线等企业聚焦通信类NPU架构，部分方案在仿真验证中已达到μJ/bit的能效级别；本项目团队提出的数据流NPU架构更进一步，将空口AI压缩模型直接映射到专用算子，兼顾通用性与10倍级功耗优势。</w:t>
      </w:r>
    </w:p>
    <w:p w14:paraId="5D4F6202">
      <w:pPr>
        <w:pStyle w:val="2"/>
        <w:ind w:left="840" w:leftChars="0" w:firstLine="420" w:firstLineChars="0"/>
        <w:rPr>
          <w:rFonts w:hint="eastAsia"/>
          <w:lang w:val="en-US" w:eastAsia="zh-CN"/>
        </w:rPr>
      </w:pPr>
      <w:r>
        <w:rPr>
          <w:rFonts w:hint="eastAsia"/>
          <w:lang w:val="en-US" w:eastAsia="zh-CN"/>
        </w:rPr>
        <w:t>为加速从论文到样机的转化，IMT-2030第三轮6G原型系统验证工程自2024年启动，新增“空口AI”“AI-Native RAN”等试验模块，全国多处外场已开展终端感知、信道自适应、联邦学习测试，为标准化提供实践数据。终端侧智能能力的验证被正式纳入国家级测评体系，标志着“芯片原型+外场评测”成为国内研究新常态。</w:t>
      </w:r>
    </w:p>
    <w:p w14:paraId="249398C6">
      <w:pPr>
        <w:pStyle w:val="2"/>
        <w:ind w:left="840" w:leftChars="0" w:firstLine="420" w:firstLineChars="0"/>
        <w:rPr>
          <w:rFonts w:hint="eastAsia"/>
          <w:lang w:val="en-US" w:eastAsia="zh-CN"/>
        </w:rPr>
      </w:pPr>
      <w:r>
        <w:rPr>
          <w:rFonts w:hint="eastAsia"/>
          <w:lang w:val="en-US" w:eastAsia="zh-CN"/>
        </w:rPr>
        <w:t>总体来看，我国已形成“顶层规划引导→运营商样机验证→学术算法突破→芯片硬件并行”的全链条格局，但在“终端级部署+ASIC原型+标准接口”环节仍存在关键空缺。本项目聚焦“空口AI×高能效NPU×原型终端”，正切入这一空白区，有望将国内算法与硬件优势汇聚成可测、可量产的6G终端解决方案。</w:t>
      </w:r>
    </w:p>
    <w:p w14:paraId="3EE28E23">
      <w:pPr>
        <w:pStyle w:val="2"/>
        <w:numPr>
          <w:ilvl w:val="0"/>
          <w:numId w:val="2"/>
        </w:numPr>
        <w:ind w:left="840" w:leftChars="0" w:firstLine="420" w:firstLineChars="0"/>
        <w:rPr>
          <w:rFonts w:hint="default"/>
          <w:lang w:val="en-US" w:eastAsia="zh-CN"/>
        </w:rPr>
      </w:pPr>
      <w:r>
        <w:rPr>
          <w:rFonts w:hint="eastAsia"/>
          <w:lang w:val="en-US" w:eastAsia="zh-CN"/>
        </w:rPr>
        <w:t>国外研究现状</w:t>
      </w:r>
    </w:p>
    <w:p w14:paraId="1E253854">
      <w:pPr>
        <w:pStyle w:val="2"/>
        <w:ind w:left="840" w:leftChars="0" w:firstLine="420" w:firstLineChars="0"/>
        <w:rPr>
          <w:rFonts w:hint="eastAsia"/>
          <w:lang w:val="en-US" w:eastAsia="zh-CN"/>
        </w:rPr>
      </w:pPr>
      <w:r>
        <w:rPr>
          <w:rFonts w:hint="eastAsia"/>
          <w:lang w:val="en-US" w:eastAsia="zh-CN"/>
        </w:rPr>
        <w:t>过去两年，全球6G研发的重心正迅速从“概念描绘”转向“协议预研与原型验证”。在这一轮竞速中，空口AI与终端侧部署被普遍视为决定性因素，已在标准、项目、学术三条主线中达成高度共识。</w:t>
      </w:r>
    </w:p>
    <w:p w14:paraId="3CD62516">
      <w:pPr>
        <w:pStyle w:val="2"/>
        <w:ind w:left="840" w:leftChars="0" w:firstLine="420" w:firstLineChars="0"/>
        <w:rPr>
          <w:rFonts w:hint="eastAsia"/>
          <w:lang w:val="en-US" w:eastAsia="zh-CN"/>
        </w:rPr>
      </w:pPr>
      <w:r>
        <w:rPr>
          <w:rFonts w:hint="eastAsia"/>
          <w:lang w:val="en-US" w:eastAsia="zh-CN"/>
        </w:rPr>
        <w:t>1. 标准组织定锚：AI×能效正式纳入硬指标</w:t>
      </w:r>
    </w:p>
    <w:p w14:paraId="5A3F8631">
      <w:pPr>
        <w:pStyle w:val="2"/>
        <w:ind w:left="840" w:leftChars="0" w:firstLine="420" w:firstLineChars="0"/>
        <w:rPr>
          <w:rFonts w:hint="eastAsia"/>
          <w:lang w:val="en-US" w:eastAsia="zh-CN"/>
        </w:rPr>
      </w:pPr>
      <w:r>
        <w:rPr>
          <w:rFonts w:hint="eastAsia"/>
          <w:lang w:val="en-US" w:eastAsia="zh-CN"/>
        </w:rPr>
        <w:t>2023年11月，国际电联通过《IMT-2030框架》（Recommendation M.2160），将“能效”与“AI赋能”并列为八大关键能力指标，明确要求6G系统引入“端到端智能机制”，涵盖空口处理、资源调度、干扰预测等环节。随后，3GPP在Release 20中立项“AI-Native RAN”研究项目，RAN1/RAN2工作组围绕AI驱动的信道建模、调度预测与波束形成展开多轮基准测试，并计划于2025年向ITU提交候选技术文档。这标志着“轻量模型+终端本地推理”已从研究提案升级为标准路线图的“必选项”。</w:t>
      </w:r>
    </w:p>
    <w:p w14:paraId="7C6C8894">
      <w:pPr>
        <w:pStyle w:val="2"/>
        <w:ind w:left="840" w:leftChars="0" w:firstLine="420" w:firstLineChars="0"/>
        <w:rPr>
          <w:rFonts w:hint="default"/>
          <w:lang w:val="en-US" w:eastAsia="zh-CN"/>
        </w:rPr>
      </w:pPr>
      <w:r>
        <w:rPr>
          <w:rFonts w:hint="default"/>
          <w:lang w:val="en-US" w:eastAsia="zh-CN"/>
        </w:rPr>
        <w:t>2. 旗舰计划领跑：欧盟与北美押注终端侧AI</w:t>
      </w:r>
    </w:p>
    <w:p w14:paraId="73174EC9">
      <w:pPr>
        <w:pStyle w:val="2"/>
        <w:ind w:left="840" w:leftChars="0" w:firstLine="420" w:firstLineChars="0"/>
        <w:rPr>
          <w:rFonts w:hint="eastAsia"/>
          <w:lang w:val="en-US" w:eastAsia="zh-CN"/>
        </w:rPr>
      </w:pPr>
      <w:r>
        <w:rPr>
          <w:rFonts w:hint="eastAsia"/>
          <w:lang w:val="en-US" w:eastAsia="zh-CN"/>
        </w:rPr>
        <w:t>欧盟Hexa-X II在2025年发布的D1.4报告中，提出将机器学习模型内嵌至PHY/MAC关键模块，并通过边缘与终端协同推理将系统级能效提升10倍；其验证平台以分布式NPU架构+轻量神经网络为核心，重点测试了μJ/bit级能效目标。</w:t>
      </w:r>
    </w:p>
    <w:p w14:paraId="77242890">
      <w:pPr>
        <w:pStyle w:val="2"/>
        <w:ind w:left="840" w:leftChars="0" w:firstLine="420" w:firstLineChars="0"/>
        <w:rPr>
          <w:rFonts w:hint="eastAsia"/>
          <w:lang w:val="en-US" w:eastAsia="zh-CN"/>
        </w:rPr>
      </w:pPr>
      <w:r>
        <w:rPr>
          <w:rFonts w:hint="eastAsia"/>
          <w:lang w:val="en-US" w:eastAsia="zh-CN"/>
        </w:rPr>
        <w:t>北美Next G Alliance则将“Green G”列为独立路线图，要求未来6G终端集成AI SoC，实现低能耗和高速响应，并100%兼容可再生能源供电模式。两大阵营的共同特点是：不再将AI局限于云或基站，而是下沉至终端芯片。</w:t>
      </w:r>
    </w:p>
    <w:p w14:paraId="4AC46F4A">
      <w:pPr>
        <w:pStyle w:val="2"/>
        <w:ind w:left="840" w:leftChars="0" w:firstLine="420" w:firstLineChars="0"/>
        <w:rPr>
          <w:rFonts w:hint="default"/>
          <w:lang w:val="en-US" w:eastAsia="zh-CN"/>
        </w:rPr>
      </w:pPr>
      <w:r>
        <w:rPr>
          <w:rFonts w:hint="default"/>
          <w:lang w:val="en-US" w:eastAsia="zh-CN"/>
        </w:rPr>
        <w:t>3. 学术界破题：算法创新推高终端算力</w:t>
      </w:r>
      <w:r>
        <w:rPr>
          <w:rFonts w:hint="eastAsia"/>
          <w:lang w:val="en-US" w:eastAsia="zh-CN"/>
        </w:rPr>
        <w:t>需求</w:t>
      </w:r>
    </w:p>
    <w:p w14:paraId="4E644945">
      <w:pPr>
        <w:pStyle w:val="2"/>
        <w:ind w:left="840" w:leftChars="0" w:firstLine="420" w:firstLineChars="0"/>
        <w:rPr>
          <w:rFonts w:hint="default"/>
          <w:lang w:val="en-US" w:eastAsia="zh-CN"/>
        </w:rPr>
      </w:pPr>
      <w:r>
        <w:rPr>
          <w:rFonts w:hint="default"/>
          <w:lang w:val="en-US" w:eastAsia="zh-CN"/>
        </w:rPr>
        <w:t>高校与研究机构的进展为标准和产业提供了算法“弹药”：斯坦福提出基于深度强化学习的自适应功控，伯克利</w:t>
      </w:r>
      <w:r>
        <w:rPr>
          <w:rFonts w:hint="eastAsia"/>
          <w:lang w:val="en-US" w:eastAsia="zh-CN"/>
        </w:rPr>
        <w:t>通过低</w:t>
      </w:r>
      <w:r>
        <w:rPr>
          <w:rFonts w:hint="default"/>
          <w:lang w:val="en-US" w:eastAsia="zh-CN"/>
        </w:rPr>
        <w:t>比特量化改进信道估计，德国亚琛工业大学开发Transformer信道预测器——这些方案</w:t>
      </w:r>
      <w:r>
        <w:rPr>
          <w:rFonts w:hint="eastAsia"/>
          <w:lang w:val="en-US" w:eastAsia="zh-CN"/>
        </w:rPr>
        <w:t>均</w:t>
      </w:r>
      <w:r>
        <w:rPr>
          <w:rFonts w:hint="default"/>
          <w:lang w:val="en-US" w:eastAsia="zh-CN"/>
        </w:rPr>
        <w:t>假设模型</w:t>
      </w:r>
      <w:r>
        <w:rPr>
          <w:rFonts w:hint="eastAsia"/>
          <w:lang w:val="en-US" w:eastAsia="zh-CN"/>
        </w:rPr>
        <w:t>需在</w:t>
      </w:r>
      <w:r>
        <w:rPr>
          <w:rFonts w:hint="default"/>
          <w:lang w:val="en-US" w:eastAsia="zh-CN"/>
        </w:rPr>
        <w:t>终端侧实时推理，从而对片上算力、带宽与功耗提出</w:t>
      </w:r>
      <w:r>
        <w:rPr>
          <w:rFonts w:hint="eastAsia"/>
          <w:lang w:val="en-US" w:eastAsia="zh-CN"/>
        </w:rPr>
        <w:t>新要求</w:t>
      </w:r>
      <w:r>
        <w:rPr>
          <w:rFonts w:hint="default"/>
          <w:lang w:val="en-US" w:eastAsia="zh-CN"/>
        </w:rPr>
        <w:t>。</w:t>
      </w:r>
    </w:p>
    <w:p w14:paraId="6B926A96">
      <w:pPr>
        <w:pStyle w:val="2"/>
        <w:ind w:left="840" w:leftChars="0" w:firstLine="420" w:firstLineChars="0"/>
        <w:rPr>
          <w:rFonts w:hint="default"/>
          <w:lang w:val="en-US" w:eastAsia="zh-CN"/>
        </w:rPr>
      </w:pPr>
      <w:r>
        <w:rPr>
          <w:rFonts w:hint="default"/>
          <w:lang w:val="en-US" w:eastAsia="zh-CN"/>
        </w:rPr>
        <w:t>4. 现实空缺：ASIC级终端原型仍是“无人区”</w:t>
      </w:r>
    </w:p>
    <w:p w14:paraId="16EBCC8D">
      <w:pPr>
        <w:pStyle w:val="2"/>
        <w:ind w:left="840" w:leftChars="0" w:firstLine="420" w:firstLineChars="0"/>
        <w:rPr>
          <w:rFonts w:hint="eastAsia"/>
          <w:lang w:val="en-US" w:eastAsia="zh-CN"/>
        </w:rPr>
      </w:pPr>
      <w:r>
        <w:rPr>
          <w:rFonts w:hint="eastAsia"/>
          <w:lang w:val="en-US" w:eastAsia="zh-CN"/>
        </w:rPr>
        <w:t>尽管Hexa-X II和Next G Alliance已完成系统级仿真和FPGA级演示，但公开资料显示，国际上尚未发布同时满足高速率×低时延×高能效指标的ASIC终端样机，空口AI专用芯片更多停留在论文或可编程平台阶段。“算法验证有余、芯片原型不足”成为国外研究的明显断层，也正是本项目可以抢占的技术高地。</w:t>
      </w:r>
    </w:p>
    <w:p w14:paraId="62B42AFD">
      <w:pPr>
        <w:pStyle w:val="2"/>
        <w:ind w:left="840" w:leftChars="0" w:firstLine="420" w:firstLineChars="0"/>
        <w:rPr>
          <w:rFonts w:hint="default"/>
          <w:lang w:val="en-US" w:eastAsia="zh-CN"/>
        </w:rPr>
      </w:pPr>
      <w:r>
        <w:rPr>
          <w:rFonts w:hint="eastAsia"/>
          <w:lang w:val="en-US" w:eastAsia="zh-CN"/>
        </w:rPr>
        <w:t>国际6G版图已形成“标准牵引→旗舰项目验证→学术算法驱动”的三螺旋格局，方向高度聚焦于空口AI的终端级落地。然而，从轻量模型到高能效ASIC的最后一公里尚未被填平。本课题拟通过“超线性基带+模型压缩+数据流NPU”的软硬协同方案，以原型终端实证μJ/bit级能效与亚5 ms时延，为我国在全球6G终端芯片竞赛中提供先发且可验证的技术抓手。</w:t>
      </w:r>
    </w:p>
    <w:p w14:paraId="6A03F278">
      <w:pPr>
        <w:pStyle w:val="2"/>
        <w:numPr>
          <w:ilvl w:val="0"/>
          <w:numId w:val="2"/>
        </w:numPr>
        <w:ind w:left="840" w:leftChars="0" w:firstLine="420" w:firstLineChars="0"/>
        <w:rPr>
          <w:rFonts w:hint="default"/>
          <w:lang w:val="en-US" w:eastAsia="zh-CN"/>
        </w:rPr>
      </w:pPr>
      <w:r>
        <w:rPr>
          <w:rFonts w:hint="eastAsia"/>
          <w:lang w:val="en-US" w:eastAsia="zh-CN"/>
        </w:rPr>
        <w:t>发展趋势</w:t>
      </w:r>
    </w:p>
    <w:p w14:paraId="3CEB4992">
      <w:pPr>
        <w:pStyle w:val="2"/>
        <w:ind w:left="840" w:leftChars="0" w:firstLine="420" w:firstLineChars="0"/>
        <w:rPr>
          <w:rFonts w:hint="eastAsia"/>
          <w:lang w:eastAsia="zh-CN"/>
        </w:rPr>
      </w:pPr>
      <w:r>
        <w:rPr>
          <w:rFonts w:hint="eastAsia"/>
          <w:lang w:eastAsia="zh-CN"/>
        </w:rPr>
        <w:t>1. 空口AI原生化</w:t>
      </w:r>
    </w:p>
    <w:p w14:paraId="16EE8A55">
      <w:pPr>
        <w:pStyle w:val="2"/>
        <w:ind w:left="840" w:leftChars="0" w:firstLine="420" w:firstLineChars="0"/>
        <w:rPr>
          <w:rFonts w:hint="eastAsia"/>
          <w:lang w:eastAsia="zh-CN"/>
        </w:rPr>
      </w:pPr>
      <w:r>
        <w:rPr>
          <w:rFonts w:hint="eastAsia"/>
          <w:lang w:eastAsia="zh-CN"/>
        </w:rPr>
        <w:t>国际电联在2023年发布的《IMT-2030框架》中，首次将“AI赋能”明确为6G的核心能力，并强调未来空口需依靠端-网分布式智能实现自组织、自优化和自愈功能。紧随其后，3GPP在Release 20中启动了“AI-Native RAN”研究项目，计划于2025年6月冻结Stage-1需求，并在2027年完成协议细节；官方工作计划明确提出“在RAN和终端引入AI控制环”。由此可见，将AI深度嵌入PHY/MAC层并在终端侧实现实时推理，已从学术热点上升为标准化的刚性需求。</w:t>
      </w:r>
    </w:p>
    <w:p w14:paraId="63607C87">
      <w:pPr>
        <w:pStyle w:val="2"/>
        <w:ind w:left="840" w:leftChars="0" w:firstLine="420" w:firstLineChars="0"/>
        <w:rPr>
          <w:rFonts w:hint="eastAsia"/>
          <w:lang w:eastAsia="zh-CN"/>
        </w:rPr>
      </w:pPr>
      <w:r>
        <w:rPr>
          <w:rFonts w:hint="eastAsia"/>
          <w:lang w:eastAsia="zh-CN"/>
        </w:rPr>
        <w:t>2. 能效共识</w:t>
      </w:r>
    </w:p>
    <w:p w14:paraId="3CD728E5">
      <w:pPr>
        <w:pStyle w:val="2"/>
        <w:ind w:left="840" w:leftChars="0" w:firstLine="420" w:firstLineChars="0"/>
        <w:rPr>
          <w:rFonts w:hint="eastAsia"/>
          <w:lang w:eastAsia="zh-CN"/>
        </w:rPr>
      </w:pPr>
      <w:r>
        <w:rPr>
          <w:rFonts w:hint="eastAsia"/>
          <w:lang w:eastAsia="zh-CN"/>
        </w:rPr>
        <w:t>Hexa-X II 在 2025 年发布的 D1.4 报告提出，6G 时代整体网络的能耗／比特需在 5G 基线之上再降低一个数量级（&gt; 90%）；报告明确把 “energy consumption per bit” 作为衡量标准，并强调通过 AI-native 设计、跨层协同和控制-通信-计算协同（3C-Co-Design）实现系统级能效优化。</w:t>
      </w:r>
    </w:p>
    <w:p w14:paraId="11026F32">
      <w:pPr>
        <w:pStyle w:val="2"/>
        <w:ind w:left="840" w:leftChars="0" w:firstLine="420" w:firstLineChars="0"/>
        <w:rPr>
          <w:rFonts w:hint="eastAsia"/>
          <w:lang w:eastAsia="zh-CN"/>
        </w:rPr>
      </w:pPr>
      <w:r>
        <w:rPr>
          <w:rFonts w:hint="eastAsia"/>
          <w:lang w:eastAsia="zh-CN"/>
        </w:rPr>
        <w:t>北美 Next G Alliance 的《Green G》白皮书则将能效与速率、时延并列为 6G 的首要目标，倡议在终端 SoC 深度集成 AI 推理能力，并大幅提升“功耗/比特”表现，同时鼓励整个网络链路向可再生能源过渡。</w:t>
      </w:r>
    </w:p>
    <w:p w14:paraId="7DAFE88E">
      <w:pPr>
        <w:pStyle w:val="2"/>
        <w:ind w:left="840" w:leftChars="0" w:firstLine="420" w:firstLineChars="0"/>
        <w:rPr>
          <w:rFonts w:hint="eastAsia"/>
          <w:lang w:eastAsia="zh-CN"/>
        </w:rPr>
      </w:pPr>
      <w:r>
        <w:rPr>
          <w:rFonts w:hint="eastAsia"/>
          <w:lang w:eastAsia="zh-CN"/>
        </w:rPr>
        <w:t>能效不再是“锦上添花”，而是与速率、时延并列的首要KPI——这一转变直接推动了轻量化模型压缩和高能效NPU架构的竞赛。</w:t>
      </w:r>
    </w:p>
    <w:p w14:paraId="1BEE6278">
      <w:pPr>
        <w:pStyle w:val="2"/>
        <w:ind w:left="840" w:leftChars="0" w:firstLine="420" w:firstLineChars="0"/>
        <w:rPr>
          <w:rFonts w:hint="eastAsia"/>
          <w:lang w:eastAsia="zh-CN"/>
        </w:rPr>
      </w:pPr>
      <w:r>
        <w:rPr>
          <w:rFonts w:hint="eastAsia"/>
          <w:lang w:eastAsia="zh-CN"/>
        </w:rPr>
        <w:t>3. 终端智能节点化</w:t>
      </w:r>
    </w:p>
    <w:p w14:paraId="13303466">
      <w:pPr>
        <w:pStyle w:val="2"/>
        <w:ind w:left="840" w:leftChars="0" w:firstLine="420" w:firstLineChars="0"/>
        <w:rPr>
          <w:rFonts w:hint="eastAsia"/>
          <w:lang w:eastAsia="zh-CN"/>
        </w:rPr>
      </w:pPr>
      <w:r>
        <w:rPr>
          <w:rFonts w:hint="eastAsia"/>
          <w:lang w:eastAsia="zh-CN"/>
        </w:rPr>
        <w:t>国际研究已将6G终端定位为“多模节点”：既是高速收发器，也是环境感知雷达，更是本地推理引擎。斯坦福、伯克利、亚琛等高校在Transformer信道预测、低比特估计、DRL功控等方面的突破，均基于模型在终端本地实时迭代的假设，从而提升了片上算力与存储带宽的要求。与此同时，Sub-THz/RIS/通感融合等新频段与新体制的引入，进一步要求终端具备“一芯多能”的可编程架构，以支持通信-感知-计算的无缝切换。</w:t>
      </w:r>
    </w:p>
    <w:p w14:paraId="520A9E6D">
      <w:pPr>
        <w:pStyle w:val="2"/>
        <w:ind w:left="840" w:leftChars="0" w:firstLine="420" w:firstLineChars="0"/>
        <w:rPr>
          <w:rFonts w:hint="eastAsia"/>
          <w:lang w:eastAsia="zh-CN"/>
        </w:rPr>
      </w:pPr>
      <w:r>
        <w:rPr>
          <w:rFonts w:hint="eastAsia"/>
          <w:lang w:eastAsia="zh-CN"/>
        </w:rPr>
        <w:t>4. 原型验证与标准窗口前移</w:t>
      </w:r>
    </w:p>
    <w:p w14:paraId="36F4EFEF">
      <w:pPr>
        <w:pStyle w:val="2"/>
        <w:ind w:left="840" w:leftChars="0" w:firstLine="420" w:firstLineChars="0"/>
        <w:rPr>
          <w:rFonts w:hint="eastAsia"/>
          <w:lang w:eastAsia="zh-CN"/>
        </w:rPr>
      </w:pPr>
      <w:r>
        <w:rPr>
          <w:rFonts w:hint="eastAsia"/>
          <w:lang w:eastAsia="zh-CN"/>
        </w:rPr>
        <w:t>随着Release 20进入6G预研阶段，标准冻结时间已定于2025-2027年；然而，国际公开资料显示，目前尚无同时满足高速率×低时延×高能效要求的ASIC级终端样机，空口AI专用芯片多停留在FPGA或仿真阶段。这意味着“能够现场测试、可量化的终端原型”将成为下一轮标准提案与生态主导权的关键，也正是我国在本项目中期望率先填补的技术空白。</w:t>
      </w:r>
    </w:p>
    <w:p w14:paraId="2C4C4429">
      <w:pPr>
        <w:pStyle w:val="2"/>
        <w:ind w:left="840" w:leftChars="0" w:firstLine="420" w:firstLineChars="0"/>
        <w:rPr>
          <w:rFonts w:hint="eastAsia" w:eastAsia="楷体_GB2312"/>
          <w:lang w:val="en-US" w:eastAsia="zh-CN"/>
        </w:rPr>
      </w:pPr>
      <w:r>
        <w:rPr>
          <w:rFonts w:hint="eastAsia"/>
          <w:lang w:eastAsia="zh-CN"/>
        </w:rPr>
        <w:t>全球6G发展方向已高度收敛：AI原生化、极致能效、终端智能化、原型先行。谁能将轻量模型、数据流NPU与μJ/bit级功耗整合进可外场测试的ASIC终端，谁就将掌握下一代移动标准的话语权——这正是“面向6G新终端的空口AI关键技术及芯片原型验证”项目聚焦的核心赛道。</w:t>
      </w:r>
    </w:p>
    <w:bookmarkEnd w:id="3"/>
    <w:bookmarkEnd w:id="4"/>
    <w:p w14:paraId="26274768">
      <w:pPr>
        <w:snapToGrid w:val="0"/>
        <w:spacing w:line="360" w:lineRule="auto"/>
        <w:outlineLvl w:val="0"/>
        <w:rPr>
          <w:rFonts w:hint="default" w:eastAsia="黑体"/>
          <w:sz w:val="32"/>
          <w:szCs w:val="32"/>
          <w:lang w:val="en-US" w:eastAsia="zh-CN"/>
        </w:rPr>
      </w:pPr>
      <w:bookmarkStart w:id="7" w:name="_Toc172321779"/>
      <w:r>
        <w:rPr>
          <w:rFonts w:hint="eastAsia" w:eastAsia="黑体"/>
          <w:sz w:val="32"/>
          <w:szCs w:val="32"/>
          <w:lang w:val="en-US" w:eastAsia="zh-CN"/>
        </w:rPr>
        <w:t>三</w:t>
      </w:r>
      <w:r>
        <w:rPr>
          <w:rFonts w:eastAsia="黑体"/>
          <w:sz w:val="32"/>
          <w:szCs w:val="32"/>
        </w:rPr>
        <w:t>、研究目标</w:t>
      </w:r>
      <w:bookmarkEnd w:id="7"/>
      <w:r>
        <w:rPr>
          <w:rFonts w:hint="eastAsia" w:eastAsia="黑体"/>
          <w:sz w:val="32"/>
          <w:szCs w:val="32"/>
          <w:lang w:val="en-US" w:eastAsia="zh-CN"/>
        </w:rPr>
        <w:t>与内容</w:t>
      </w:r>
    </w:p>
    <w:p w14:paraId="04B82A08">
      <w:pPr>
        <w:snapToGrid w:val="0"/>
        <w:spacing w:line="360" w:lineRule="auto"/>
        <w:ind w:firstLine="572" w:firstLineChars="200"/>
        <w:outlineLvl w:val="1"/>
        <w:rPr>
          <w:rFonts w:hint="eastAsia" w:eastAsia="楷体_GB2312"/>
          <w:szCs w:val="28"/>
          <w:lang w:val="en-US" w:eastAsia="zh-CN"/>
        </w:rPr>
      </w:pPr>
      <w:bookmarkStart w:id="8" w:name="_Toc172321780"/>
      <w:bookmarkStart w:id="9" w:name="_Hlk65778817"/>
      <w:r>
        <w:rPr>
          <w:rFonts w:eastAsia="楷体_GB2312"/>
          <w:szCs w:val="28"/>
          <w:lang w:val="zh-CN"/>
        </w:rPr>
        <w:t>（一）</w:t>
      </w:r>
      <w:r>
        <w:rPr>
          <w:rFonts w:hint="eastAsia" w:eastAsia="楷体_GB2312"/>
          <w:szCs w:val="28"/>
          <w:lang w:val="en-US" w:eastAsia="zh-CN"/>
        </w:rPr>
        <w:t>总体</w:t>
      </w:r>
      <w:bookmarkEnd w:id="8"/>
      <w:r>
        <w:rPr>
          <w:rFonts w:hint="eastAsia" w:eastAsia="楷体_GB2312"/>
          <w:szCs w:val="28"/>
          <w:lang w:val="en-US" w:eastAsia="zh-CN"/>
        </w:rPr>
        <w:t>目标</w:t>
      </w:r>
    </w:p>
    <w:p w14:paraId="719A7F54">
      <w:pPr>
        <w:snapToGrid w:val="0"/>
        <w:spacing w:line="360" w:lineRule="auto"/>
        <w:ind w:firstLine="572" w:firstLineChars="200"/>
        <w:outlineLvl w:val="1"/>
        <w:rPr>
          <w:rFonts w:hint="eastAsia" w:eastAsia="楷体_GB2312"/>
          <w:szCs w:val="28"/>
          <w:lang w:val="en-US" w:eastAsia="zh-CN"/>
        </w:rPr>
      </w:pPr>
      <w:r>
        <w:rPr>
          <w:rFonts w:hint="eastAsia" w:eastAsia="楷体_GB2312"/>
          <w:szCs w:val="28"/>
          <w:lang w:val="en-US" w:eastAsia="zh-CN"/>
        </w:rPr>
        <w:t>（二）研究内容</w:t>
      </w:r>
    </w:p>
    <w:p w14:paraId="7B1D9C91">
      <w:pPr>
        <w:bidi w:val="0"/>
        <w:ind w:left="420" w:leftChars="0" w:firstLine="420" w:firstLineChars="0"/>
        <w:rPr>
          <w:rFonts w:hint="eastAsia"/>
          <w:b/>
          <w:bCs/>
          <w:lang w:val="en-US" w:eastAsia="zh-CN"/>
        </w:rPr>
      </w:pPr>
      <w:r>
        <w:rPr>
          <w:rFonts w:hint="eastAsia"/>
          <w:b/>
          <w:bCs/>
          <w:lang w:val="en-US" w:eastAsia="zh-CN"/>
        </w:rPr>
        <w:t>研究内容一：超宽带超线性基带信号处理技术</w:t>
      </w:r>
    </w:p>
    <w:p w14:paraId="195A9191">
      <w:pPr>
        <w:pStyle w:val="2"/>
        <w:numPr>
          <w:ilvl w:val="0"/>
          <w:numId w:val="3"/>
        </w:numPr>
        <w:ind w:left="1265" w:leftChars="0" w:hanging="425" w:firstLineChars="0"/>
        <w:rPr>
          <w:rFonts w:hint="eastAsia"/>
          <w:b/>
          <w:bCs/>
          <w:lang w:val="en-US" w:eastAsia="zh-CN"/>
        </w:rPr>
      </w:pPr>
      <w:r>
        <w:rPr>
          <w:rFonts w:hint="eastAsia"/>
          <w:b/>
          <w:bCs/>
          <w:lang w:val="en-US" w:eastAsia="zh-CN"/>
        </w:rPr>
        <w:t>射频前端收发</w:t>
      </w:r>
      <w:bookmarkStart w:id="23" w:name="_GoBack"/>
      <w:bookmarkEnd w:id="23"/>
    </w:p>
    <w:p w14:paraId="0AF039DA">
      <w:pPr>
        <w:pStyle w:val="2"/>
        <w:numPr>
          <w:ilvl w:val="0"/>
          <w:numId w:val="4"/>
        </w:numPr>
        <w:ind w:left="1265" w:leftChars="0" w:hanging="425" w:firstLineChars="0"/>
        <w:rPr>
          <w:rFonts w:hint="default"/>
          <w:b/>
          <w:bCs/>
          <w:lang w:val="en-US" w:eastAsia="zh-CN"/>
        </w:rPr>
      </w:pPr>
      <w:r>
        <w:rPr>
          <w:rFonts w:hint="default"/>
          <w:b/>
          <w:bCs/>
          <w:lang w:val="en-US" w:eastAsia="zh-CN"/>
        </w:rPr>
        <w:t>宽带高效接收天线阵列设计</w:t>
      </w:r>
    </w:p>
    <w:p w14:paraId="22FCF1F9">
      <w:pPr>
        <w:pStyle w:val="2"/>
        <w:numPr>
          <w:ilvl w:val="0"/>
          <w:numId w:val="0"/>
        </w:numPr>
        <w:ind w:left="840" w:leftChars="0" w:firstLine="420" w:firstLineChars="0"/>
        <w:rPr>
          <w:rFonts w:hint="default"/>
          <w:b w:val="0"/>
          <w:bCs w:val="0"/>
          <w:lang w:val="en-US" w:eastAsia="zh-CN"/>
        </w:rPr>
      </w:pPr>
      <w:r>
        <w:rPr>
          <w:rFonts w:hint="default"/>
          <w:b w:val="0"/>
          <w:bCs w:val="0"/>
          <w:lang w:val="en-US" w:eastAsia="zh-CN"/>
        </w:rPr>
        <w:t>本研究旨在设计一种兼具宽带覆盖能力与高能效性能的接收天线阵列，以满足未来无线通信系统对多频段、多制式、高数据速率的苛刻需求。首先，深入分析通信系统中不同频段信号的传播特性与衰减规律，结合多天线阵列技术，优化天线单元的排列和馈电结构，实现宽频带内的稳定增益和良好方向性。其次，针对多输入多输出（MIMO）及大规模天线阵列应用，设计低互耦、宽角度扫描范围的天线单元，提升阵列的空间复用能力和抗干扰性能。同时，探索基于新型材料和结构的轻量化、微型化天线设计方案，以降低天线体积和重量，适应终端设备的空间限制。此外，结合自适应波束赋形技术，利用智能调节机制优化接收方向和波束宽度，增强对动态多径环境下信号的捕获和稳定接收能力。最终，通过仿真和实测验证，确保天线阵列具备优异的带宽、增益、方向性及匹配性能，为端侧高速通信与智能处理提供坚实的硬件基础。</w:t>
      </w:r>
    </w:p>
    <w:p w14:paraId="411EC045">
      <w:pPr>
        <w:pStyle w:val="2"/>
        <w:numPr>
          <w:ilvl w:val="0"/>
          <w:numId w:val="4"/>
        </w:numPr>
        <w:ind w:left="1265" w:leftChars="0" w:hanging="425" w:firstLineChars="0"/>
        <w:rPr>
          <w:rFonts w:hint="eastAsia"/>
          <w:b/>
          <w:bCs/>
          <w:lang w:val="en-US" w:eastAsia="zh-CN"/>
        </w:rPr>
      </w:pPr>
      <w:r>
        <w:rPr>
          <w:rFonts w:hint="eastAsia"/>
          <w:b/>
          <w:bCs/>
          <w:lang w:val="en-US" w:eastAsia="zh-CN"/>
        </w:rPr>
        <w:t>高线性低噪声射频接收前端架构</w:t>
      </w:r>
    </w:p>
    <w:p w14:paraId="48181E4A">
      <w:pPr>
        <w:pStyle w:val="2"/>
        <w:numPr>
          <w:ilvl w:val="0"/>
          <w:numId w:val="0"/>
        </w:numPr>
        <w:ind w:left="840" w:leftChars="0" w:firstLine="420" w:firstLineChars="0"/>
        <w:rPr>
          <w:rFonts w:hint="eastAsia"/>
          <w:b/>
          <w:bCs/>
          <w:lang w:val="en-US" w:eastAsia="zh-CN"/>
        </w:rPr>
      </w:pPr>
      <w:r>
        <w:rPr>
          <w:rFonts w:hint="eastAsia"/>
          <w:b w:val="0"/>
          <w:bCs w:val="0"/>
          <w:lang w:val="en-US" w:eastAsia="zh-CN"/>
        </w:rPr>
        <w:t>本研究聚焦于设计具备高线性度和低噪声特性的射频接收前端架构，以满足现代无线通信系统中对信号质量和动态范围的严苛要求。通过优化低噪声放大器（LNA）的电路设计和工艺流程，提升信号放大增益的同时有效抑制噪声系数，保障微弱信号的高保真接收。针对多频段、多制式的复杂通信环境，设计高选择性射频滤波器，提高邻道干扰和谐波抑制能力，保证接收信号的纯净性。进一步，采用先进的线性化技术和混频器结构，提升整个前端链路的线性范围，减少互调失真和非线性效应，确保高动态范围下信号的准确还原。研究射频前端各模块之间的协同工作机制，优化功耗分配与热管理，提升系统稳定性和可靠性。结合仿真与实验验证，开发出适应多场景应用需求的高性能射频接收前端架构，为高质量无线通信提供坚实保障。</w:t>
      </w:r>
    </w:p>
    <w:p w14:paraId="20770C27">
      <w:pPr>
        <w:pStyle w:val="2"/>
        <w:numPr>
          <w:ilvl w:val="0"/>
          <w:numId w:val="4"/>
        </w:numPr>
        <w:ind w:left="1265" w:leftChars="0" w:hanging="425" w:firstLineChars="0"/>
        <w:rPr>
          <w:rFonts w:hint="default"/>
          <w:b/>
          <w:bCs/>
          <w:lang w:val="en-US" w:eastAsia="zh-CN"/>
        </w:rPr>
      </w:pPr>
      <w:r>
        <w:rPr>
          <w:rFonts w:hint="default"/>
          <w:b/>
          <w:bCs/>
          <w:lang w:val="en-US" w:eastAsia="zh-CN"/>
        </w:rPr>
        <w:t>高速高精度信号采样与数字化链路设计</w:t>
      </w:r>
    </w:p>
    <w:p w14:paraId="1604BC73">
      <w:pPr>
        <w:pStyle w:val="2"/>
        <w:numPr>
          <w:ilvl w:val="0"/>
          <w:numId w:val="0"/>
        </w:numPr>
        <w:ind w:left="840" w:leftChars="0" w:firstLine="420" w:firstLineChars="0"/>
        <w:rPr>
          <w:rFonts w:hint="default"/>
          <w:b w:val="0"/>
          <w:bCs w:val="0"/>
          <w:lang w:val="en-US" w:eastAsia="zh-CN"/>
        </w:rPr>
      </w:pPr>
      <w:r>
        <w:rPr>
          <w:rFonts w:hint="default"/>
          <w:b w:val="0"/>
          <w:bCs w:val="0"/>
          <w:lang w:val="en-US" w:eastAsia="zh-CN"/>
        </w:rPr>
        <w:t>本研究聚焦于高速、高精度的模拟信号采样与数字化链路设计，旨在提升无线通信系统中接收信号的数字化质量与处理效率。首先，针对通信信号的高带宽特性，设计采样速率高、时钟抖动低的高速模数转换器（ADC），确保信号在高速采样过程中保持高信噪比和低失真。其次，优化采样前端的抗混叠滤波器设计，抑制带外干扰，保障输入信号的纯净性。结合先进的时钟同步和数据对齐技术，提升采样过程的时间精度和采样稳定性，降低采样误差对后续数字处理的影响。同时，设计高带宽、低延迟的数字接口和数据缓存机制，确保采样数据的实时传输与高效处理。进一步，开展数字化链路的功耗优化与热管理研究，满足终端设备对能效和体积的严格要求。通过软硬件协同设计与系统仿真，构建完整的高速采样与数字化链路方案，为端侧智能通信提供高质量的数据基础。</w:t>
      </w:r>
    </w:p>
    <w:p w14:paraId="07AFE53F">
      <w:pPr>
        <w:pStyle w:val="2"/>
        <w:numPr>
          <w:ilvl w:val="0"/>
          <w:numId w:val="3"/>
        </w:numPr>
        <w:ind w:left="1265" w:leftChars="0" w:hanging="425" w:firstLineChars="0"/>
        <w:rPr>
          <w:rFonts w:hint="default"/>
          <w:b/>
          <w:bCs/>
          <w:lang w:val="en-US" w:eastAsia="zh-CN"/>
        </w:rPr>
      </w:pPr>
      <w:r>
        <w:rPr>
          <w:rFonts w:hint="eastAsia"/>
          <w:b/>
          <w:bCs/>
          <w:lang w:val="en-US" w:eastAsia="zh-CN"/>
        </w:rPr>
        <w:t>基带信号处理</w:t>
      </w:r>
    </w:p>
    <w:p w14:paraId="75E7F21F">
      <w:pPr>
        <w:pStyle w:val="2"/>
        <w:numPr>
          <w:ilvl w:val="0"/>
          <w:numId w:val="5"/>
        </w:numPr>
        <w:ind w:left="1265" w:leftChars="0" w:hanging="425" w:firstLineChars="0"/>
        <w:rPr>
          <w:rFonts w:hint="default"/>
          <w:b/>
          <w:bCs/>
          <w:lang w:val="en-US" w:eastAsia="zh-CN"/>
        </w:rPr>
      </w:pPr>
      <w:r>
        <w:rPr>
          <w:rFonts w:hint="default"/>
          <w:b/>
          <w:bCs/>
          <w:lang w:val="en-US" w:eastAsia="zh-CN"/>
        </w:rPr>
        <w:t>峰均功率比（Peak-to-Average Power Ratio，PAPR）</w:t>
      </w:r>
      <w:r>
        <w:rPr>
          <w:rFonts w:hint="eastAsia"/>
          <w:b/>
          <w:bCs/>
          <w:lang w:val="en-US" w:eastAsia="zh-CN"/>
        </w:rPr>
        <w:t>抑制</w:t>
      </w:r>
    </w:p>
    <w:p w14:paraId="285B52F6">
      <w:pPr>
        <w:pStyle w:val="2"/>
        <w:numPr>
          <w:ilvl w:val="0"/>
          <w:numId w:val="0"/>
        </w:numPr>
        <w:ind w:left="840" w:leftChars="0"/>
        <w:rPr>
          <w:rFonts w:hint="default"/>
          <w:b w:val="0"/>
          <w:bCs w:val="0"/>
          <w:lang w:val="en-US" w:eastAsia="zh-CN"/>
        </w:rPr>
      </w:pPr>
      <w:r>
        <w:rPr>
          <w:rFonts w:hint="default"/>
          <w:b w:val="0"/>
          <w:bCs w:val="0"/>
          <w:lang w:val="en-US" w:eastAsia="zh-CN"/>
        </w:rPr>
        <w:t>峰均功率比（Peak-to-Average Power Ratio，PAPR）是多载波通信系统（如OFDM）中常见的性能指标，反映信号峰值功率与平均功率的比值。高PAPR会导致功率放大器工作在非线性区，产生信号失真和频谱扩展，影响系统性能和能效。PAPR抑制技术旨在通过信号预处理、编码设计、压缩或峰值削减等方法，降低信号的峰值波动，减少功率放大器非线性效应，提升发射链路的线性度和能效，保障信号质量和系统稳定性。常见技术包括选择性映射（SLM）、部分传输序列（PTS）、削峰滤波（Clipping and Filtering）等，结合算法复杂度与性能权衡进行设计优化。</w:t>
      </w:r>
    </w:p>
    <w:p w14:paraId="3F2BD204">
      <w:pPr>
        <w:pStyle w:val="2"/>
        <w:numPr>
          <w:ilvl w:val="0"/>
          <w:numId w:val="5"/>
        </w:numPr>
        <w:ind w:left="1265" w:leftChars="0" w:hanging="425" w:firstLineChars="0"/>
        <w:rPr>
          <w:rFonts w:hint="default"/>
          <w:b/>
          <w:bCs/>
          <w:lang w:val="en-US" w:eastAsia="zh-CN"/>
        </w:rPr>
      </w:pPr>
      <w:r>
        <w:rPr>
          <w:rFonts w:hint="default"/>
          <w:b/>
          <w:bCs/>
          <w:lang w:val="en-US" w:eastAsia="zh-CN"/>
        </w:rPr>
        <w:t>预失真处理（预补偿失真技术）</w:t>
      </w:r>
    </w:p>
    <w:p w14:paraId="69320B35">
      <w:pPr>
        <w:pStyle w:val="2"/>
        <w:numPr>
          <w:ilvl w:val="0"/>
          <w:numId w:val="0"/>
        </w:numPr>
        <w:ind w:left="840" w:leftChars="0"/>
        <w:rPr>
          <w:rFonts w:hint="default"/>
          <w:b w:val="0"/>
          <w:bCs w:val="0"/>
          <w:lang w:val="en-US" w:eastAsia="zh-CN"/>
        </w:rPr>
      </w:pPr>
      <w:r>
        <w:rPr>
          <w:rFonts w:hint="default"/>
          <w:b w:val="0"/>
          <w:bCs w:val="0"/>
          <w:lang w:val="en-US" w:eastAsia="zh-CN"/>
        </w:rPr>
        <w:t>预失真处理是发射端为抵消功率放大器及射频链路非线性失真而采取的一种信号预补偿技术。通过建立功率放大器的非线性模型（如记忆效应、交叉调制等），在基带信号处理阶段对发射信号进行逆向变换，预先“扭曲”信号，使其经过非线性设备后能恢复为理想波形。该技术有效降低信号失真、改善误码率和频谱效率，广泛应用于无线通信系统中。实现预失真处理需要高精度非线性模型识别、实时参数更新及高效数字信号处理算法支持，是保证高线性、高效率发射链路的关键环节。</w:t>
      </w:r>
    </w:p>
    <w:p w14:paraId="7A00A48B">
      <w:pPr>
        <w:pStyle w:val="2"/>
        <w:numPr>
          <w:ilvl w:val="0"/>
          <w:numId w:val="5"/>
        </w:numPr>
        <w:ind w:left="1265" w:leftChars="0" w:hanging="425" w:firstLineChars="0"/>
        <w:rPr>
          <w:rFonts w:hint="default"/>
          <w:b/>
          <w:bCs/>
          <w:lang w:val="en-US" w:eastAsia="zh-CN"/>
        </w:rPr>
      </w:pPr>
      <w:r>
        <w:rPr>
          <w:rFonts w:hint="default"/>
          <w:b/>
          <w:bCs/>
          <w:lang w:val="en-US" w:eastAsia="zh-CN"/>
        </w:rPr>
        <w:t>非线性均衡（非线性信道补偿技术）</w:t>
      </w:r>
    </w:p>
    <w:p w14:paraId="7967D96F">
      <w:pPr>
        <w:pStyle w:val="2"/>
        <w:numPr>
          <w:ilvl w:val="0"/>
          <w:numId w:val="0"/>
        </w:numPr>
        <w:ind w:left="840" w:leftChars="0" w:firstLine="420" w:firstLineChars="0"/>
        <w:rPr>
          <w:rFonts w:hint="default"/>
          <w:b w:val="0"/>
          <w:bCs w:val="0"/>
          <w:lang w:val="en-US" w:eastAsia="zh-CN"/>
        </w:rPr>
      </w:pPr>
      <w:r>
        <w:rPr>
          <w:rFonts w:hint="default"/>
          <w:b w:val="0"/>
          <w:bCs w:val="0"/>
          <w:lang w:val="en-US" w:eastAsia="zh-CN"/>
        </w:rPr>
        <w:t>非线性均衡技术用于接收端补偿由于信道或硬件非线性引起的信号失真，恢复原始传输信息。不同于线性均衡器，非线性均衡器考虑信号通过非线性系统后产生的高阶互调干扰、交叉调制效应及记忆效应，采用Volterra滤波器、决策反馈均衡（DFE）、机器学习或深度学习方法实现复杂的非线性补偿。其核心在于准确建模和抑制非线性畸变，提高误码性能和链路鲁棒性，尤其在高功率放大、毫米波通信、多径及高速移动环境中尤为关键。非线性均衡技术是提升现代通信系统抗干扰能力和传输质量的重要方向。</w:t>
      </w:r>
    </w:p>
    <w:p w14:paraId="4E4613E7">
      <w:pPr>
        <w:pStyle w:val="2"/>
        <w:numPr>
          <w:ilvl w:val="0"/>
          <w:numId w:val="0"/>
        </w:numPr>
        <w:rPr>
          <w:rFonts w:hint="default"/>
          <w:b w:val="0"/>
          <w:bCs w:val="0"/>
          <w:lang w:val="en-US" w:eastAsia="zh-CN"/>
        </w:rPr>
      </w:pPr>
    </w:p>
    <w:p w14:paraId="3BD8E8B8">
      <w:pPr>
        <w:pStyle w:val="2"/>
        <w:ind w:left="420" w:leftChars="0" w:firstLine="420" w:firstLineChars="0"/>
        <w:rPr>
          <w:rFonts w:hint="default"/>
          <w:b/>
          <w:bCs/>
          <w:lang w:val="en-US" w:eastAsia="zh-CN"/>
        </w:rPr>
      </w:pPr>
      <w:r>
        <w:rPr>
          <w:rFonts w:hint="eastAsia"/>
          <w:b/>
          <w:bCs/>
          <w:lang w:val="en-US" w:eastAsia="zh-CN"/>
        </w:rPr>
        <w:t>研究内容二：轻量化空口AI软硬协同处理方法</w:t>
      </w:r>
    </w:p>
    <w:p w14:paraId="05BFEB4E">
      <w:pPr>
        <w:pStyle w:val="2"/>
        <w:numPr>
          <w:ilvl w:val="0"/>
          <w:numId w:val="6"/>
        </w:numPr>
        <w:ind w:left="1265" w:leftChars="0" w:hanging="425" w:firstLineChars="0"/>
        <w:rPr>
          <w:rFonts w:hint="default"/>
          <w:b/>
          <w:bCs/>
          <w:lang w:val="en-US" w:eastAsia="zh-CN"/>
        </w:rPr>
      </w:pPr>
      <w:r>
        <w:rPr>
          <w:rFonts w:hint="eastAsia"/>
          <w:b/>
          <w:bCs/>
          <w:lang w:val="en-US" w:eastAsia="zh-CN"/>
        </w:rPr>
        <w:t>空口AI模型设计</w:t>
      </w:r>
    </w:p>
    <w:p w14:paraId="2DEDF86A">
      <w:pPr>
        <w:pStyle w:val="2"/>
        <w:numPr>
          <w:ilvl w:val="0"/>
          <w:numId w:val="7"/>
        </w:numPr>
        <w:ind w:left="1265" w:leftChars="0" w:hanging="425" w:firstLineChars="0"/>
        <w:rPr>
          <w:rFonts w:hint="eastAsia"/>
          <w:b/>
          <w:bCs/>
          <w:lang w:val="en-US" w:eastAsia="zh-CN"/>
        </w:rPr>
      </w:pPr>
      <w:r>
        <w:rPr>
          <w:rFonts w:hint="eastAsia"/>
          <w:b/>
          <w:bCs/>
          <w:lang w:val="en-US" w:eastAsia="zh-CN"/>
        </w:rPr>
        <w:t>面向无线通信任务的高质量数据集构建方法研究</w:t>
      </w:r>
    </w:p>
    <w:p w14:paraId="58230318">
      <w:pPr>
        <w:pStyle w:val="2"/>
        <w:numPr>
          <w:ilvl w:val="0"/>
          <w:numId w:val="0"/>
        </w:numPr>
        <w:ind w:left="840" w:leftChars="0" w:firstLine="420" w:firstLineChars="0"/>
        <w:rPr>
          <w:rFonts w:hint="eastAsia"/>
          <w:lang w:val="en-US" w:eastAsia="zh-CN"/>
        </w:rPr>
      </w:pPr>
      <w:r>
        <w:rPr>
          <w:rFonts w:hint="eastAsia"/>
          <w:lang w:val="en-US" w:eastAsia="zh-CN"/>
        </w:rPr>
        <w:t>在无线通信与人工智能深度融合的背景下，数据驱动的方法正逐步成为信道建模、信号检测、资源管理等关键任务的重要支撑。而高质量数据集的构建，作为推动该领域研究发展的基础性工作，其研究意义尤为突出。面向无线通信任务，数据集的构建不仅要关注数据量的规模，更需兼顾数据的真实性、代表性与多样性，从而有效支撑算法的泛化与鲁棒性研究。</w:t>
      </w:r>
    </w:p>
    <w:p w14:paraId="54C0CD83">
      <w:pPr>
        <w:pStyle w:val="2"/>
        <w:numPr>
          <w:ilvl w:val="0"/>
          <w:numId w:val="0"/>
        </w:numPr>
        <w:ind w:left="840" w:leftChars="0" w:firstLine="420" w:firstLineChars="0"/>
        <w:rPr>
          <w:rFonts w:hint="eastAsia"/>
          <w:lang w:val="en-US" w:eastAsia="zh-CN"/>
        </w:rPr>
      </w:pPr>
      <w:r>
        <w:rPr>
          <w:rFonts w:hint="eastAsia"/>
          <w:lang w:val="en-US" w:eastAsia="zh-CN"/>
        </w:rPr>
        <w:t>数据的真实性与代表性是构建高质量通信数据集的核心要素。无线通信数据不同于传统视觉或语言数据，其高度依赖于物理环境与设备条件，具有明显的时空特性和环境依赖性。因此，高质量数据集应涵盖多样化的采集场景，包括城市、乡村、室内、室外、多路径衰落、遮挡等多种典型通信环境。数据来源应结合真实测量与高保真仿真双路径同步推进。一方面，基于软件无线电（SDR）等平台获取真实信道状态信息（CSI）、IQ信号等原始数据，保障数据的物理可信性。另一方面，利用 WINNER II、QuaDRiGa 等专业仿真工具，基于参数化模型模拟复杂场景，以弥补实际数据采集的不可控与不足，进一步丰富数据集的全面性与泛化能力。</w:t>
      </w:r>
    </w:p>
    <w:p w14:paraId="530FF188">
      <w:pPr>
        <w:pStyle w:val="2"/>
        <w:numPr>
          <w:ilvl w:val="0"/>
          <w:numId w:val="0"/>
        </w:numPr>
        <w:ind w:left="840" w:leftChars="0" w:firstLine="420" w:firstLineChars="0"/>
        <w:rPr>
          <w:rFonts w:hint="eastAsia"/>
          <w:lang w:val="en-US" w:eastAsia="zh-CN"/>
        </w:rPr>
      </w:pPr>
      <w:r>
        <w:rPr>
          <w:rFonts w:hint="eastAsia"/>
          <w:lang w:val="en-US" w:eastAsia="zh-CN"/>
        </w:rPr>
        <w:t>数据的维度规范与格式标准化是保证数据价值复用的前提。通信领域涉及的数据类型多样，包括时域/频域 CSI、IQ 矢量、信道矩阵等原始数据及其衍生特征。为适配不同研究任务，如信道预测、信号检测、波束赋形等，需制定统一的数据格式与接口规范，明确数据维度、标注信息（频段、天线、场景、用户速度等元数据），同时配套标准化的预处理流程，如归一化、统一采样率与时间对齐，提升数据在跨任务、跨模型间的通用性。</w:t>
      </w:r>
    </w:p>
    <w:p w14:paraId="0FA90F48">
      <w:pPr>
        <w:pStyle w:val="2"/>
        <w:numPr>
          <w:ilvl w:val="0"/>
          <w:numId w:val="0"/>
        </w:numPr>
        <w:ind w:left="840" w:leftChars="0" w:firstLine="420" w:firstLineChars="0"/>
        <w:rPr>
          <w:rFonts w:hint="eastAsia"/>
          <w:lang w:val="en-US" w:eastAsia="zh-CN"/>
        </w:rPr>
      </w:pPr>
      <w:r>
        <w:rPr>
          <w:rFonts w:hint="eastAsia"/>
          <w:lang w:val="en-US" w:eastAsia="zh-CN"/>
        </w:rPr>
        <w:t>在数据有限的现实条件下，数据增强与数据质量控制同样至关重要。通过模拟噪声扰动、多径变化、阻塞等通信特有信道劣化因素，提升数据集对实际环境的覆盖度与鲁棒性。此外，可引入插值方法、数据生成模型（如GAN、扩散模型等）对已有数据进行合理扩展，缓解小样本问题。为保障数据质量，需建立系统的数据清洗与异常检测机制，剔除异常、失真、重复数据，确保数据稳定性与有效性。</w:t>
      </w:r>
    </w:p>
    <w:p w14:paraId="718A05BC">
      <w:pPr>
        <w:pStyle w:val="2"/>
        <w:numPr>
          <w:ilvl w:val="0"/>
          <w:numId w:val="0"/>
        </w:numPr>
        <w:ind w:left="840" w:leftChars="0" w:firstLine="420" w:firstLineChars="0"/>
        <w:rPr>
          <w:rFonts w:hint="eastAsia"/>
          <w:lang w:val="en-US" w:eastAsia="zh-CN"/>
        </w:rPr>
      </w:pPr>
      <w:r>
        <w:rPr>
          <w:rFonts w:hint="eastAsia"/>
          <w:lang w:val="en-US" w:eastAsia="zh-CN"/>
        </w:rPr>
        <w:t>面向无线通信任务的数据集构建研究，应从数据采集、格式标准、数据增强及质量控制四个维度系统推进，形成高质量、多样化、标准化的通信数据基座。</w:t>
      </w:r>
    </w:p>
    <w:p w14:paraId="726DA1E7">
      <w:pPr>
        <w:pStyle w:val="2"/>
        <w:numPr>
          <w:ilvl w:val="0"/>
          <w:numId w:val="7"/>
        </w:numPr>
        <w:ind w:left="1265" w:leftChars="0" w:hanging="425" w:firstLineChars="0"/>
        <w:rPr>
          <w:rFonts w:hint="eastAsia"/>
          <w:b/>
          <w:bCs/>
          <w:lang w:val="en-US" w:eastAsia="zh-CN"/>
        </w:rPr>
      </w:pPr>
      <w:r>
        <w:rPr>
          <w:rFonts w:hint="eastAsia"/>
          <w:b/>
          <w:bCs/>
          <w:lang w:val="en-US" w:eastAsia="zh-CN"/>
        </w:rPr>
        <w:t>深度学习在通信系统中的应用与优化</w:t>
      </w:r>
    </w:p>
    <w:p w14:paraId="00589D19">
      <w:pPr>
        <w:pStyle w:val="2"/>
        <w:numPr>
          <w:ilvl w:val="0"/>
          <w:numId w:val="0"/>
        </w:numPr>
        <w:ind w:left="840" w:leftChars="0" w:firstLine="420" w:firstLineChars="0"/>
        <w:rPr>
          <w:rFonts w:hint="eastAsia"/>
          <w:lang w:val="en-US" w:eastAsia="zh-CN"/>
        </w:rPr>
      </w:pPr>
      <w:r>
        <w:rPr>
          <w:rFonts w:hint="eastAsia"/>
          <w:lang w:val="en-US" w:eastAsia="zh-CN"/>
        </w:rPr>
        <w:t>随着深度学习技术的快速发展，其在无线通信系统中的应用已成为近年来学术界与工业界的研究热点。深度学习凭借其强大的特征提取与表示能力，为传统通信系统中诸如信道估计、信号预测、资源分配、波束赋形等核心模块提供了全新的解决思路，推动通信系统从“模型驱动”逐步向“数据驱动”范式转变。因此，研究深度学习在通信系统中的应用与优化，具有重要的理论与实践意义。</w:t>
      </w:r>
    </w:p>
    <w:p w14:paraId="0E1B1563">
      <w:pPr>
        <w:pStyle w:val="2"/>
        <w:numPr>
          <w:ilvl w:val="0"/>
          <w:numId w:val="0"/>
        </w:numPr>
        <w:ind w:left="840" w:leftChars="0" w:firstLine="420" w:firstLineChars="0"/>
        <w:rPr>
          <w:rFonts w:hint="eastAsia"/>
          <w:lang w:val="en-US" w:eastAsia="zh-CN"/>
        </w:rPr>
      </w:pPr>
      <w:r>
        <w:rPr>
          <w:rFonts w:hint="eastAsia"/>
          <w:lang w:val="en-US" w:eastAsia="zh-CN"/>
        </w:rPr>
        <w:t>在物理层，深度学习可用于提升信道状态信息（CSI）估计与反馈的准确性与效率。通过深度神经网络（DNN）、卷积神经网络（CNN）等模型，可有效挖掘信道的空间相关性与时间相关性，实现对复杂无线环境下非线性信道特征的精准建模。此外，深度学习还可用于端到端通信系统的联合优化，打破传统通信模块独立设计的局限，将调制解调、信道编码与解码、信号检测等过程统一建模，实现更优的整体性能。</w:t>
      </w:r>
    </w:p>
    <w:p w14:paraId="6ED262C3">
      <w:pPr>
        <w:pStyle w:val="2"/>
        <w:numPr>
          <w:ilvl w:val="0"/>
          <w:numId w:val="0"/>
        </w:numPr>
        <w:ind w:left="840" w:leftChars="0" w:firstLine="420" w:firstLineChars="0"/>
        <w:rPr>
          <w:rFonts w:hint="eastAsia"/>
          <w:lang w:val="en-US" w:eastAsia="zh-CN"/>
        </w:rPr>
      </w:pPr>
      <w:r>
        <w:rPr>
          <w:rFonts w:hint="eastAsia"/>
          <w:lang w:val="en-US" w:eastAsia="zh-CN"/>
        </w:rPr>
        <w:t>在系统层面，深度强化学习等技术被广泛用于资源管理与分配、动态频谱管理等任务，提升系统频谱与能效利用率。同时，图神经网络（GNN）、生成对抗网络（GAN）等前沿模型，也在异构网络协同、边缘计算、无人机通信等新兴领域展现出良好效果。</w:t>
      </w:r>
    </w:p>
    <w:p w14:paraId="4DE2F100">
      <w:pPr>
        <w:pStyle w:val="2"/>
        <w:numPr>
          <w:ilvl w:val="0"/>
          <w:numId w:val="0"/>
        </w:numPr>
        <w:ind w:left="840" w:leftChars="0" w:firstLine="420" w:firstLineChars="0"/>
        <w:rPr>
          <w:rFonts w:hint="eastAsia"/>
          <w:lang w:val="en-US" w:eastAsia="zh-CN"/>
        </w:rPr>
      </w:pPr>
      <w:r>
        <w:rPr>
          <w:rFonts w:hint="eastAsia"/>
          <w:lang w:val="en-US" w:eastAsia="zh-CN"/>
        </w:rPr>
        <w:t>针对通信系统的特殊性，深度学习模型的优化研究尤为重要，通过软硬件协同设计，推动深度学习模型更好地适配通信系统对于低时延、高能效、高可靠的严苛需求，进一步促进其在实际通信系统中的落地应用。</w:t>
      </w:r>
    </w:p>
    <w:p w14:paraId="062F0F06">
      <w:pPr>
        <w:pStyle w:val="2"/>
        <w:numPr>
          <w:ilvl w:val="0"/>
          <w:numId w:val="7"/>
        </w:numPr>
        <w:ind w:left="1265" w:leftChars="0" w:hanging="425" w:firstLineChars="0"/>
        <w:rPr>
          <w:rFonts w:hint="default"/>
          <w:b/>
          <w:bCs/>
          <w:lang w:val="en-US" w:eastAsia="zh-CN"/>
        </w:rPr>
      </w:pPr>
      <w:r>
        <w:rPr>
          <w:rFonts w:hint="eastAsia"/>
          <w:b/>
          <w:bCs/>
          <w:lang w:val="en-US" w:eastAsia="zh-CN"/>
        </w:rPr>
        <w:t>通信领域大规模预训练模型的设计与探索</w:t>
      </w:r>
    </w:p>
    <w:p w14:paraId="0530FD69">
      <w:pPr>
        <w:pStyle w:val="2"/>
        <w:numPr>
          <w:ilvl w:val="0"/>
          <w:numId w:val="0"/>
        </w:numPr>
        <w:ind w:left="840" w:leftChars="0" w:firstLine="420" w:firstLineChars="0"/>
        <w:rPr>
          <w:rFonts w:hint="default"/>
          <w:lang w:val="en-US" w:eastAsia="zh-CN"/>
        </w:rPr>
      </w:pPr>
      <w:r>
        <w:rPr>
          <w:rFonts w:hint="default"/>
          <w:lang w:val="en-US" w:eastAsia="zh-CN"/>
        </w:rPr>
        <w:t>通信领域大规模预训练模型的设计与探索正成为推动智能无线通信系统发展的重要研究前沿。随着AI在自然语言处理与计算机视觉等领域取得突破性进展，大规模预训练模型（如GPT、BERT等）展现出强大的跨任务泛化能力与迁移能力。借鉴这一思路，将大规模预训练范式引入无线通信领域，旨在打破现有通信系统依赖特定场景、特定协议定制设计的局限，构建具备空口感知、自适应泛化能力的通用通信AI模型。</w:t>
      </w:r>
    </w:p>
    <w:p w14:paraId="3CFCCCA8">
      <w:pPr>
        <w:pStyle w:val="2"/>
        <w:numPr>
          <w:ilvl w:val="0"/>
          <w:numId w:val="0"/>
        </w:numPr>
        <w:ind w:left="840" w:leftChars="0" w:firstLine="420" w:firstLineChars="0"/>
        <w:rPr>
          <w:rFonts w:hint="default"/>
          <w:lang w:val="en-US" w:eastAsia="zh-CN"/>
        </w:rPr>
      </w:pPr>
      <w:r>
        <w:rPr>
          <w:rFonts w:hint="default"/>
          <w:lang w:val="en-US" w:eastAsia="zh-CN"/>
        </w:rPr>
        <w:t>研究需围绕通信领域数据的表征与编码方法展开。不同于语言与图像数据，通信数据通常表现为时频域信号、复值矩阵、信道状态信息（CSI）等结构化物理数据，如何将其映射为适用于深度模型训练的统一表示，是构建大规模预训练模型的基础。结合频域、时域、空间域特性，可探索基于 Transformer、图神经网络（GNN）等架构，设计具备长时序依赖建模能力与物理先验融合机制的模型结构。</w:t>
      </w:r>
    </w:p>
    <w:p w14:paraId="7DE6C315">
      <w:pPr>
        <w:pStyle w:val="2"/>
        <w:numPr>
          <w:ilvl w:val="0"/>
          <w:numId w:val="0"/>
        </w:numPr>
        <w:ind w:left="840" w:leftChars="0" w:firstLine="420" w:firstLineChars="0"/>
        <w:rPr>
          <w:rFonts w:hint="default"/>
          <w:lang w:val="en-US" w:eastAsia="zh-CN"/>
        </w:rPr>
      </w:pPr>
      <w:r>
        <w:rPr>
          <w:rFonts w:hint="default"/>
          <w:lang w:val="en-US" w:eastAsia="zh-CN"/>
        </w:rPr>
        <w:t>多任务联合与跨场景泛化能力是通信大模型的重要目标。通过联合训练信道建模、CSI压缩反馈、波束赋形、信号检测等多任务，提升模型对不同通信任务的通用性。同时，预训练数据应覆盖多频段、多制式、多场景（室内外、静动态、遮挡等）信道环境，保障模型具备较强的场景自适应能力，减少下游任务对标注数据的依赖，提升迁移能力与鲁棒性。</w:t>
      </w:r>
    </w:p>
    <w:p w14:paraId="73DAE078">
      <w:pPr>
        <w:pStyle w:val="2"/>
        <w:numPr>
          <w:ilvl w:val="0"/>
          <w:numId w:val="6"/>
        </w:numPr>
        <w:ind w:left="1265" w:leftChars="0" w:hanging="425" w:firstLineChars="0"/>
        <w:rPr>
          <w:rFonts w:hint="default"/>
          <w:b/>
          <w:bCs/>
          <w:lang w:val="en-US" w:eastAsia="zh-CN"/>
        </w:rPr>
      </w:pPr>
      <w:r>
        <w:rPr>
          <w:rFonts w:hint="eastAsia"/>
          <w:b/>
          <w:bCs/>
          <w:lang w:val="en-US" w:eastAsia="zh-CN"/>
        </w:rPr>
        <w:t>模型轻量化</w:t>
      </w:r>
    </w:p>
    <w:p w14:paraId="27C590E4">
      <w:pPr>
        <w:pStyle w:val="2"/>
        <w:numPr>
          <w:ilvl w:val="0"/>
          <w:numId w:val="8"/>
        </w:numPr>
        <w:ind w:left="1265" w:leftChars="0" w:hanging="425" w:firstLineChars="0"/>
        <w:rPr>
          <w:rFonts w:hint="eastAsia"/>
          <w:lang w:val="en-US" w:eastAsia="zh-CN"/>
        </w:rPr>
      </w:pPr>
      <w:r>
        <w:rPr>
          <w:rFonts w:hint="eastAsia"/>
          <w:b/>
          <w:bCs/>
          <w:lang w:val="en-US" w:eastAsia="zh-CN"/>
        </w:rPr>
        <w:t>面向通信神经网络的稀疏性建模与剪枝策略研究</w:t>
      </w:r>
    </w:p>
    <w:p w14:paraId="4DF988A2">
      <w:pPr>
        <w:pStyle w:val="2"/>
        <w:numPr>
          <w:ilvl w:val="0"/>
          <w:numId w:val="0"/>
        </w:numPr>
        <w:ind w:left="840" w:leftChars="0" w:firstLine="420" w:firstLineChars="0"/>
        <w:rPr>
          <w:rFonts w:hint="eastAsia"/>
          <w:lang w:val="en-US" w:eastAsia="zh-CN"/>
        </w:rPr>
      </w:pPr>
      <w:r>
        <w:rPr>
          <w:rFonts w:hint="eastAsia"/>
          <w:lang w:val="en-US" w:eastAsia="zh-CN"/>
        </w:rPr>
        <w:t>通信神经网络与传统视觉、语言模型存在显著差异，其输入数据多为复值信号、时频矩阵或信道状态信息（CSI），且模型通常需兼顾物理层知识与数据驱动特征。因此，研究需探索通信特定结构（如多天线、多子载波、时频相关性）下的结构化稀疏性建模方法。例如，结合天线维度、频域维度设计稀疏性约束，使剪枝结果更符合通信系统物理结构，减少对性能的负面影响。</w:t>
      </w:r>
    </w:p>
    <w:p w14:paraId="4DF03D59">
      <w:pPr>
        <w:pStyle w:val="2"/>
        <w:numPr>
          <w:ilvl w:val="0"/>
          <w:numId w:val="0"/>
        </w:numPr>
        <w:ind w:left="840" w:leftChars="0" w:firstLine="420" w:firstLineChars="0"/>
        <w:rPr>
          <w:rFonts w:hint="eastAsia"/>
          <w:lang w:val="en-US" w:eastAsia="zh-CN"/>
        </w:rPr>
      </w:pPr>
      <w:r>
        <w:rPr>
          <w:rFonts w:hint="eastAsia"/>
          <w:lang w:val="en-US" w:eastAsia="zh-CN"/>
        </w:rPr>
        <w:t>针对不同层级（输入层、隐藏层、输出层）、不同类型（卷积层、全连接层）的冗余特征，研究可基于 L1/L2 正则化、稀疏门控机制、重要性评分等方法，识别并裁剪低贡献参数或通道，形成结构化或非结构化剪枝策略。此外，考虑到通信任务对鲁棒性与精度的敏感性，可结合知识蒸馏、微调恢复等手段，提升稀疏模型在信道估计、信号检测等任务下的稳定性与可靠性。</w:t>
      </w:r>
    </w:p>
    <w:p w14:paraId="645FCE12">
      <w:pPr>
        <w:pStyle w:val="2"/>
        <w:numPr>
          <w:ilvl w:val="0"/>
          <w:numId w:val="0"/>
        </w:numPr>
        <w:ind w:left="840" w:leftChars="0" w:firstLine="420" w:firstLineChars="0"/>
        <w:rPr>
          <w:rFonts w:hint="eastAsia"/>
          <w:lang w:val="en-US" w:eastAsia="zh-CN"/>
        </w:rPr>
      </w:pPr>
      <w:r>
        <w:rPr>
          <w:rFonts w:hint="eastAsia"/>
          <w:lang w:val="en-US" w:eastAsia="zh-CN"/>
        </w:rPr>
        <w:t>本研究拟结合端侧硬件特性（如 NPU、FPGA），进一步研究稀疏模型的硬件映射优化与部署机制，确保剪枝后的稀疏性在物理实现中能带来实际的计算加速与能效提升。通过上述研究，可为通信领域构建出兼具高精度、高效率、低算力消耗的轻量化神经网络模型，支撑未来通信系统的智能化发展与落地应用。</w:t>
      </w:r>
    </w:p>
    <w:p w14:paraId="2AEF7871">
      <w:pPr>
        <w:pStyle w:val="2"/>
        <w:numPr>
          <w:ilvl w:val="0"/>
          <w:numId w:val="8"/>
        </w:numPr>
        <w:ind w:left="1265" w:leftChars="0" w:hanging="425" w:firstLineChars="0"/>
        <w:rPr>
          <w:rFonts w:hint="eastAsia"/>
          <w:b w:val="0"/>
          <w:bCs w:val="0"/>
          <w:lang w:val="en-US" w:eastAsia="zh-CN"/>
        </w:rPr>
      </w:pPr>
      <w:r>
        <w:rPr>
          <w:rFonts w:hint="eastAsia"/>
          <w:b/>
          <w:bCs/>
          <w:lang w:val="en-US" w:eastAsia="zh-CN"/>
        </w:rPr>
        <w:t>通信任务中深度模型的高效量化技术研究</w:t>
      </w:r>
    </w:p>
    <w:p w14:paraId="3AD0D7D9">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随着深度学习技术在无线通信领域的广泛应用，其在信道估计、信号检测、资源分配等核心任务中展现出了显著性能提升。然而，通信系统尤其是面向边缘终端、物联网等端侧设备的实际部署，通常面临算力有限、能耗敏感、实时性要求严苛等问题，传统深度神经网络模型因参数量大、计算开销高，难以直接应用于实际通信场景。因此，开展面向通信任务的深度模型高效量化技术研究，对于推动轻量化、高能效AI模型在无线通信系统中的落地应用，具有重要的理论意义与工程价值。</w:t>
      </w:r>
    </w:p>
    <w:p w14:paraId="4BD6ECBE">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本研究拟聚焦通信领域数据与任务的特殊性，重点围绕以下方向展开系统性研究工作：首先，针对通信领域输入数据多为时频域信号、复数信道矩阵等特征，研究适应通信特性的数据表示方法与量化策略，设计面向复数数据的实虚分离量化、动态范围自适应调整等方法，重点突破低比特（INT8、INT4）量化条件下的性能保持难题。基于此，进一步研究量化感知训练（QAT）与后训练量化（PTQ）结合的混合优化框架，保障量化模型在有限精度下的稳定性与鲁棒性。</w:t>
      </w:r>
    </w:p>
    <w:p w14:paraId="32071D5F">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针对通信任务对误码率（BER）、容量、覆盖率等性能指标高度敏感的特点，研究以通信系统实际性能为导向的量化优化机制，构建通信感知量化损失函数与联合优化方法，实现模型精度与通信性能的协同优化，推动量化模型在实际通信系统中的可靠应用。同时，结合通信系统内部多任务并行、多模块协同等特点，探索基于不同任务模块特征的自适应混合精度策略，提升整体系统在不同业务需求下的灵活适应能力与资源利用效率。</w:t>
      </w:r>
    </w:p>
    <w:p w14:paraId="3D22EB14">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结合端侧NPU、FPGA等硬件平台，研究量化友好的神经网络结构设计与软硬协同优化方法，探索符合硬件架构的低比特专用算子、张量重构等技术，形成通信场景下从算法到硬件的端到端量化部署方案，显著提升模型能效比与推理速度，满足低功耗、高实时性、高可靠性的实际需求。</w:t>
      </w:r>
    </w:p>
    <w:p w14:paraId="58BDA922">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本项目拟构建一套面向无线通信任务的通用化、可迁移、高能效的深度模型量化方法体系，推动AI模型在实际通信系统中实现高性能、低成本、高可用的工程化部署，支撑未来智能通信系统及6G新型架构的演进发展。</w:t>
      </w:r>
    </w:p>
    <w:p w14:paraId="3E006AC2">
      <w:pPr>
        <w:pStyle w:val="2"/>
        <w:numPr>
          <w:ilvl w:val="0"/>
          <w:numId w:val="8"/>
        </w:numPr>
        <w:ind w:left="1265" w:leftChars="0" w:hanging="425" w:firstLineChars="0"/>
        <w:rPr>
          <w:rFonts w:hint="default"/>
          <w:b w:val="0"/>
          <w:bCs w:val="0"/>
          <w:lang w:val="en-US" w:eastAsia="zh-CN"/>
        </w:rPr>
      </w:pPr>
      <w:r>
        <w:rPr>
          <w:rFonts w:hint="default"/>
          <w:b/>
          <w:bCs/>
          <w:lang w:val="en-US" w:eastAsia="zh-CN"/>
        </w:rPr>
        <w:t>基于低秩分解的通信神经网络模型</w:t>
      </w:r>
      <w:r>
        <w:rPr>
          <w:rFonts w:hint="eastAsia"/>
          <w:b/>
          <w:bCs/>
          <w:lang w:val="en-US" w:eastAsia="zh-CN"/>
        </w:rPr>
        <w:t>训练</w:t>
      </w:r>
      <w:r>
        <w:rPr>
          <w:rFonts w:hint="default"/>
          <w:b/>
          <w:bCs/>
          <w:lang w:val="en-US" w:eastAsia="zh-CN"/>
        </w:rPr>
        <w:t>方法研究</w:t>
      </w:r>
    </w:p>
    <w:p w14:paraId="060AA3E0">
      <w:pPr>
        <w:pStyle w:val="2"/>
        <w:numPr>
          <w:ilvl w:val="0"/>
          <w:numId w:val="0"/>
        </w:numPr>
        <w:ind w:left="840" w:leftChars="0" w:firstLine="420" w:firstLineChars="0"/>
        <w:rPr>
          <w:rFonts w:hint="default"/>
          <w:b w:val="0"/>
          <w:bCs w:val="0"/>
          <w:lang w:val="en-US" w:eastAsia="zh-CN"/>
        </w:rPr>
      </w:pPr>
      <w:r>
        <w:rPr>
          <w:rFonts w:hint="default"/>
          <w:b w:val="0"/>
          <w:bCs w:val="0"/>
          <w:lang w:val="en-US" w:eastAsia="zh-CN"/>
        </w:rPr>
        <w:t>通信场景通常对模型的计算复杂度、存储开销及推理时延提出极高要求，特别是在端侧设备或大规模天线等资源受限环境下，传统深度神经网络因参数冗余严重、推理开销较大，难以满足高效部署需求。因此，开展基于低秩分解的通信神经网络模型训练方法研究，旨在通过挖掘模型结构中的低秩性，降低模型冗余度，实现轻量化与高效化，具有重要的理论价值与工程意义。</w:t>
      </w:r>
    </w:p>
    <w:p w14:paraId="5E228F7F">
      <w:pPr>
        <w:pStyle w:val="2"/>
        <w:numPr>
          <w:ilvl w:val="0"/>
          <w:numId w:val="0"/>
        </w:numPr>
        <w:ind w:left="840" w:leftChars="0" w:firstLine="420" w:firstLineChars="0"/>
        <w:rPr>
          <w:rFonts w:hint="default"/>
          <w:b w:val="0"/>
          <w:bCs w:val="0"/>
          <w:lang w:val="en-US" w:eastAsia="zh-CN"/>
        </w:rPr>
      </w:pPr>
      <w:r>
        <w:rPr>
          <w:rFonts w:hint="default"/>
          <w:b w:val="0"/>
          <w:bCs w:val="0"/>
          <w:lang w:val="en-US" w:eastAsia="zh-CN"/>
        </w:rPr>
        <w:t>本研究拟围绕通信领域神经网络模型的结构特性，深入挖掘模型参数、权重矩阵中的低秩特征，设计适应通信任务的低秩约束训练机制与分解方法。重点研究矩阵分解技术（如奇异值分解SVD、Tucker分解、CP分解等）与深度模型结构相结合的压缩框架，探索通道层、全连接层、注意力模块等不同层级的低秩建模策略，构建高效稀疏表示与计算路径。同时，结合通信任务对模型精度与鲁棒性的敏感需求，研究分解-恢复联合优化方法，通过端到端训练过程中的鲁棒正则化、误差反馈机制，保障压缩模型在CSI预测、信号检测等核心任务下的性能稳定性与可迁移性。</w:t>
      </w:r>
    </w:p>
    <w:p w14:paraId="66FF6277">
      <w:pPr>
        <w:pStyle w:val="2"/>
        <w:numPr>
          <w:ilvl w:val="0"/>
          <w:numId w:val="0"/>
        </w:numPr>
        <w:ind w:left="840" w:leftChars="0" w:firstLine="420" w:firstLineChars="0"/>
        <w:rPr>
          <w:rFonts w:hint="default"/>
          <w:b w:val="0"/>
          <w:bCs w:val="0"/>
          <w:lang w:val="en-US" w:eastAsia="zh-CN"/>
        </w:rPr>
      </w:pPr>
      <w:r>
        <w:rPr>
          <w:rFonts w:hint="default"/>
          <w:b w:val="0"/>
          <w:bCs w:val="0"/>
          <w:lang w:val="en-US" w:eastAsia="zh-CN"/>
        </w:rPr>
        <w:t>进一步，结合通信系统对实时性与能效的严苛要求，研究面向硬件友好的低秩模型训练与部署方法，包括张量重构、分块矩阵映射、结构化稀疏等技术，提升模型在NPU、FPGA等终端平台上的计算效率与能效比，推动轻量化模型在实际通信场景中的高效落地。</w:t>
      </w:r>
    </w:p>
    <w:p w14:paraId="7A5F2544">
      <w:pPr>
        <w:pStyle w:val="2"/>
        <w:numPr>
          <w:ilvl w:val="0"/>
          <w:numId w:val="0"/>
        </w:numPr>
        <w:ind w:left="840" w:leftChars="0" w:firstLine="420" w:firstLineChars="0"/>
        <w:rPr>
          <w:rFonts w:hint="default"/>
          <w:b w:val="0"/>
          <w:bCs w:val="0"/>
          <w:lang w:val="en-US" w:eastAsia="zh-CN"/>
        </w:rPr>
      </w:pPr>
      <w:r>
        <w:rPr>
          <w:rFonts w:hint="eastAsia"/>
          <w:b w:val="0"/>
          <w:bCs w:val="0"/>
          <w:lang w:val="en-US" w:eastAsia="zh-CN"/>
        </w:rPr>
        <w:t>本研究</w:t>
      </w:r>
      <w:r>
        <w:rPr>
          <w:rFonts w:hint="default"/>
          <w:b w:val="0"/>
          <w:bCs w:val="0"/>
          <w:lang w:val="en-US" w:eastAsia="zh-CN"/>
        </w:rPr>
        <w:t>拟建立一套面向通信领域的低秩分解与压缩理论框架与训练方法体系，实现深度模型的高效压缩与快速推理，支撑未来6G智能通信系统的绿色、高效发展，显著提升端侧AI通信系统的应用价值与部署能力。</w:t>
      </w:r>
    </w:p>
    <w:p w14:paraId="010E98AE">
      <w:pPr>
        <w:pStyle w:val="2"/>
        <w:ind w:left="420" w:leftChars="0" w:firstLine="420" w:firstLineChars="0"/>
        <w:rPr>
          <w:rFonts w:hint="eastAsia"/>
          <w:b/>
          <w:bCs/>
          <w:lang w:val="en-US" w:eastAsia="zh-CN"/>
        </w:rPr>
      </w:pPr>
      <w:r>
        <w:rPr>
          <w:rFonts w:hint="eastAsia"/>
          <w:b/>
          <w:bCs/>
          <w:lang w:val="en-US" w:eastAsia="zh-CN"/>
        </w:rPr>
        <w:t>研究内容三：端侧高能效比NPU全链路技术</w:t>
      </w:r>
    </w:p>
    <w:p w14:paraId="0C4BC04F">
      <w:pPr>
        <w:pStyle w:val="2"/>
        <w:numPr>
          <w:ilvl w:val="0"/>
          <w:numId w:val="9"/>
        </w:numPr>
        <w:ind w:left="1265" w:leftChars="0" w:hanging="425" w:firstLineChars="0"/>
        <w:rPr>
          <w:rFonts w:hint="eastAsia"/>
          <w:b/>
          <w:bCs/>
          <w:lang w:val="en-US" w:eastAsia="zh-CN"/>
        </w:rPr>
      </w:pPr>
      <w:r>
        <w:rPr>
          <w:rFonts w:hint="eastAsia"/>
          <w:b/>
          <w:bCs/>
          <w:lang w:val="en-US" w:eastAsia="zh-CN"/>
        </w:rPr>
        <w:t>高能效比：面向端侧NPU的能效优化技术</w:t>
      </w:r>
    </w:p>
    <w:p w14:paraId="4389D07C">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随着无线通信系统向智能化、低功耗、端侧计算方向发展，端侧 NPU（神经网络处理单元）已成为支撑 AI 通信算法落地的核心硬件。然而，现有深度模型计算冗余较大，缺乏面向通信业务场景的能效优化设计，严重制约其在资源受限终端中的应用。为此，本项目拟围绕提升端侧 NPU 能效比这一核心目标，系统开展相关研究工作，突破高性能、低功耗、高效协同的技术瓶颈。</w:t>
      </w:r>
    </w:p>
    <w:p w14:paraId="10700D5E">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本研究首先面向通信特定任务与数据特性，研究模型结构压缩与稀疏性优化方法，结合剪枝、量化、低秩分解等技术，显著降低模型参数与计算量，减少硬件负担。同时，针对 NPU 架构特征，研究算子融合、张量复用与访存优化方法，提升数据流通效率，减少内存带宽消耗，降低功耗瓶颈。此外，研究动态功耗管理与任务感知调度机制，实现按需激活、弹性算力配置，保障实时性与能效均衡。最后，结合通信系统多任务协同需求，构建软硬件协同优化框架，提升整体链路的能效比与鲁棒性，支撑高效智能通信系统发展。</w:t>
      </w:r>
    </w:p>
    <w:p w14:paraId="43AAE690">
      <w:pPr>
        <w:pStyle w:val="2"/>
        <w:numPr>
          <w:ilvl w:val="0"/>
          <w:numId w:val="9"/>
        </w:numPr>
        <w:ind w:left="1265" w:leftChars="0" w:hanging="425" w:firstLineChars="0"/>
        <w:rPr>
          <w:rFonts w:hint="eastAsia"/>
          <w:b/>
          <w:bCs/>
          <w:lang w:val="en-US" w:eastAsia="zh-CN"/>
        </w:rPr>
      </w:pPr>
      <w:r>
        <w:rPr>
          <w:rFonts w:hint="eastAsia"/>
          <w:b/>
          <w:bCs/>
          <w:lang w:val="en-US" w:eastAsia="zh-CN"/>
        </w:rPr>
        <w:t>空口通用性：多制式、多任务的适应性与鲁棒性</w:t>
      </w:r>
    </w:p>
    <w:p w14:paraId="13412CDF">
      <w:pPr>
        <w:pStyle w:val="2"/>
        <w:widowControl w:val="0"/>
        <w:numPr>
          <w:ilvl w:val="0"/>
          <w:numId w:val="0"/>
        </w:numPr>
        <w:spacing w:after="120" w:line="480" w:lineRule="auto"/>
        <w:ind w:left="840" w:leftChars="0" w:firstLine="420" w:firstLineChars="0"/>
        <w:jc w:val="both"/>
        <w:rPr>
          <w:rFonts w:hint="eastAsia"/>
          <w:b w:val="0"/>
          <w:bCs w:val="0"/>
          <w:lang w:val="en-US" w:eastAsia="zh-CN"/>
        </w:rPr>
      </w:pPr>
      <w:r>
        <w:rPr>
          <w:rFonts w:hint="eastAsia"/>
          <w:b w:val="0"/>
          <w:bCs w:val="0"/>
          <w:lang w:val="en-US" w:eastAsia="zh-CN"/>
        </w:rPr>
        <w:t>随着无线通信系统不断演进，通信场景呈现多样化、复杂化趋势，涉及不同频段（如 Sub-6GHz、毫米波、太赫兹）、多种制式（5G、6G、Wi-Fi、IoT）及多任务（信道估计、预测、感知等）需求，如何提升空口 AI 模型的通用性与鲁棒性，成为实现统一智能通信架构的关键问题。本项目拟聚焦多制式、多任务的空口 AI 通用性，开展系统研究，提升模型跨场景、跨任务的泛化能力与鲁棒性。</w:t>
      </w:r>
    </w:p>
    <w:p w14:paraId="2678B7EA">
      <w:pPr>
        <w:pStyle w:val="2"/>
        <w:widowControl w:val="0"/>
        <w:numPr>
          <w:ilvl w:val="0"/>
          <w:numId w:val="0"/>
        </w:numPr>
        <w:spacing w:after="120" w:line="480" w:lineRule="auto"/>
        <w:ind w:left="840" w:leftChars="0" w:firstLine="420" w:firstLineChars="0"/>
        <w:jc w:val="both"/>
        <w:rPr>
          <w:rFonts w:hint="eastAsia"/>
          <w:b w:val="0"/>
          <w:bCs w:val="0"/>
          <w:lang w:val="en-US" w:eastAsia="zh-CN"/>
        </w:rPr>
      </w:pPr>
      <w:r>
        <w:rPr>
          <w:rFonts w:hint="eastAsia"/>
          <w:b w:val="0"/>
          <w:bCs w:val="0"/>
          <w:lang w:val="en-US" w:eastAsia="zh-CN"/>
        </w:rPr>
        <w:t>本研究围绕多制式信道特性建模与统一数据表征方法，构建适用于不同频段、协议的标准化数据格式，保障 AI 模型对多样信道环境的适应性。研究多任务联合学习机制，融合信道估计、CSI 压缩、波束赋形等多任务，提升模型对不同通信任务的鲁棒性与共享表征能力。探索跨场景自适应与泛化优化策略，通过领域对抗、元学习等方法，增强模型对未知场景与动态变化的鲁棒性，减少部署时对标注数据的依赖。结合通信系统标准，研究多协议统一架构设计与动态适配机制，支撑模型在不同通信协议、硬件平台下的通用化部署，推动未来智能空口系统的统一演进。</w:t>
      </w:r>
    </w:p>
    <w:p w14:paraId="7F254FFE">
      <w:pPr>
        <w:pStyle w:val="2"/>
        <w:numPr>
          <w:ilvl w:val="0"/>
          <w:numId w:val="9"/>
        </w:numPr>
        <w:ind w:left="1265" w:leftChars="0" w:hanging="425" w:firstLineChars="0"/>
        <w:rPr>
          <w:rFonts w:hint="default"/>
          <w:b/>
          <w:bCs/>
          <w:lang w:val="en-US" w:eastAsia="zh-CN"/>
        </w:rPr>
      </w:pPr>
      <w:r>
        <w:rPr>
          <w:rFonts w:hint="default"/>
          <w:b/>
          <w:bCs/>
          <w:lang w:val="en-US" w:eastAsia="zh-CN"/>
        </w:rPr>
        <w:t>端到端：AI驱动的通信系统全链路优化</w:t>
      </w:r>
    </w:p>
    <w:p w14:paraId="06AB8F18">
      <w:pPr>
        <w:pStyle w:val="2"/>
        <w:ind w:left="840" w:leftChars="0" w:firstLine="420" w:firstLineChars="0"/>
        <w:rPr>
          <w:rFonts w:hint="default"/>
          <w:b/>
          <w:bCs/>
          <w:lang w:val="en-US" w:eastAsia="zh-CN"/>
        </w:rPr>
      </w:pPr>
      <w:r>
        <w:rPr>
          <w:rFonts w:hint="default"/>
          <w:b w:val="0"/>
          <w:bCs w:val="0"/>
          <w:lang w:val="en-US" w:eastAsia="zh-CN"/>
        </w:rPr>
        <w:t>为突破传统通信系统“分层独立设计、局部最优”的架构局限，本项目拟开展AI 驱动的端到端通信系统全链路优化研究，实现从物理层到应用层的跨层协同设计，提升系统整体性能与资源利用效率。研究首先围绕端到端通信建模方法，基于深度学习技术，融合信道编码、信号检测、调制解调、波束赋形等模块，构建联合优化的端到端学习框架。其次，结合无线信道时变性与复杂性，研究多任务联合与全链路鲁棒性增强机制，提升系统在动态场景下的稳定性与适应性。最后，探索结合 NPU 等硬件的端到端快速推理优化方法，实现通信性能、计算效率与能效比的整体最优，推动 AI 驱动的智能通信系统落地应用。</w:t>
      </w:r>
    </w:p>
    <w:p w14:paraId="306A31F7">
      <w:pPr>
        <w:pStyle w:val="2"/>
        <w:ind w:left="420" w:leftChars="0" w:firstLine="420" w:firstLineChars="0"/>
        <w:rPr>
          <w:rFonts w:hint="default"/>
          <w:b/>
          <w:bCs/>
          <w:lang w:val="en-US" w:eastAsia="zh-CN"/>
        </w:rPr>
      </w:pPr>
      <w:r>
        <w:rPr>
          <w:rFonts w:hint="eastAsia"/>
          <w:b/>
          <w:bCs/>
          <w:lang w:val="en-US" w:eastAsia="zh-CN"/>
        </w:rPr>
        <w:t>研究内容四：终端模组原理样机搭建及原型验证</w:t>
      </w:r>
    </w:p>
    <w:p w14:paraId="71184D88">
      <w:pPr>
        <w:pStyle w:val="2"/>
        <w:numPr>
          <w:ilvl w:val="0"/>
          <w:numId w:val="10"/>
        </w:numPr>
        <w:ind w:left="1265" w:leftChars="0" w:hanging="425" w:firstLineChars="0"/>
        <w:rPr>
          <w:rFonts w:hint="eastAsia"/>
          <w:b/>
          <w:bCs/>
          <w:lang w:val="en-US" w:eastAsia="zh-CN"/>
        </w:rPr>
      </w:pPr>
      <w:r>
        <w:rPr>
          <w:rFonts w:hint="eastAsia"/>
          <w:b/>
          <w:bCs/>
          <w:lang w:val="en-US" w:eastAsia="zh-CN"/>
        </w:rPr>
        <w:t>终端模组原型样机</w:t>
      </w:r>
    </w:p>
    <w:p w14:paraId="058C4B1B">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本研究围绕 AI 驱动通信系统在端侧的实际部署需求，开展高集成度、低功耗的终端模组原型样机设计与实现研究。结合通信与 AI 协同的硬件架构，融合射频、基带、AI NPU 等核心模块，设计软硬件一体化的通信智能终端样机，支持多制式、多频段接入及 AI 算法实时推理，重点攻关高速数据处理、低时延接口、高能效协同等技术，完成具备实验验证能力的可交付原型。</w:t>
      </w:r>
    </w:p>
    <w:p w14:paraId="66C01454">
      <w:pPr>
        <w:pStyle w:val="2"/>
        <w:numPr>
          <w:ilvl w:val="0"/>
          <w:numId w:val="10"/>
        </w:numPr>
        <w:ind w:left="1265" w:leftChars="0" w:hanging="425" w:firstLineChars="0"/>
        <w:rPr>
          <w:rFonts w:hint="eastAsia"/>
          <w:b/>
          <w:bCs/>
          <w:lang w:val="en-US" w:eastAsia="zh-CN"/>
        </w:rPr>
      </w:pPr>
      <w:r>
        <w:rPr>
          <w:rFonts w:hint="eastAsia"/>
          <w:b/>
          <w:bCs/>
          <w:lang w:val="en-US" w:eastAsia="zh-CN"/>
        </w:rPr>
        <w:t>空口AI场景搭建</w:t>
      </w:r>
    </w:p>
    <w:p w14:paraId="7FB85C60">
      <w:pPr>
        <w:pStyle w:val="2"/>
        <w:numPr>
          <w:ilvl w:val="0"/>
          <w:numId w:val="0"/>
        </w:numPr>
        <w:ind w:left="840" w:leftChars="0" w:firstLine="420" w:firstLineChars="0"/>
        <w:rPr>
          <w:rFonts w:hint="eastAsia"/>
          <w:b w:val="0"/>
          <w:bCs w:val="0"/>
          <w:lang w:val="en-US" w:eastAsia="zh-CN"/>
        </w:rPr>
      </w:pPr>
      <w:r>
        <w:rPr>
          <w:rFonts w:hint="eastAsia"/>
          <w:b w:val="0"/>
          <w:bCs w:val="0"/>
          <w:lang w:val="en-US" w:eastAsia="zh-CN"/>
        </w:rPr>
        <w:t>本研究拟建设多维度、多场景的空口 AI 测试环境，涵盖室内、室外、静态、动态、多路径等典型信道条件，覆盖 Sub-6GHz、毫米波等多频段通信特征，形成仿真与实测结合的全链路数据采集与回放体系，支撑信道建模、CSI 获取、AI 数据集构建与模型训练验证。同时，搭建 AI 通信大模型训练与评测平台，支撑端到端链路性能测试、模型鲁棒性分析及快速迭代优化，构建可重复、可比对、可扩展的测试评价体系。</w:t>
      </w:r>
    </w:p>
    <w:p w14:paraId="48C20226">
      <w:pPr>
        <w:pStyle w:val="2"/>
        <w:numPr>
          <w:ilvl w:val="0"/>
          <w:numId w:val="10"/>
        </w:numPr>
        <w:ind w:left="1265" w:leftChars="0" w:hanging="425" w:firstLineChars="0"/>
        <w:rPr>
          <w:rFonts w:hint="default"/>
          <w:b/>
          <w:bCs/>
          <w:lang w:val="en-US" w:eastAsia="zh-CN"/>
        </w:rPr>
      </w:pPr>
      <w:r>
        <w:rPr>
          <w:rFonts w:hint="eastAsia"/>
          <w:b/>
          <w:bCs/>
          <w:lang w:val="en-US" w:eastAsia="zh-CN"/>
        </w:rPr>
        <w:t>空口AI全生命周期管理</w:t>
      </w:r>
    </w:p>
    <w:p w14:paraId="3D493C92">
      <w:pPr>
        <w:pStyle w:val="2"/>
        <w:ind w:left="840" w:leftChars="0" w:firstLine="420" w:firstLineChars="0"/>
        <w:rPr>
          <w:rFonts w:hint="eastAsia"/>
          <w:lang w:val="en-US" w:eastAsia="zh-CN"/>
        </w:rPr>
      </w:pPr>
      <w:r>
        <w:rPr>
          <w:rFonts w:hint="eastAsia"/>
          <w:lang w:val="en-US" w:eastAsia="zh-CN"/>
        </w:rPr>
        <w:t>本</w:t>
      </w:r>
      <w:r>
        <w:rPr>
          <w:rFonts w:hint="default"/>
          <w:lang w:val="en-US" w:eastAsia="zh-CN"/>
        </w:rPr>
        <w:t>研究将围绕空口 AI 模型的开发、训练、部署、演进等全过程，</w:t>
      </w:r>
      <w:r>
        <w:rPr>
          <w:rFonts w:hint="default"/>
          <w:b w:val="0"/>
          <w:bCs w:val="0"/>
          <w:lang w:val="en-US" w:eastAsia="zh-CN"/>
        </w:rPr>
        <w:t>填补当前空口AI研究在终端侧部署与全生命周期运维方面的关键空白</w:t>
      </w:r>
      <w:r>
        <w:rPr>
          <w:rFonts w:hint="eastAsia"/>
          <w:b w:val="0"/>
          <w:bCs w:val="0"/>
          <w:lang w:val="en-US" w:eastAsia="zh-CN"/>
        </w:rPr>
        <w:t>，</w:t>
      </w:r>
      <w:r>
        <w:rPr>
          <w:rFonts w:hint="default"/>
          <w:lang w:val="en-US" w:eastAsia="zh-CN"/>
        </w:rPr>
        <w:t>建立标准化、体系化的管理框架。重点研究通信任务特定的模型压缩、量化、迁移与持续优化技术，结合数据治理、模型溯源、版本管理，构建面向环境变化与业务需求动态调整的模型迭代机制，提升模型泛化能力与长期稳定性。同时，研究安全可信机制，保障模型在生命周期各阶段的完整性、可控性与可追溯性，支撑通信系统长期稳定运行与性能持续提升。</w:t>
      </w:r>
    </w:p>
    <w:p w14:paraId="27538E22">
      <w:pPr>
        <w:snapToGrid w:val="0"/>
        <w:spacing w:line="360" w:lineRule="auto"/>
        <w:ind w:firstLine="572" w:firstLineChars="200"/>
        <w:outlineLvl w:val="1"/>
        <w:rPr>
          <w:rFonts w:hint="eastAsia" w:eastAsia="楷体_GB2312"/>
          <w:szCs w:val="28"/>
          <w:highlight w:val="none"/>
          <w:lang w:val="en-US" w:eastAsia="zh-CN"/>
        </w:rPr>
      </w:pPr>
      <w:r>
        <w:rPr>
          <w:rFonts w:hint="eastAsia" w:eastAsia="楷体_GB2312"/>
          <w:szCs w:val="28"/>
          <w:lang w:val="en-US" w:eastAsia="zh-CN"/>
        </w:rPr>
        <w:t>（三）里程碑节点与目标</w:t>
      </w:r>
      <w:r>
        <w:rPr>
          <w:rFonts w:hint="eastAsia" w:eastAsia="楷体_GB2312"/>
          <w:szCs w:val="28"/>
          <w:highlight w:val="none"/>
          <w:lang w:val="en-US" w:eastAsia="zh-CN"/>
        </w:rPr>
        <w:t>（附表：里程碑节点规划表）</w:t>
      </w:r>
    </w:p>
    <w:tbl>
      <w:tblPr>
        <w:tblStyle w:val="18"/>
        <w:tblW w:w="5096"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1384"/>
        <w:gridCol w:w="1621"/>
        <w:gridCol w:w="2491"/>
        <w:gridCol w:w="2384"/>
        <w:gridCol w:w="728"/>
        <w:gridCol w:w="769"/>
      </w:tblGrid>
      <w:tr w14:paraId="04DD3E97">
        <w:trPr>
          <w:trHeight w:val="770" w:hRule="atLeast"/>
        </w:trPr>
        <w:tc>
          <w:tcPr>
            <w:tcW w:w="738" w:type="pct"/>
            <w:vMerge w:val="restart"/>
            <w:vAlign w:val="center"/>
          </w:tcPr>
          <w:p w14:paraId="361BA8D1">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节点</w:t>
            </w:r>
          </w:p>
        </w:tc>
        <w:tc>
          <w:tcPr>
            <w:tcW w:w="864" w:type="pct"/>
            <w:vMerge w:val="restart"/>
            <w:vAlign w:val="center"/>
          </w:tcPr>
          <w:p w14:paraId="74482A37">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时间</w:t>
            </w:r>
          </w:p>
        </w:tc>
        <w:tc>
          <w:tcPr>
            <w:tcW w:w="1328" w:type="pct"/>
            <w:vMerge w:val="restart"/>
            <w:vAlign w:val="center"/>
          </w:tcPr>
          <w:p w14:paraId="47BD5431">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考核目标</w:t>
            </w:r>
          </w:p>
        </w:tc>
        <w:tc>
          <w:tcPr>
            <w:tcW w:w="1271" w:type="pct"/>
            <w:vMerge w:val="restart"/>
            <w:vAlign w:val="center"/>
          </w:tcPr>
          <w:p w14:paraId="6622890C">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考核方式</w:t>
            </w:r>
          </w:p>
        </w:tc>
        <w:tc>
          <w:tcPr>
            <w:tcW w:w="798" w:type="pct"/>
            <w:gridSpan w:val="2"/>
            <w:vAlign w:val="center"/>
          </w:tcPr>
          <w:p w14:paraId="06737E97">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经费概算（万元）</w:t>
            </w:r>
          </w:p>
        </w:tc>
      </w:tr>
      <w:tr w14:paraId="6A37AAF5">
        <w:trPr>
          <w:trHeight w:val="392" w:hRule="atLeast"/>
        </w:trPr>
        <w:tc>
          <w:tcPr>
            <w:tcW w:w="738" w:type="pct"/>
            <w:vMerge w:val="continue"/>
            <w:vAlign w:val="center"/>
          </w:tcPr>
          <w:p w14:paraId="0932E3CD">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ascii="新宋体" w:hAnsi="新宋体" w:eastAsia="新宋体" w:cs="新宋体"/>
                <w:kern w:val="0"/>
                <w:sz w:val="22"/>
                <w:szCs w:val="22"/>
                <w:lang w:val="en-US" w:eastAsia="en-US" w:bidi="ar-SA"/>
              </w:rPr>
            </w:pPr>
          </w:p>
        </w:tc>
        <w:tc>
          <w:tcPr>
            <w:tcW w:w="864" w:type="pct"/>
            <w:vMerge w:val="continue"/>
            <w:vAlign w:val="center"/>
          </w:tcPr>
          <w:p w14:paraId="474C64D9">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ascii="新宋体" w:hAnsi="新宋体" w:eastAsia="新宋体" w:cs="新宋体"/>
                <w:kern w:val="0"/>
                <w:sz w:val="22"/>
                <w:szCs w:val="22"/>
                <w:lang w:val="en-US" w:eastAsia="en-US" w:bidi="ar-SA"/>
              </w:rPr>
            </w:pPr>
          </w:p>
        </w:tc>
        <w:tc>
          <w:tcPr>
            <w:tcW w:w="1328" w:type="pct"/>
            <w:vMerge w:val="continue"/>
            <w:vAlign w:val="center"/>
          </w:tcPr>
          <w:p w14:paraId="3D880E3D">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ascii="新宋体" w:hAnsi="新宋体" w:eastAsia="新宋体" w:cs="新宋体"/>
                <w:kern w:val="0"/>
                <w:sz w:val="22"/>
                <w:szCs w:val="22"/>
                <w:lang w:val="en-US" w:eastAsia="en-US" w:bidi="ar-SA"/>
              </w:rPr>
            </w:pPr>
          </w:p>
        </w:tc>
        <w:tc>
          <w:tcPr>
            <w:tcW w:w="1271" w:type="pct"/>
            <w:vMerge w:val="continue"/>
            <w:vAlign w:val="center"/>
          </w:tcPr>
          <w:p w14:paraId="30EC0682">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ascii="新宋体" w:hAnsi="新宋体" w:eastAsia="新宋体" w:cs="新宋体"/>
                <w:kern w:val="0"/>
                <w:sz w:val="22"/>
                <w:szCs w:val="22"/>
                <w:lang w:val="en-US" w:eastAsia="en-US" w:bidi="ar-SA"/>
              </w:rPr>
            </w:pPr>
          </w:p>
        </w:tc>
        <w:tc>
          <w:tcPr>
            <w:tcW w:w="388" w:type="pct"/>
            <w:vAlign w:val="center"/>
          </w:tcPr>
          <w:p w14:paraId="1AD368D2">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b/>
                <w:color w:val="000000"/>
                <w:kern w:val="0"/>
                <w:sz w:val="28"/>
                <w:szCs w:val="28"/>
                <w:lang w:val="en-US" w:eastAsia="zh-CN" w:bidi="ar-SA"/>
              </w:rPr>
            </w:pPr>
            <w:r>
              <w:rPr>
                <w:rFonts w:hint="eastAsia" w:ascii="仿宋_GB2312" w:hAnsi="仿宋_GB2312" w:eastAsia="仿宋_GB2312" w:cs="仿宋_GB2312"/>
                <w:b/>
                <w:color w:val="000000"/>
                <w:kern w:val="0"/>
                <w:sz w:val="28"/>
                <w:szCs w:val="28"/>
                <w:lang w:val="en-US" w:eastAsia="zh-CN" w:bidi="ar-SA"/>
              </w:rPr>
              <w:t>专项经费</w:t>
            </w:r>
          </w:p>
        </w:tc>
        <w:tc>
          <w:tcPr>
            <w:tcW w:w="410" w:type="pct"/>
            <w:vAlign w:val="center"/>
          </w:tcPr>
          <w:p w14:paraId="44E690E4">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b/>
                <w:color w:val="000000"/>
                <w:kern w:val="0"/>
                <w:sz w:val="28"/>
                <w:szCs w:val="28"/>
                <w:lang w:val="en-US" w:eastAsia="zh-CN" w:bidi="ar-SA"/>
              </w:rPr>
            </w:pPr>
            <w:r>
              <w:rPr>
                <w:rFonts w:hint="eastAsia" w:ascii="仿宋_GB2312" w:hAnsi="仿宋_GB2312" w:eastAsia="仿宋_GB2312" w:cs="仿宋_GB2312"/>
                <w:b/>
                <w:color w:val="000000"/>
                <w:kern w:val="0"/>
                <w:sz w:val="28"/>
                <w:szCs w:val="28"/>
                <w:lang w:val="en-US" w:eastAsia="zh-CN" w:bidi="ar-SA"/>
              </w:rPr>
              <w:t>自筹经费</w:t>
            </w:r>
          </w:p>
        </w:tc>
      </w:tr>
      <w:tr w14:paraId="4D85D645">
        <w:trPr>
          <w:trHeight w:val="567" w:hRule="atLeast"/>
        </w:trPr>
        <w:tc>
          <w:tcPr>
            <w:tcW w:w="738" w:type="pct"/>
            <w:vAlign w:val="center"/>
          </w:tcPr>
          <w:p w14:paraId="0AA5929A">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en-US" w:bidi="ar-SA"/>
              </w:rPr>
            </w:pPr>
            <w:r>
              <w:rPr>
                <w:rFonts w:hint="eastAsia" w:ascii="仿宋_GB2312" w:hAnsi="仿宋_GB2312" w:eastAsia="仿宋_GB2312" w:cs="仿宋_GB2312"/>
                <w:color w:val="000000"/>
                <w:w w:val="100"/>
                <w:kern w:val="0"/>
                <w:sz w:val="28"/>
                <w:szCs w:val="28"/>
                <w:lang w:val="en-US" w:eastAsia="zh-CN" w:bidi="ar-SA"/>
              </w:rPr>
              <w:t>里程碑1</w:t>
            </w:r>
          </w:p>
        </w:tc>
        <w:tc>
          <w:tcPr>
            <w:tcW w:w="864" w:type="pct"/>
            <w:vAlign w:val="center"/>
          </w:tcPr>
          <w:p w14:paraId="1C0E75D5">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年</w:t>
            </w: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月</w:t>
            </w:r>
          </w:p>
        </w:tc>
        <w:tc>
          <w:tcPr>
            <w:tcW w:w="1328" w:type="pct"/>
            <w:vAlign w:val="center"/>
          </w:tcPr>
          <w:p w14:paraId="5EEB543C">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1.……</w:t>
            </w:r>
          </w:p>
          <w:p w14:paraId="12F99E13">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2.……</w:t>
            </w:r>
          </w:p>
          <w:p w14:paraId="23B3B975">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3.……</w:t>
            </w:r>
          </w:p>
        </w:tc>
        <w:tc>
          <w:tcPr>
            <w:tcW w:w="1271" w:type="pct"/>
            <w:vAlign w:val="center"/>
          </w:tcPr>
          <w:p w14:paraId="6B00F338">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388" w:type="pct"/>
            <w:vAlign w:val="center"/>
          </w:tcPr>
          <w:p w14:paraId="267C9F36">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zh-CN" w:bidi="ar-SA"/>
              </w:rPr>
            </w:pPr>
          </w:p>
        </w:tc>
        <w:tc>
          <w:tcPr>
            <w:tcW w:w="410" w:type="pct"/>
            <w:vAlign w:val="center"/>
          </w:tcPr>
          <w:p w14:paraId="0A4978C8">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zh-CN" w:bidi="ar-SA"/>
              </w:rPr>
            </w:pPr>
          </w:p>
        </w:tc>
      </w:tr>
      <w:tr w14:paraId="5339F6F7">
        <w:trPr>
          <w:trHeight w:val="567" w:hRule="atLeast"/>
        </w:trPr>
        <w:tc>
          <w:tcPr>
            <w:tcW w:w="738" w:type="pct"/>
            <w:vAlign w:val="center"/>
          </w:tcPr>
          <w:p w14:paraId="0562E7BE">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en-US" w:bidi="ar-SA"/>
              </w:rPr>
            </w:pPr>
            <w:r>
              <w:rPr>
                <w:rFonts w:hint="eastAsia" w:ascii="仿宋_GB2312" w:hAnsi="仿宋_GB2312" w:eastAsia="仿宋_GB2312" w:cs="仿宋_GB2312"/>
                <w:color w:val="000000"/>
                <w:w w:val="100"/>
                <w:kern w:val="0"/>
                <w:sz w:val="28"/>
                <w:szCs w:val="28"/>
                <w:lang w:val="en-US" w:eastAsia="zh-CN" w:bidi="ar-SA"/>
              </w:rPr>
              <w:t>里程碑2</w:t>
            </w:r>
          </w:p>
        </w:tc>
        <w:tc>
          <w:tcPr>
            <w:tcW w:w="864" w:type="pct"/>
            <w:vAlign w:val="center"/>
          </w:tcPr>
          <w:p w14:paraId="00F93B8A">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年</w:t>
            </w: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月</w:t>
            </w:r>
          </w:p>
        </w:tc>
        <w:tc>
          <w:tcPr>
            <w:tcW w:w="1328" w:type="pct"/>
            <w:vAlign w:val="center"/>
          </w:tcPr>
          <w:p w14:paraId="460791B1">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1.……</w:t>
            </w:r>
          </w:p>
          <w:p w14:paraId="0A2D7815">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2.……</w:t>
            </w:r>
          </w:p>
          <w:p w14:paraId="70DF655C">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3.……</w:t>
            </w:r>
          </w:p>
        </w:tc>
        <w:tc>
          <w:tcPr>
            <w:tcW w:w="1271" w:type="pct"/>
            <w:vAlign w:val="center"/>
          </w:tcPr>
          <w:p w14:paraId="70CE309D">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388" w:type="pct"/>
            <w:vAlign w:val="center"/>
          </w:tcPr>
          <w:p w14:paraId="64106AAF">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410" w:type="pct"/>
            <w:vAlign w:val="center"/>
          </w:tcPr>
          <w:p w14:paraId="014188C7">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r>
      <w:tr w14:paraId="79EBCF23">
        <w:trPr>
          <w:trHeight w:val="1010" w:hRule="atLeast"/>
        </w:trPr>
        <w:tc>
          <w:tcPr>
            <w:tcW w:w="738" w:type="pct"/>
            <w:vAlign w:val="center"/>
          </w:tcPr>
          <w:p w14:paraId="6BCA9D37">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rightChars="0" w:firstLine="0" w:firstLineChars="0"/>
              <w:jc w:val="center"/>
              <w:textAlignment w:val="auto"/>
              <w:rPr>
                <w:rFonts w:hint="default" w:ascii="仿宋_GB2312" w:hAnsi="仿宋_GB2312" w:eastAsia="仿宋_GB2312" w:cs="仿宋_GB2312"/>
                <w:color w:val="000000"/>
                <w:w w:val="100"/>
                <w:kern w:val="0"/>
                <w:sz w:val="28"/>
                <w:szCs w:val="28"/>
                <w:lang w:val="en-US" w:eastAsia="en-US" w:bidi="ar-SA"/>
              </w:rPr>
            </w:pPr>
            <w:r>
              <w:rPr>
                <w:rFonts w:hint="eastAsia" w:ascii="仿宋_GB2312" w:hAnsi="仿宋_GB2312" w:eastAsia="仿宋_GB2312" w:cs="仿宋_GB2312"/>
                <w:color w:val="000000"/>
                <w:w w:val="100"/>
                <w:kern w:val="0"/>
                <w:sz w:val="28"/>
                <w:szCs w:val="28"/>
                <w:lang w:val="en-US" w:eastAsia="zh-CN" w:bidi="ar-SA"/>
              </w:rPr>
              <w:t>里程碑3</w:t>
            </w:r>
            <w:r>
              <w:rPr>
                <w:rFonts w:hint="eastAsia" w:ascii="仿宋_GB2312" w:hAnsi="仿宋_GB2312" w:eastAsia="仿宋_GB2312" w:cs="仿宋_GB2312"/>
                <w:color w:val="000000"/>
                <w:w w:val="100"/>
                <w:kern w:val="0"/>
                <w:sz w:val="28"/>
                <w:szCs w:val="28"/>
                <w:lang w:val="en-US" w:eastAsia="zh-CN" w:bidi="ar-SA"/>
              </w:rPr>
              <w:br w:type="textWrapping"/>
            </w:r>
            <w:r>
              <w:rPr>
                <w:rFonts w:hint="eastAsia" w:ascii="仿宋_GB2312" w:hAnsi="仿宋_GB2312" w:eastAsia="仿宋_GB2312" w:cs="仿宋_GB2312"/>
                <w:color w:val="000000"/>
                <w:w w:val="100"/>
                <w:kern w:val="0"/>
                <w:sz w:val="28"/>
                <w:szCs w:val="28"/>
                <w:lang w:val="en-US" w:eastAsia="zh-CN" w:bidi="ar-SA"/>
              </w:rPr>
              <w:t>（验收）</w:t>
            </w:r>
          </w:p>
        </w:tc>
        <w:tc>
          <w:tcPr>
            <w:tcW w:w="864" w:type="pct"/>
            <w:vAlign w:val="center"/>
          </w:tcPr>
          <w:p w14:paraId="1068FF79">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rightChars="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年</w:t>
            </w: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月</w:t>
            </w:r>
          </w:p>
        </w:tc>
        <w:tc>
          <w:tcPr>
            <w:tcW w:w="1328" w:type="pct"/>
            <w:vAlign w:val="center"/>
          </w:tcPr>
          <w:p w14:paraId="5B39EB11">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1.……</w:t>
            </w:r>
          </w:p>
          <w:p w14:paraId="6CC256F2">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2.……</w:t>
            </w:r>
          </w:p>
          <w:p w14:paraId="63157B2A">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rightChars="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3.……</w:t>
            </w:r>
          </w:p>
        </w:tc>
        <w:tc>
          <w:tcPr>
            <w:tcW w:w="1271" w:type="pct"/>
            <w:vAlign w:val="center"/>
          </w:tcPr>
          <w:p w14:paraId="44D0718D">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388" w:type="pct"/>
            <w:vAlign w:val="center"/>
          </w:tcPr>
          <w:p w14:paraId="4F548B44">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410" w:type="pct"/>
            <w:vAlign w:val="center"/>
          </w:tcPr>
          <w:p w14:paraId="1D11C9CB">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r>
      <w:tr w14:paraId="0D114077">
        <w:trPr>
          <w:trHeight w:val="542" w:hRule="atLeast"/>
        </w:trPr>
        <w:tc>
          <w:tcPr>
            <w:tcW w:w="738" w:type="pct"/>
            <w:vAlign w:val="center"/>
          </w:tcPr>
          <w:p w14:paraId="4078716B">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en-US" w:bidi="ar-SA"/>
              </w:rPr>
            </w:pPr>
            <w:r>
              <w:rPr>
                <w:rFonts w:hint="eastAsia" w:ascii="仿宋_GB2312" w:hAnsi="仿宋_GB2312" w:eastAsia="仿宋_GB2312" w:cs="仿宋_GB2312"/>
                <w:color w:val="000000"/>
                <w:w w:val="100"/>
                <w:kern w:val="0"/>
                <w:sz w:val="28"/>
                <w:szCs w:val="28"/>
                <w:lang w:val="en-US" w:eastAsia="en-US" w:bidi="ar-SA"/>
              </w:rPr>
              <w:t>……</w:t>
            </w:r>
          </w:p>
        </w:tc>
        <w:tc>
          <w:tcPr>
            <w:tcW w:w="864" w:type="pct"/>
            <w:vAlign w:val="center"/>
          </w:tcPr>
          <w:p w14:paraId="01880A2B">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1328" w:type="pct"/>
            <w:vAlign w:val="center"/>
          </w:tcPr>
          <w:p w14:paraId="1F7B2C8E">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1271" w:type="pct"/>
            <w:vAlign w:val="center"/>
          </w:tcPr>
          <w:p w14:paraId="699D6E16">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388" w:type="pct"/>
            <w:vAlign w:val="center"/>
          </w:tcPr>
          <w:p w14:paraId="3D761C03">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410" w:type="pct"/>
            <w:vAlign w:val="center"/>
          </w:tcPr>
          <w:p w14:paraId="469A39A4">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r>
    </w:tbl>
    <w:p w14:paraId="48AAB0F5">
      <w:pPr>
        <w:bidi w:val="0"/>
        <w:rPr>
          <w:rFonts w:hint="default"/>
          <w:lang w:val="en-US" w:eastAsia="zh-CN"/>
        </w:rPr>
      </w:pPr>
    </w:p>
    <w:bookmarkEnd w:id="9"/>
    <w:p w14:paraId="2C0C5AF1">
      <w:pPr>
        <w:adjustRightInd w:val="0"/>
        <w:snapToGrid w:val="0"/>
        <w:spacing w:line="360" w:lineRule="auto"/>
        <w:outlineLvl w:val="0"/>
        <w:rPr>
          <w:rFonts w:hint="default" w:eastAsia="黑体"/>
          <w:sz w:val="32"/>
          <w:szCs w:val="32"/>
          <w:lang w:val="en-US" w:eastAsia="zh-CN"/>
        </w:rPr>
      </w:pPr>
      <w:bookmarkStart w:id="10" w:name="_Toc172321782"/>
      <w:r>
        <w:rPr>
          <w:rFonts w:hint="eastAsia" w:eastAsia="黑体"/>
          <w:sz w:val="32"/>
          <w:szCs w:val="32"/>
          <w:lang w:val="en-US" w:eastAsia="zh-CN"/>
        </w:rPr>
        <w:t>四</w:t>
      </w:r>
      <w:r>
        <w:rPr>
          <w:rFonts w:eastAsia="黑体"/>
          <w:sz w:val="32"/>
          <w:szCs w:val="32"/>
        </w:rPr>
        <w:t>、研究</w:t>
      </w:r>
      <w:r>
        <w:rPr>
          <w:rFonts w:hint="eastAsia" w:eastAsia="黑体"/>
          <w:sz w:val="32"/>
          <w:szCs w:val="32"/>
          <w:lang w:val="en-US" w:eastAsia="zh-CN"/>
        </w:rPr>
        <w:t>实施</w:t>
      </w:r>
      <w:r>
        <w:rPr>
          <w:rFonts w:eastAsia="黑体"/>
          <w:sz w:val="32"/>
          <w:szCs w:val="32"/>
        </w:rPr>
        <w:t>方案</w:t>
      </w:r>
      <w:bookmarkEnd w:id="10"/>
    </w:p>
    <w:p w14:paraId="5788C75F">
      <w:pPr>
        <w:adjustRightInd w:val="0"/>
        <w:snapToGrid w:val="0"/>
        <w:spacing w:line="360" w:lineRule="auto"/>
        <w:ind w:firstLine="572" w:firstLineChars="200"/>
        <w:outlineLvl w:val="1"/>
        <w:rPr>
          <w:rFonts w:eastAsia="楷体_GB2312"/>
          <w:szCs w:val="28"/>
          <w:lang w:val="zh-CN"/>
        </w:rPr>
      </w:pPr>
      <w:bookmarkStart w:id="11" w:name="_Toc172321783"/>
      <w:r>
        <w:rPr>
          <w:rFonts w:eastAsia="楷体_GB2312"/>
          <w:szCs w:val="28"/>
          <w:lang w:val="zh-CN"/>
        </w:rPr>
        <w:t>（一）技术路线</w:t>
      </w:r>
      <w:bookmarkEnd w:id="11"/>
    </w:p>
    <w:p w14:paraId="6D9FC3DB">
      <w:pPr>
        <w:adjustRightInd w:val="0"/>
        <w:snapToGrid w:val="0"/>
        <w:spacing w:line="360" w:lineRule="auto"/>
        <w:ind w:firstLine="572" w:firstLineChars="200"/>
        <w:outlineLvl w:val="1"/>
        <w:rPr>
          <w:rFonts w:hint="eastAsia" w:eastAsia="楷体_GB2312"/>
          <w:szCs w:val="28"/>
          <w:lang w:val="en-US" w:eastAsia="zh-CN"/>
        </w:rPr>
      </w:pPr>
      <w:r>
        <w:rPr>
          <w:rFonts w:hint="eastAsia" w:eastAsia="楷体_GB2312"/>
          <w:szCs w:val="28"/>
          <w:lang w:val="en-US" w:eastAsia="zh-CN"/>
        </w:rPr>
        <w:t>主要阐述：项目的</w:t>
      </w:r>
      <w:r>
        <w:rPr>
          <w:rFonts w:eastAsia="楷体_GB2312"/>
          <w:szCs w:val="28"/>
          <w:lang w:val="zh-CN"/>
        </w:rPr>
        <w:t>核心科学技术问题</w:t>
      </w:r>
      <w:r>
        <w:rPr>
          <w:rFonts w:hint="eastAsia" w:eastAsia="楷体_GB2312"/>
          <w:szCs w:val="28"/>
          <w:lang w:val="zh-CN"/>
        </w:rPr>
        <w:t>、</w:t>
      </w:r>
      <w:r>
        <w:rPr>
          <w:rFonts w:eastAsia="楷体_GB2312"/>
          <w:szCs w:val="28"/>
          <w:lang w:val="zh-CN"/>
        </w:rPr>
        <w:t>创新点</w:t>
      </w:r>
      <w:r>
        <w:rPr>
          <w:rFonts w:hint="eastAsia" w:eastAsia="楷体_GB2312"/>
          <w:szCs w:val="28"/>
          <w:lang w:val="en-US" w:eastAsia="zh-CN"/>
        </w:rPr>
        <w:t>等</w:t>
      </w:r>
    </w:p>
    <w:p w14:paraId="582F88C7">
      <w:pPr>
        <w:pStyle w:val="2"/>
        <w:ind w:firstLine="420" w:firstLineChars="0"/>
        <w:rPr>
          <w:rFonts w:hint="eastAsia"/>
          <w:b/>
          <w:bCs/>
          <w:lang w:val="en-US" w:eastAsia="zh-CN"/>
        </w:rPr>
      </w:pPr>
      <w:r>
        <w:rPr>
          <w:rFonts w:hint="eastAsia"/>
          <w:b/>
          <w:bCs/>
          <w:lang w:val="en-US" w:eastAsia="zh-CN"/>
        </w:rPr>
        <w:t>研究内容一：超宽带超线性基带信号处理技术</w:t>
      </w:r>
    </w:p>
    <w:p w14:paraId="3615D8AF">
      <w:pPr>
        <w:pStyle w:val="2"/>
        <w:numPr>
          <w:ilvl w:val="0"/>
          <w:numId w:val="11"/>
        </w:numPr>
        <w:tabs>
          <w:tab w:val="clear" w:pos="420"/>
        </w:tabs>
        <w:ind w:left="845" w:leftChars="0" w:hanging="425" w:firstLineChars="0"/>
        <w:rPr>
          <w:rFonts w:hint="eastAsia"/>
          <w:b/>
          <w:bCs/>
          <w:lang w:val="en-US" w:eastAsia="zh-CN"/>
        </w:rPr>
      </w:pPr>
      <w:r>
        <w:rPr>
          <w:rFonts w:hint="eastAsia"/>
          <w:b/>
          <w:bCs/>
          <w:lang w:val="en-US" w:eastAsia="zh-CN"/>
        </w:rPr>
        <w:t>发端预失真处理</w:t>
      </w:r>
    </w:p>
    <w:p w14:paraId="215BDA04">
      <w:pPr>
        <w:pStyle w:val="2"/>
        <w:numPr>
          <w:ilvl w:val="0"/>
          <w:numId w:val="0"/>
        </w:numPr>
        <w:ind w:left="420" w:leftChars="0"/>
        <w:jc w:val="center"/>
      </w:pPr>
      <w:r>
        <w:drawing>
          <wp:inline distT="0" distB="0" distL="114300" distR="114300">
            <wp:extent cx="3911600" cy="3557270"/>
            <wp:effectExtent l="0" t="0" r="0" b="2413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9" cstate="print">
                      <a:extLst>
                        <a:ext uri="{28A0092B-C50C-407E-A947-70E740481C1C}">
                          <a14:useLocalDpi xmlns:a14="http://schemas.microsoft.com/office/drawing/2010/main" val="0"/>
                        </a:ext>
                      </a:extLst>
                    </a:blip>
                    <a:srcRect l="40012"/>
                    <a:stretch>
                      <a:fillRect/>
                    </a:stretch>
                  </pic:blipFill>
                  <pic:spPr>
                    <a:xfrm>
                      <a:off x="0" y="0"/>
                      <a:ext cx="3911600" cy="3557270"/>
                    </a:xfrm>
                    <a:prstGeom prst="rect">
                      <a:avLst/>
                    </a:prstGeom>
                  </pic:spPr>
                </pic:pic>
              </a:graphicData>
            </a:graphic>
          </wp:inline>
        </w:drawing>
      </w:r>
    </w:p>
    <w:p w14:paraId="269B3498">
      <w:pPr>
        <w:pStyle w:val="2"/>
        <w:numPr>
          <w:ilvl w:val="0"/>
          <w:numId w:val="0"/>
        </w:numPr>
        <w:ind w:left="420" w:leftChars="0"/>
        <w:jc w:val="center"/>
        <w:rPr>
          <w:rFonts w:hint="default" w:eastAsia="仿宋_GB2312"/>
          <w:lang w:val="en-US" w:eastAsia="zh-CN"/>
        </w:rPr>
      </w:pPr>
      <w:r>
        <w:rPr>
          <w:rFonts w:hint="eastAsia"/>
          <w:lang w:val="en-US" w:eastAsia="zh-CN"/>
        </w:rPr>
        <w:t>图1:预失真处理</w:t>
      </w:r>
    </w:p>
    <w:p w14:paraId="624046BC">
      <w:pPr>
        <w:pStyle w:val="2"/>
        <w:numPr>
          <w:ilvl w:val="0"/>
          <w:numId w:val="0"/>
        </w:numPr>
        <w:ind w:left="420" w:leftChars="0" w:firstLine="420" w:firstLineChars="0"/>
        <w:jc w:val="both"/>
        <w:rPr>
          <w:rFonts w:hint="eastAsia"/>
          <w:lang w:val="en-US" w:eastAsia="zh-CN"/>
        </w:rPr>
      </w:pPr>
      <w:r>
        <w:rPr>
          <w:rFonts w:hint="eastAsia"/>
          <w:lang w:val="en-US" w:eastAsia="zh-CN"/>
        </w:rPr>
        <w:t>为有效抑制无线通信发射链路中功率放大器（PA）及射频前端的非线性失真问题，提升信号传输质量与系统能效，本项目围绕“发端预失真处理技术”展开深入研究，旨在构建具备高精度、低复杂度、强鲁棒性的数字预失真（Digital Pre-Distortion, DPD）方案，适配未来宽带、多载波、高频段、多制式等复杂通信场景。</w:t>
      </w:r>
    </w:p>
    <w:p w14:paraId="662FB5BA">
      <w:pPr>
        <w:pStyle w:val="2"/>
        <w:numPr>
          <w:ilvl w:val="0"/>
          <w:numId w:val="12"/>
        </w:numPr>
        <w:tabs>
          <w:tab w:val="clear" w:pos="0"/>
        </w:tabs>
        <w:ind w:left="845" w:leftChars="0" w:hanging="425" w:firstLineChars="0"/>
        <w:jc w:val="both"/>
        <w:rPr>
          <w:rFonts w:hint="eastAsia"/>
          <w:lang w:val="en-US" w:eastAsia="zh-CN"/>
        </w:rPr>
      </w:pPr>
      <w:r>
        <w:rPr>
          <w:rFonts w:hint="eastAsia"/>
          <w:b/>
          <w:bCs/>
          <w:lang w:val="en-US" w:eastAsia="zh-CN"/>
        </w:rPr>
        <w:t>非线性建模</w:t>
      </w:r>
    </w:p>
    <w:p w14:paraId="74EE6571">
      <w:pPr>
        <w:pStyle w:val="2"/>
        <w:numPr>
          <w:ilvl w:val="0"/>
          <w:numId w:val="0"/>
        </w:numPr>
        <w:ind w:left="420" w:leftChars="0" w:firstLine="420" w:firstLineChars="0"/>
        <w:jc w:val="both"/>
        <w:rPr>
          <w:rFonts w:hint="eastAsia"/>
          <w:lang w:val="en-US" w:eastAsia="zh-CN"/>
        </w:rPr>
      </w:pPr>
      <w:r>
        <w:rPr>
          <w:rFonts w:hint="eastAsia"/>
          <w:lang w:val="en-US" w:eastAsia="zh-CN"/>
        </w:rPr>
        <w:t>针对PA等射频前端在高功率工作状态下易产生的非线性失真（包括幅度压缩、相位旋转、交调失真、记忆效应等），通过理论分析与仿真实验相结合，系统梳理不同工作模式下的非线性特征与建模需求。采用广义记忆多项式（GMP）、Volterra 系列、多通路并联模型等经典数学模型，并结合机器学习方法（如深度神经网络、RNN等）对非线性特征进行拟合与抽象，建立面向宽带信号、复杂场景的精准逆向建模体系。</w:t>
      </w:r>
    </w:p>
    <w:p w14:paraId="71374F08">
      <w:pPr>
        <w:pStyle w:val="2"/>
        <w:numPr>
          <w:ilvl w:val="0"/>
          <w:numId w:val="13"/>
        </w:numPr>
        <w:tabs>
          <w:tab w:val="clear" w:pos="420"/>
        </w:tabs>
        <w:ind w:left="840" w:leftChars="0" w:hanging="420" w:firstLineChars="0"/>
        <w:jc w:val="both"/>
        <w:rPr>
          <w:rFonts w:hint="default"/>
          <w:lang w:val="en-US" w:eastAsia="zh-CN"/>
        </w:rPr>
      </w:pPr>
      <w:r>
        <w:rPr>
          <w:rFonts w:hint="eastAsia"/>
          <w:b/>
          <w:bCs/>
          <w:lang w:val="en-US" w:eastAsia="zh-CN"/>
        </w:rPr>
        <w:t>预失真算法设计</w:t>
      </w:r>
    </w:p>
    <w:p w14:paraId="2E636729">
      <w:pPr>
        <w:pStyle w:val="2"/>
        <w:numPr>
          <w:ilvl w:val="0"/>
          <w:numId w:val="0"/>
        </w:numPr>
        <w:ind w:left="420" w:leftChars="0" w:firstLine="420" w:firstLineChars="0"/>
        <w:jc w:val="both"/>
        <w:rPr>
          <w:rFonts w:hint="eastAsia"/>
          <w:lang w:val="en-US" w:eastAsia="zh-CN"/>
        </w:rPr>
      </w:pPr>
      <w:r>
        <w:rPr>
          <w:rFonts w:hint="eastAsia"/>
          <w:lang w:val="en-US" w:eastAsia="zh-CN"/>
        </w:rPr>
        <w:t>基于上述建模结果，设计结构灵活、精度可调的预失真补偿算法。研究结合信号特征的稀疏性与可分解性，构建稀疏映射、子带分解、分布式学习等优化策略，显著降低模型参数量与计算复杂度。同时，考虑到通信终端资源受限，探索轻量化预失真模型（如压缩感知思想、低秩近似等），确保算法具备实时性与硬件可实现性。研究基于频谱掩盖与误差向量幅度（EVM）联合优化的损失函数设计，提升预失真效果在不同业务模式下的鲁棒性。</w:t>
      </w:r>
    </w:p>
    <w:p w14:paraId="6A21DBEC">
      <w:pPr>
        <w:pStyle w:val="2"/>
        <w:numPr>
          <w:ilvl w:val="0"/>
          <w:numId w:val="14"/>
        </w:numPr>
        <w:tabs>
          <w:tab w:val="clear" w:pos="420"/>
        </w:tabs>
        <w:ind w:left="840" w:leftChars="0" w:hanging="420" w:firstLineChars="0"/>
        <w:jc w:val="both"/>
        <w:rPr>
          <w:rFonts w:hint="eastAsia"/>
          <w:lang w:val="en-US" w:eastAsia="zh-CN"/>
        </w:rPr>
      </w:pPr>
      <w:r>
        <w:rPr>
          <w:rFonts w:hint="eastAsia"/>
          <w:b/>
          <w:bCs/>
          <w:lang w:val="en-US" w:eastAsia="zh-CN"/>
        </w:rPr>
        <w:t>自适应更新机制</w:t>
      </w:r>
    </w:p>
    <w:p w14:paraId="3EBD4D35">
      <w:pPr>
        <w:pStyle w:val="2"/>
        <w:numPr>
          <w:ilvl w:val="0"/>
          <w:numId w:val="0"/>
        </w:numPr>
        <w:ind w:left="420" w:leftChars="0" w:firstLine="420" w:firstLineChars="0"/>
        <w:jc w:val="both"/>
        <w:rPr>
          <w:rFonts w:hint="eastAsia"/>
          <w:lang w:val="en-US" w:eastAsia="zh-CN"/>
        </w:rPr>
      </w:pPr>
      <w:r>
        <w:rPr>
          <w:rFonts w:hint="eastAsia"/>
          <w:lang w:val="en-US" w:eastAsia="zh-CN"/>
        </w:rPr>
        <w:t>通过采集发射输出与理想基带信号，构建误差信号驱动的自适应更新框架，研究LMS、RLS、深度强化学习等算法在动态调整预失真参数中的适应性与收敛性，提升系统对功放老化、环境变化等动态因素的长期稳定补偿能力。</w:t>
      </w:r>
    </w:p>
    <w:p w14:paraId="6B0088C4">
      <w:pPr>
        <w:pStyle w:val="2"/>
        <w:numPr>
          <w:ilvl w:val="0"/>
          <w:numId w:val="11"/>
        </w:numPr>
        <w:tabs>
          <w:tab w:val="clear" w:pos="420"/>
        </w:tabs>
        <w:ind w:left="845" w:leftChars="0" w:hanging="425" w:firstLineChars="0"/>
        <w:rPr>
          <w:rFonts w:hint="default"/>
          <w:b/>
          <w:bCs/>
          <w:lang w:val="en-US" w:eastAsia="zh-CN"/>
        </w:rPr>
      </w:pPr>
      <w:r>
        <w:rPr>
          <w:rFonts w:hint="eastAsia"/>
          <w:b/>
          <w:bCs/>
          <w:lang w:val="en-US" w:eastAsia="zh-CN"/>
        </w:rPr>
        <w:t>收端非线性建模</w:t>
      </w:r>
    </w:p>
    <w:p w14:paraId="2E732DBB">
      <w:pPr>
        <w:pStyle w:val="2"/>
        <w:numPr>
          <w:ilvl w:val="0"/>
          <w:numId w:val="0"/>
        </w:numPr>
        <w:ind w:left="420" w:leftChars="0"/>
        <w:jc w:val="center"/>
      </w:pPr>
      <w:r>
        <w:drawing>
          <wp:inline distT="0" distB="0" distL="114300" distR="114300">
            <wp:extent cx="5392420" cy="2747645"/>
            <wp:effectExtent l="0" t="0" r="17780" b="2095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2420" cy="2747645"/>
                    </a:xfrm>
                    <a:prstGeom prst="rect">
                      <a:avLst/>
                    </a:prstGeom>
                  </pic:spPr>
                </pic:pic>
              </a:graphicData>
            </a:graphic>
          </wp:inline>
        </w:drawing>
      </w:r>
    </w:p>
    <w:p w14:paraId="1BC765D2">
      <w:pPr>
        <w:pStyle w:val="2"/>
        <w:numPr>
          <w:ilvl w:val="0"/>
          <w:numId w:val="0"/>
        </w:numPr>
        <w:ind w:left="420" w:leftChars="0"/>
        <w:jc w:val="center"/>
        <w:rPr>
          <w:rFonts w:hint="default" w:eastAsia="仿宋_GB2312"/>
          <w:lang w:val="en-US" w:eastAsia="zh-CN"/>
        </w:rPr>
      </w:pPr>
      <w:r>
        <w:rPr>
          <w:rFonts w:hint="eastAsia"/>
          <w:lang w:val="en-US" w:eastAsia="zh-CN"/>
        </w:rPr>
        <w:t>图2:非线性均衡</w:t>
      </w:r>
    </w:p>
    <w:p w14:paraId="30171421">
      <w:pPr>
        <w:pStyle w:val="2"/>
        <w:numPr>
          <w:ilvl w:val="0"/>
          <w:numId w:val="0"/>
        </w:numPr>
        <w:ind w:left="420" w:leftChars="0" w:firstLine="420" w:firstLineChars="0"/>
        <w:jc w:val="both"/>
        <w:rPr>
          <w:rFonts w:hint="eastAsia"/>
          <w:lang w:val="en-US" w:eastAsia="zh-CN"/>
        </w:rPr>
      </w:pPr>
      <w:r>
        <w:rPr>
          <w:rFonts w:hint="eastAsia"/>
          <w:lang w:val="en-US" w:eastAsia="zh-CN"/>
        </w:rPr>
        <w:t>为提升无线通信系统在复杂信道、硬件非理想等环境下的鲁棒性与信号恢复精度，本项目聚焦于“收端非线性建模技术”，旨在建立精确刻画接收链路中非线性畸变特征的数学与数据驱动模型，结合先进补偿算法，提升信号解调准确率与系统整体性能。技术路线分为非线性失真分析、建模方法设计、联合均衡补偿、软硬协同优化四个阶段展开。</w:t>
      </w:r>
    </w:p>
    <w:p w14:paraId="37FC5F0D">
      <w:pPr>
        <w:pStyle w:val="2"/>
        <w:numPr>
          <w:ilvl w:val="0"/>
          <w:numId w:val="15"/>
        </w:numPr>
        <w:ind w:left="840" w:leftChars="0" w:hanging="420" w:firstLineChars="0"/>
        <w:jc w:val="both"/>
        <w:rPr>
          <w:rFonts w:hint="eastAsia"/>
          <w:lang w:val="en-US" w:eastAsia="zh-CN"/>
        </w:rPr>
      </w:pPr>
      <w:r>
        <w:rPr>
          <w:rFonts w:hint="eastAsia"/>
          <w:b/>
          <w:bCs/>
          <w:lang w:val="en-US" w:eastAsia="zh-CN"/>
        </w:rPr>
        <w:t>非线性失真分析</w:t>
      </w:r>
    </w:p>
    <w:p w14:paraId="541CBC07">
      <w:pPr>
        <w:pStyle w:val="2"/>
        <w:numPr>
          <w:ilvl w:val="0"/>
          <w:numId w:val="0"/>
        </w:numPr>
        <w:ind w:left="420" w:leftChars="0" w:firstLine="420" w:firstLineChars="0"/>
        <w:jc w:val="both"/>
        <w:rPr>
          <w:rFonts w:hint="eastAsia"/>
          <w:lang w:val="en-US" w:eastAsia="zh-CN"/>
        </w:rPr>
      </w:pPr>
      <w:r>
        <w:rPr>
          <w:rFonts w:hint="eastAsia"/>
          <w:lang w:val="en-US" w:eastAsia="zh-CN"/>
        </w:rPr>
        <w:t>系统分析接收链路中的非线性失真源，包括射频前端（如低噪声放大器LNA的饱和、混频器交调、ADC量化饱和等）与信道本身的非线性影响（如器件非理想、强干扰引入的非线性效应等）。结合实际硬件测试数据与仿真平台，研究不同失真源对通信信号在时域、频域、星座图等特征维度的具体影响，提取关键非线性特征，为后续建模提供依据。</w:t>
      </w:r>
    </w:p>
    <w:p w14:paraId="487693AE">
      <w:pPr>
        <w:pStyle w:val="2"/>
        <w:numPr>
          <w:ilvl w:val="0"/>
          <w:numId w:val="15"/>
        </w:numPr>
        <w:ind w:left="840" w:leftChars="0" w:hanging="420" w:firstLineChars="0"/>
        <w:jc w:val="both"/>
        <w:rPr>
          <w:rFonts w:hint="eastAsia"/>
          <w:lang w:val="en-US" w:eastAsia="zh-CN"/>
        </w:rPr>
      </w:pPr>
      <w:r>
        <w:rPr>
          <w:rFonts w:hint="eastAsia"/>
          <w:b/>
          <w:bCs/>
          <w:lang w:val="en-US" w:eastAsia="zh-CN"/>
        </w:rPr>
        <w:t>建模方法设计</w:t>
      </w:r>
    </w:p>
    <w:p w14:paraId="125579FB">
      <w:pPr>
        <w:pStyle w:val="2"/>
        <w:numPr>
          <w:ilvl w:val="0"/>
          <w:numId w:val="0"/>
        </w:numPr>
        <w:ind w:left="420" w:leftChars="0" w:firstLine="420" w:firstLineChars="0"/>
        <w:jc w:val="both"/>
        <w:rPr>
          <w:rFonts w:hint="eastAsia"/>
          <w:lang w:val="en-US" w:eastAsia="zh-CN"/>
        </w:rPr>
      </w:pPr>
      <w:r>
        <w:rPr>
          <w:rFonts w:hint="eastAsia"/>
          <w:lang w:val="en-US" w:eastAsia="zh-CN"/>
        </w:rPr>
        <w:t>面向上述特征，设计多层级、可拓展的非线性建模方法。研究基于Volterra序列、记忆多项式、极值理论等数学建模方法，构建物理可解释的白盒模型，提升对常见失真模式的描述能力。同时，结合机器学习与数据驱动方法（如深度神经网络、Transformer、图神经网络GNN等），构建黑盒或灰盒模型，适应更复杂、动态、多域耦合的失真特征，提升建模精度与泛化性。设计融合物理模型先验与数据学习能力的混合建模框架，形成覆盖多场景、多制式的通用性模型体系。</w:t>
      </w:r>
    </w:p>
    <w:p w14:paraId="0D7493EE">
      <w:pPr>
        <w:pStyle w:val="2"/>
        <w:numPr>
          <w:ilvl w:val="0"/>
          <w:numId w:val="15"/>
        </w:numPr>
        <w:ind w:left="840" w:leftChars="0" w:hanging="420" w:firstLineChars="0"/>
        <w:jc w:val="both"/>
        <w:rPr>
          <w:rFonts w:hint="eastAsia"/>
          <w:lang w:val="en-US" w:eastAsia="zh-CN"/>
        </w:rPr>
      </w:pPr>
      <w:r>
        <w:rPr>
          <w:rFonts w:hint="eastAsia"/>
          <w:b/>
          <w:bCs/>
          <w:lang w:val="en-US" w:eastAsia="zh-CN"/>
        </w:rPr>
        <w:t>联合均衡补偿</w:t>
      </w:r>
    </w:p>
    <w:p w14:paraId="067127EA">
      <w:pPr>
        <w:pStyle w:val="2"/>
        <w:numPr>
          <w:ilvl w:val="0"/>
          <w:numId w:val="0"/>
        </w:numPr>
        <w:ind w:left="420" w:leftChars="0" w:firstLine="420" w:firstLineChars="0"/>
        <w:jc w:val="both"/>
        <w:rPr>
          <w:rFonts w:hint="eastAsia"/>
          <w:lang w:val="en-US" w:eastAsia="zh-CN"/>
        </w:rPr>
      </w:pPr>
      <w:r>
        <w:rPr>
          <w:rFonts w:hint="eastAsia"/>
          <w:lang w:val="en-US" w:eastAsia="zh-CN"/>
        </w:rPr>
        <w:t>研究基于非线性建模结果的联合均衡与补偿机制。结合经典均衡算法（ZF、MMSE）与数据驱动模型，构建级联式或端到端联合补偿架构，分别或协同消除线性失真（多径、频偏）与非线性畸变（互调、幅相失真），提升误码率（BER）、误差向量幅度（EVM）等核心指标。同时，探索基于神经网络的端到端鲁棒接收机设计，实现从失真建模到信号恢复的一体化优化。</w:t>
      </w:r>
    </w:p>
    <w:p w14:paraId="5F4D4C33">
      <w:pPr>
        <w:pStyle w:val="2"/>
        <w:ind w:firstLine="420" w:firstLineChars="0"/>
        <w:rPr>
          <w:rFonts w:hint="eastAsia"/>
          <w:b/>
          <w:bCs/>
          <w:lang w:val="en-US" w:eastAsia="zh-CN"/>
        </w:rPr>
      </w:pPr>
      <w:r>
        <w:rPr>
          <w:rFonts w:hint="eastAsia"/>
          <w:b/>
          <w:bCs/>
          <w:lang w:val="en-US" w:eastAsia="zh-CN"/>
        </w:rPr>
        <w:t>研究内容二：轻量化空口AI模型软硬件协同</w:t>
      </w:r>
    </w:p>
    <w:p w14:paraId="60E3C59A">
      <w:pPr>
        <w:pStyle w:val="2"/>
        <w:numPr>
          <w:ilvl w:val="0"/>
          <w:numId w:val="16"/>
        </w:numPr>
        <w:ind w:left="845" w:leftChars="0" w:hanging="425" w:firstLineChars="0"/>
        <w:rPr>
          <w:rFonts w:hint="eastAsia"/>
          <w:b/>
          <w:bCs/>
          <w:lang w:val="en-US" w:eastAsia="zh-CN"/>
        </w:rPr>
      </w:pPr>
      <w:r>
        <w:rPr>
          <w:rFonts w:hint="eastAsia"/>
          <w:b/>
          <w:bCs/>
          <w:lang w:val="en-US" w:eastAsia="zh-CN"/>
        </w:rPr>
        <w:t>模型稀疏化剪枝</w:t>
      </w:r>
    </w:p>
    <w:p w14:paraId="1DA767BD">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本项目拟围绕通信领域神经网络在端侧部署的实际需求，研究并设计一套适应通信数据特性与任务需求的模型稀疏剪枝技术路线，以降低模型冗余，提高运算效率与能效比，支撑端侧低算力设备的落地应用。技术路线总体分为四个步骤推进：稀疏性建模、重要性评估、剪枝策略设计、硬件友好化实现。</w:t>
      </w:r>
    </w:p>
    <w:p w14:paraId="365AAE71">
      <w:pPr>
        <w:pStyle w:val="2"/>
        <w:numPr>
          <w:ilvl w:val="0"/>
          <w:numId w:val="17"/>
        </w:numPr>
        <w:ind w:left="840" w:leftChars="0" w:hanging="420" w:firstLineChars="0"/>
        <w:rPr>
          <w:rFonts w:hint="eastAsia"/>
          <w:b/>
          <w:bCs/>
          <w:lang w:val="en-US" w:eastAsia="zh-CN"/>
        </w:rPr>
      </w:pPr>
      <w:r>
        <w:rPr>
          <w:rFonts w:hint="eastAsia"/>
          <w:b/>
          <w:bCs/>
          <w:lang w:val="en-US" w:eastAsia="zh-CN"/>
        </w:rPr>
        <w:t>通信任务驱动的稀疏性建模</w:t>
      </w:r>
    </w:p>
    <w:p w14:paraId="016E0990">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与传统视觉、语言领域不同，通信领域模型通常涉及信道状态信息（CSI）、频域矩阵等高度结构化数据，其模型参数冗余不仅存在于通用层（如卷积、全连接），更体现在天线维、时频维、多通道特征冗余。因此，首先构建符合通信领域特性的稀疏性假设模型，包括通道层稀疏、频域稀疏、天线维稀疏等多维结构化稀疏视角，明确剪枝的对象与结构性。</w:t>
      </w:r>
    </w:p>
    <w:p w14:paraId="6B4BE826">
      <w:pPr>
        <w:pStyle w:val="2"/>
        <w:numPr>
          <w:ilvl w:val="0"/>
          <w:numId w:val="17"/>
        </w:numPr>
        <w:ind w:left="840" w:leftChars="0" w:hanging="420" w:firstLineChars="0"/>
        <w:rPr>
          <w:rFonts w:hint="eastAsia"/>
          <w:b/>
          <w:bCs/>
          <w:lang w:val="en-US" w:eastAsia="zh-CN"/>
        </w:rPr>
      </w:pPr>
      <w:r>
        <w:rPr>
          <w:rFonts w:hint="eastAsia"/>
          <w:b/>
          <w:bCs/>
          <w:lang w:val="en-US" w:eastAsia="zh-CN"/>
        </w:rPr>
        <w:t>重要性评估机制设计</w:t>
      </w:r>
    </w:p>
    <w:p w14:paraId="495C6C62">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基于上述稀疏性假设，进一步研究模型中不同参数的重要性量化方法。结合通信任务（如误码率 BER、容量、速率）对精度与鲁棒性要求，设计基于梯度敏感度、权重幅值、激活贡献的综合评分机制，识别低贡献冗余结构，建立剪枝优先级。同时，结合动态训练过程中的稀疏性诱导正则化（如 L1、Group Lasso），逐步显化可剪枝区域。</w:t>
      </w:r>
    </w:p>
    <w:p w14:paraId="6F3EFCD5">
      <w:pPr>
        <w:pStyle w:val="2"/>
        <w:numPr>
          <w:ilvl w:val="0"/>
          <w:numId w:val="17"/>
        </w:numPr>
        <w:ind w:left="840" w:leftChars="0" w:hanging="420" w:firstLineChars="0"/>
        <w:rPr>
          <w:rFonts w:hint="eastAsia"/>
          <w:b/>
          <w:bCs/>
          <w:lang w:val="en-US" w:eastAsia="zh-CN"/>
        </w:rPr>
      </w:pPr>
      <w:r>
        <w:rPr>
          <w:rFonts w:hint="eastAsia"/>
          <w:b/>
          <w:bCs/>
          <w:lang w:val="en-US" w:eastAsia="zh-CN"/>
        </w:rPr>
        <w:t>剪枝策略与训练机制</w:t>
      </w:r>
    </w:p>
    <w:p w14:paraId="59EF7181">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设计基于结构化稀疏的分阶段剪枝方案，包括通道剪枝（Channel Pruning）、核剪枝（Kernel Pruning）、块剪枝（Block Pruning）等多粒度方法，按模块、层级、任务敏感性差异灵活选择策略。在剪枝过程中，采用“剪枝-微调-再剪枝”的迭代式训练策略，通过逐步压缩与细粒度恢复，减少一次性剪枝带来的性能突变问题。同时，结合知识蒸馏辅助训练，利用原模型作为教师，指导剪枝后模型保留有效表征能力，降低性能损失。</w:t>
      </w:r>
    </w:p>
    <w:p w14:paraId="5D92134C">
      <w:pPr>
        <w:pStyle w:val="2"/>
        <w:numPr>
          <w:ilvl w:val="0"/>
          <w:numId w:val="17"/>
        </w:numPr>
        <w:ind w:left="840" w:leftChars="0" w:hanging="420" w:firstLineChars="0"/>
        <w:rPr>
          <w:rFonts w:hint="eastAsia"/>
          <w:b/>
          <w:bCs/>
          <w:lang w:val="en-US" w:eastAsia="zh-CN"/>
        </w:rPr>
      </w:pPr>
      <w:r>
        <w:rPr>
          <w:rFonts w:hint="eastAsia"/>
          <w:b/>
          <w:bCs/>
          <w:lang w:val="en-US" w:eastAsia="zh-CN"/>
        </w:rPr>
        <w:t>硬件友好化稀疏实现</w:t>
      </w:r>
    </w:p>
    <w:p w14:paraId="4E4EA31C">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为确保剪枝效果可转化为实际端侧部署收益，研究结合 NPU、FPGA 硬件架构的稀疏张量映射方法，优化稀疏算子（如稀疏 GEMM、稀疏 CONV）在硬件上的并行调度与访存机制，提升稀疏性利用率与计算加速效果。最终形成“结构稀疏—算子稀疏—硬件优化”一体化闭环方案，显著降低模型体积、算力消耗与功耗，支撑端侧实时部署需求。</w:t>
      </w:r>
    </w:p>
    <w:p w14:paraId="46AD7D2C">
      <w:pPr>
        <w:pStyle w:val="2"/>
        <w:numPr>
          <w:ilvl w:val="0"/>
          <w:numId w:val="16"/>
        </w:numPr>
        <w:ind w:left="845" w:leftChars="0" w:hanging="425" w:firstLineChars="0"/>
        <w:rPr>
          <w:rFonts w:hint="eastAsia"/>
          <w:b/>
          <w:bCs/>
          <w:lang w:val="en-US" w:eastAsia="zh-CN"/>
        </w:rPr>
      </w:pPr>
      <w:r>
        <w:rPr>
          <w:rFonts w:hint="eastAsia"/>
          <w:b/>
          <w:bCs/>
          <w:lang w:val="en-US" w:eastAsia="zh-CN"/>
        </w:rPr>
        <w:t>低比特精度量化</w:t>
      </w:r>
    </w:p>
    <w:p w14:paraId="3E3AB65C">
      <w:pPr>
        <w:pStyle w:val="2"/>
        <w:numPr>
          <w:ilvl w:val="0"/>
          <w:numId w:val="18"/>
        </w:numPr>
        <w:ind w:left="840" w:leftChars="0" w:hanging="420" w:firstLineChars="0"/>
        <w:rPr>
          <w:rFonts w:hint="eastAsia"/>
          <w:b w:val="0"/>
          <w:bCs w:val="0"/>
          <w:lang w:val="en-US" w:eastAsia="zh-CN"/>
        </w:rPr>
      </w:pPr>
      <w:r>
        <w:rPr>
          <w:rFonts w:hint="eastAsia"/>
          <w:b/>
          <w:bCs/>
          <w:lang w:val="en-US" w:eastAsia="zh-CN"/>
        </w:rPr>
        <w:t>通信数据量化表征研究</w:t>
      </w:r>
    </w:p>
    <w:p w14:paraId="3D3C180C">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通信领域数据通常包含复数信号、CSI 矩阵、频域特征等，与 CV/NLP 数据截然不同，存在实虚分离、相位敏感等特点。研究拟构建复数信号专用的量化表示机制，探索实部虚部分离与共享动态区间的方法，避免统一量化带来的失真。此外，研究多尺度数据（天线、频率、时间维）下的统一尺度映射策略，提升数据压缩一致性。</w:t>
      </w:r>
    </w:p>
    <w:p w14:paraId="2CC13EC3">
      <w:pPr>
        <w:pStyle w:val="2"/>
        <w:numPr>
          <w:ilvl w:val="0"/>
          <w:numId w:val="18"/>
        </w:numPr>
        <w:ind w:left="840" w:leftChars="0" w:hanging="420" w:firstLineChars="0"/>
        <w:rPr>
          <w:rFonts w:hint="eastAsia"/>
          <w:b/>
          <w:bCs/>
          <w:lang w:val="en-US" w:eastAsia="zh-CN"/>
        </w:rPr>
      </w:pPr>
      <w:r>
        <w:rPr>
          <w:rFonts w:hint="eastAsia"/>
          <w:b/>
          <w:bCs/>
          <w:lang w:val="en-US" w:eastAsia="zh-CN"/>
        </w:rPr>
        <w:t>多策略量化方法设计</w:t>
      </w:r>
    </w:p>
    <w:p w14:paraId="6B6D3A64">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结合通信任务对鲁棒性与精度需求，设计对称、非对称混合的定点量化框架（如 INT8、INT4），研究感知任务特性的动态区间调整策略，提升不同信道环境下模型鲁棒性。进一步探索混合精度量化方案，按层级、模块、任务重要性动态分配比特宽度，形成通信任务感知的多级量化策略。重点研究 BatchNorm、Attention 等特殊结构的量化适配方法，保障压缩后模型推理一致性。</w:t>
      </w:r>
    </w:p>
    <w:p w14:paraId="0A5FB6C2">
      <w:pPr>
        <w:pStyle w:val="2"/>
        <w:numPr>
          <w:ilvl w:val="0"/>
          <w:numId w:val="18"/>
        </w:numPr>
        <w:ind w:left="840" w:leftChars="0" w:hanging="420" w:firstLineChars="0"/>
        <w:rPr>
          <w:rFonts w:hint="eastAsia"/>
          <w:b/>
          <w:bCs/>
          <w:lang w:val="en-US" w:eastAsia="zh-CN"/>
        </w:rPr>
      </w:pPr>
      <w:r>
        <w:rPr>
          <w:rFonts w:hint="eastAsia"/>
          <w:b/>
          <w:bCs/>
          <w:lang w:val="en-US" w:eastAsia="zh-CN"/>
        </w:rPr>
        <w:t>训练优化机制</w:t>
      </w:r>
    </w:p>
    <w:p w14:paraId="7EEC34A0">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基于感知量化（QAT）与后训练量化（PTQ）结合的思路，构建量化友好训练框架。通过引入量化噪声模拟、伪量化算子、软量化策略，使模型在训练阶段提前适应低比特约束。同时结合知识蒸馏，利用高精度模型辅助指导低比特模型保持表征能力。探索通信特定的误码率（BER）、容量等感知损失函数，提升量化模型的任务鲁棒性。</w:t>
      </w:r>
    </w:p>
    <w:p w14:paraId="3E43B352">
      <w:pPr>
        <w:pStyle w:val="2"/>
        <w:numPr>
          <w:ilvl w:val="0"/>
          <w:numId w:val="18"/>
        </w:numPr>
        <w:ind w:left="840" w:leftChars="0" w:hanging="420" w:firstLineChars="0"/>
        <w:rPr>
          <w:rFonts w:hint="eastAsia"/>
          <w:b/>
          <w:bCs/>
          <w:lang w:val="en-US" w:eastAsia="zh-CN"/>
        </w:rPr>
      </w:pPr>
      <w:r>
        <w:rPr>
          <w:rFonts w:hint="eastAsia"/>
          <w:b/>
          <w:bCs/>
          <w:lang w:val="en-US" w:eastAsia="zh-CN"/>
        </w:rPr>
        <w:t>硬件部署优化</w:t>
      </w:r>
    </w:p>
    <w:p w14:paraId="7C65E7FD">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结合端侧 NPU/FPGA 硬件，研究量化张量的数据对齐、访存优化、算子映射等底层实现，开发面向稀疏-量化联合优化的算子库，提升算力利用率。最终形成一套适用于通信任务、可直接落地的低比特量化模型设计与部署方法，显著降低模型体积、功耗与推理延迟，支撑端侧智能通信需求。</w:t>
      </w:r>
    </w:p>
    <w:p w14:paraId="34E49DFC">
      <w:pPr>
        <w:pStyle w:val="2"/>
        <w:numPr>
          <w:ilvl w:val="0"/>
          <w:numId w:val="16"/>
        </w:numPr>
        <w:ind w:left="845" w:leftChars="0" w:hanging="425" w:firstLineChars="0"/>
        <w:rPr>
          <w:rFonts w:hint="eastAsia"/>
          <w:b/>
          <w:bCs/>
          <w:lang w:val="en-US" w:eastAsia="zh-CN"/>
        </w:rPr>
      </w:pPr>
      <w:r>
        <w:rPr>
          <w:rFonts w:hint="eastAsia"/>
          <w:b/>
          <w:bCs/>
          <w:lang w:val="en-US" w:eastAsia="zh-CN"/>
        </w:rPr>
        <w:t>教师学生模型蒸馏</w:t>
      </w:r>
    </w:p>
    <w:p w14:paraId="6C757408">
      <w:pPr>
        <w:pStyle w:val="2"/>
        <w:numPr>
          <w:ilvl w:val="0"/>
          <w:numId w:val="19"/>
        </w:numPr>
        <w:ind w:left="840" w:leftChars="0" w:hanging="420" w:firstLineChars="0"/>
        <w:rPr>
          <w:rFonts w:hint="eastAsia"/>
          <w:b w:val="0"/>
          <w:bCs w:val="0"/>
          <w:lang w:val="en-US" w:eastAsia="zh-CN"/>
        </w:rPr>
      </w:pPr>
      <w:r>
        <w:rPr>
          <w:rFonts w:hint="eastAsia"/>
          <w:b/>
          <w:bCs/>
          <w:lang w:val="en-US" w:eastAsia="zh-CN"/>
        </w:rPr>
        <w:t>教师模型构建与知识挖掘</w:t>
      </w:r>
    </w:p>
    <w:p w14:paraId="5526ACA7">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基于大规模、多制式、多场景通信数据，训练高精度、大规模的教师模型，具备全面的信道感知与特征表征能力。重点挖掘中间层特征、时频特征、CSI 空间相关性等隐含信息，明确作为学生模型学习的知识载体，包括输出分布（Soft Targets）、隐层特征（Feature Maps）、注意力权重（Attention Maps）等多维度知识表示。</w:t>
      </w:r>
    </w:p>
    <w:p w14:paraId="5E84C05B">
      <w:pPr>
        <w:pStyle w:val="2"/>
        <w:numPr>
          <w:ilvl w:val="0"/>
          <w:numId w:val="19"/>
        </w:numPr>
        <w:ind w:left="840" w:leftChars="0" w:hanging="420" w:firstLineChars="0"/>
        <w:rPr>
          <w:rFonts w:hint="eastAsia"/>
          <w:b/>
          <w:bCs/>
          <w:lang w:val="en-US" w:eastAsia="zh-CN"/>
        </w:rPr>
      </w:pPr>
      <w:r>
        <w:rPr>
          <w:rFonts w:hint="eastAsia"/>
          <w:b/>
          <w:bCs/>
          <w:lang w:val="en-US" w:eastAsia="zh-CN"/>
        </w:rPr>
        <w:t>蒸馏机制设计</w:t>
      </w:r>
    </w:p>
    <w:p w14:paraId="361BE444">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研究结合通信特性的多域蒸馏策略，包括频域-时域双域对齐、物理特征与统计特征协同学习等，构建深层特征蒸馏、多尺度信息传递机制。设计温度调节、多目标对齐、多教师融合等策略，提升蒸馏效果在不同信道、不同业务任务下的鲁棒性。探索从 BER、容量等通信指标反向约束蒸馏过程，确保轻量模型保留关键通信性能。</w:t>
      </w:r>
    </w:p>
    <w:p w14:paraId="742BFFE1">
      <w:pPr>
        <w:pStyle w:val="2"/>
        <w:numPr>
          <w:ilvl w:val="0"/>
          <w:numId w:val="19"/>
        </w:numPr>
        <w:ind w:left="840" w:leftChars="0" w:hanging="420" w:firstLineChars="0"/>
        <w:rPr>
          <w:rFonts w:hint="eastAsia"/>
          <w:b w:val="0"/>
          <w:bCs w:val="0"/>
          <w:lang w:val="en-US" w:eastAsia="zh-CN"/>
        </w:rPr>
      </w:pPr>
      <w:r>
        <w:rPr>
          <w:rFonts w:hint="eastAsia"/>
          <w:b/>
          <w:bCs/>
          <w:lang w:val="en-US" w:eastAsia="zh-CN"/>
        </w:rPr>
        <w:t>多任务联合蒸馏优化</w:t>
      </w:r>
    </w:p>
    <w:p w14:paraId="3AFA1D0F">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结合信道建模、CSI 压缩、波束赋形、信号检测等多任务，设计联合蒸馏框架，通过共享特征蒸馏、任务特定蒸馏协同提升模型整体泛化能力，减少不同任务间冲突与偏移。同时，结合剪枝、量化形成协同优化路径，使轻量模型在稀疏、低比特条件下仍具备原任务适应性与鲁棒性。</w:t>
      </w:r>
    </w:p>
    <w:p w14:paraId="750D3E44">
      <w:pPr>
        <w:pStyle w:val="2"/>
        <w:numPr>
          <w:ilvl w:val="0"/>
          <w:numId w:val="20"/>
        </w:numPr>
        <w:ind w:left="840" w:leftChars="0" w:hanging="420" w:firstLineChars="0"/>
        <w:rPr>
          <w:rFonts w:hint="eastAsia"/>
          <w:b w:val="0"/>
          <w:bCs w:val="0"/>
          <w:lang w:val="en-US" w:eastAsia="zh-CN"/>
        </w:rPr>
      </w:pPr>
      <w:r>
        <w:rPr>
          <w:rFonts w:hint="eastAsia"/>
          <w:b/>
          <w:bCs/>
          <w:lang w:val="en-US" w:eastAsia="zh-CN"/>
        </w:rPr>
        <w:t>鲁棒性提升与硬件适配</w:t>
      </w:r>
    </w:p>
    <w:p w14:paraId="3FAC214B">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研究结合信道动态性、环境变化的自适应蒸馏机制，提升模型面对未见场景的泛化能力与稳健性。结合端侧推理需求，优化蒸馏后模型结构，提升算子并行性、减少推理开销，确保最终模型在低算力环境下稳定运行，支撑智能通信系统实时性与可靠性需求。</w:t>
      </w:r>
    </w:p>
    <w:p w14:paraId="2BB26A46">
      <w:pPr>
        <w:pStyle w:val="2"/>
        <w:numPr>
          <w:ilvl w:val="0"/>
          <w:numId w:val="16"/>
        </w:numPr>
        <w:ind w:left="845" w:leftChars="0" w:hanging="425" w:firstLineChars="0"/>
        <w:rPr>
          <w:rFonts w:hint="default"/>
          <w:b/>
          <w:bCs/>
          <w:lang w:val="en-US" w:eastAsia="zh-CN"/>
        </w:rPr>
      </w:pPr>
      <w:r>
        <w:rPr>
          <w:rFonts w:hint="eastAsia"/>
          <w:b/>
          <w:bCs/>
          <w:lang w:val="en-US" w:eastAsia="zh-CN"/>
        </w:rPr>
        <w:t>低秩分解</w:t>
      </w:r>
    </w:p>
    <w:p w14:paraId="5BACED32">
      <w:pPr>
        <w:pStyle w:val="2"/>
        <w:numPr>
          <w:ilvl w:val="0"/>
          <w:numId w:val="21"/>
        </w:numPr>
        <w:ind w:left="840" w:leftChars="0" w:hanging="420" w:firstLineChars="0"/>
        <w:rPr>
          <w:rFonts w:hint="default"/>
          <w:b w:val="0"/>
          <w:bCs w:val="0"/>
          <w:lang w:val="en-US" w:eastAsia="zh-CN"/>
        </w:rPr>
      </w:pPr>
      <w:r>
        <w:rPr>
          <w:rFonts w:hint="default"/>
          <w:b/>
          <w:bCs/>
          <w:lang w:val="en-US" w:eastAsia="zh-CN"/>
        </w:rPr>
        <w:t>低秩性建模与分析</w:t>
      </w:r>
    </w:p>
    <w:p w14:paraId="5F68AF6A">
      <w:pPr>
        <w:pStyle w:val="2"/>
        <w:numPr>
          <w:ilvl w:val="0"/>
          <w:numId w:val="0"/>
        </w:numPr>
        <w:ind w:left="420" w:leftChars="0" w:firstLine="420" w:firstLineChars="0"/>
        <w:rPr>
          <w:rFonts w:hint="default"/>
          <w:b w:val="0"/>
          <w:bCs w:val="0"/>
          <w:lang w:val="en-US" w:eastAsia="zh-CN"/>
        </w:rPr>
      </w:pPr>
      <w:r>
        <w:rPr>
          <w:rFonts w:hint="default"/>
          <w:b w:val="0"/>
          <w:bCs w:val="0"/>
          <w:lang w:val="en-US" w:eastAsia="zh-CN"/>
        </w:rPr>
        <w:t>基于通信神经网络的典型结构，分析其权重矩阵（卷积核、全连接层）与特征张量的秩特性，识别存在冗余的高秩区域。结合信道特性（如空时相关性、频域平稳性），构建数学先验模型，明确不同层级（输入、隐藏、输出）的压缩潜力与目标秩估计，形成多层次、分区域的低秩性剖析框架。</w:t>
      </w:r>
    </w:p>
    <w:p w14:paraId="6D194657">
      <w:pPr>
        <w:pStyle w:val="2"/>
        <w:numPr>
          <w:ilvl w:val="0"/>
          <w:numId w:val="22"/>
        </w:numPr>
        <w:ind w:left="840" w:leftChars="0" w:hanging="420" w:firstLineChars="0"/>
        <w:rPr>
          <w:rFonts w:hint="default"/>
          <w:b w:val="0"/>
          <w:bCs w:val="0"/>
          <w:lang w:val="en-US" w:eastAsia="zh-CN"/>
        </w:rPr>
      </w:pPr>
      <w:r>
        <w:rPr>
          <w:rFonts w:hint="default"/>
          <w:b/>
          <w:bCs/>
          <w:lang w:val="en-US" w:eastAsia="zh-CN"/>
        </w:rPr>
        <w:t>分解方法设计与优化</w:t>
      </w:r>
    </w:p>
    <w:p w14:paraId="5180A1FA">
      <w:pPr>
        <w:pStyle w:val="2"/>
        <w:numPr>
          <w:ilvl w:val="0"/>
          <w:numId w:val="0"/>
        </w:numPr>
        <w:ind w:left="420" w:leftChars="0" w:firstLine="420" w:firstLineChars="0"/>
        <w:rPr>
          <w:rFonts w:hint="default"/>
          <w:b w:val="0"/>
          <w:bCs w:val="0"/>
          <w:lang w:val="en-US" w:eastAsia="zh-CN"/>
        </w:rPr>
      </w:pPr>
      <w:r>
        <w:rPr>
          <w:rFonts w:hint="default"/>
          <w:b w:val="0"/>
          <w:bCs w:val="0"/>
          <w:lang w:val="en-US" w:eastAsia="zh-CN"/>
        </w:rPr>
        <w:t>基于奇异值分解（SVD）、Tucker 分解、CP 分解等张量分解方法，设计适配通信任务的权重重构方案。结合结构稀疏性与硬件友好性，研究分块矩阵、子空间分解策略，构建分解后稀疏-低秩联合结构。进一步结合训练动态调整，设计渐进式低秩重构机制，避免一次性降秩带来的性能退化。</w:t>
      </w:r>
    </w:p>
    <w:p w14:paraId="066D6F3C">
      <w:pPr>
        <w:pStyle w:val="2"/>
        <w:numPr>
          <w:ilvl w:val="0"/>
          <w:numId w:val="23"/>
        </w:numPr>
        <w:ind w:left="840" w:leftChars="0" w:hanging="420" w:firstLineChars="0"/>
        <w:rPr>
          <w:rFonts w:hint="default"/>
          <w:b w:val="0"/>
          <w:bCs w:val="0"/>
          <w:lang w:val="en-US" w:eastAsia="zh-CN"/>
        </w:rPr>
      </w:pPr>
      <w:r>
        <w:rPr>
          <w:rFonts w:hint="default"/>
          <w:b/>
          <w:bCs/>
          <w:lang w:val="en-US" w:eastAsia="zh-CN"/>
        </w:rPr>
        <w:t>训练优化机制</w:t>
      </w:r>
    </w:p>
    <w:p w14:paraId="0C43B5D0">
      <w:pPr>
        <w:pStyle w:val="2"/>
        <w:numPr>
          <w:ilvl w:val="0"/>
          <w:numId w:val="0"/>
        </w:numPr>
        <w:ind w:left="420" w:leftChars="0" w:firstLine="420" w:firstLineChars="0"/>
        <w:rPr>
          <w:rFonts w:hint="default"/>
          <w:b w:val="0"/>
          <w:bCs w:val="0"/>
          <w:lang w:val="en-US" w:eastAsia="zh-CN"/>
        </w:rPr>
      </w:pPr>
      <w:r>
        <w:rPr>
          <w:rFonts w:hint="default"/>
          <w:b w:val="0"/>
          <w:bCs w:val="0"/>
          <w:lang w:val="en-US" w:eastAsia="zh-CN"/>
        </w:rPr>
        <w:t>结合端到端任务需求，设计低秩正则化约束、鲁棒优化机制，通过训练中动态调整秩分布与误差补偿，保障压缩模型在 CSI 预测、检测等任务下的准确性。研究误差反馈机制、多阶段微调，减少分解过程对通信任务指标的负面影响，提升低秩模型鲁棒性与泛化能力。</w:t>
      </w:r>
    </w:p>
    <w:p w14:paraId="015C0198">
      <w:pPr>
        <w:pStyle w:val="2"/>
        <w:numPr>
          <w:ilvl w:val="0"/>
          <w:numId w:val="23"/>
        </w:numPr>
        <w:ind w:left="840" w:leftChars="0" w:hanging="420" w:firstLineChars="0"/>
        <w:rPr>
          <w:rFonts w:hint="default"/>
          <w:b w:val="0"/>
          <w:bCs w:val="0"/>
          <w:lang w:val="en-US" w:eastAsia="zh-CN"/>
        </w:rPr>
      </w:pPr>
      <w:r>
        <w:rPr>
          <w:rFonts w:hint="default"/>
          <w:b/>
          <w:bCs/>
          <w:lang w:val="en-US" w:eastAsia="zh-CN"/>
        </w:rPr>
        <w:t>硬件映射与部署实现</w:t>
      </w:r>
    </w:p>
    <w:p w14:paraId="1D0BF29E">
      <w:pPr>
        <w:pStyle w:val="2"/>
        <w:numPr>
          <w:ilvl w:val="0"/>
          <w:numId w:val="0"/>
        </w:numPr>
        <w:ind w:left="420" w:leftChars="0" w:firstLine="420" w:firstLineChars="0"/>
        <w:rPr>
          <w:rFonts w:hint="default"/>
          <w:b w:val="0"/>
          <w:bCs w:val="0"/>
          <w:lang w:val="en-US" w:eastAsia="zh-CN"/>
        </w:rPr>
      </w:pPr>
      <w:r>
        <w:rPr>
          <w:rFonts w:hint="default"/>
          <w:b w:val="0"/>
          <w:bCs w:val="0"/>
          <w:lang w:val="en-US" w:eastAsia="zh-CN"/>
        </w:rPr>
        <w:t>结合 NPU/FPGA 平台，研究张量分解结果的高效映射方法，包括重构张量缓存、矩阵乘法优化、并行调度机制，提升低秩模型在硬件上的实际加速效果。最终形成从模型设计到硬件部署的闭环优化体系，支撑低秩模型在端侧高效运行，满足通信系统实时性与能效比需求。</w:t>
      </w:r>
    </w:p>
    <w:p w14:paraId="6238D502">
      <w:pPr>
        <w:pStyle w:val="2"/>
        <w:ind w:firstLine="420" w:firstLineChars="0"/>
        <w:rPr>
          <w:rFonts w:hint="eastAsia"/>
          <w:b/>
          <w:bCs/>
          <w:lang w:val="en-US" w:eastAsia="zh-CN"/>
        </w:rPr>
      </w:pPr>
      <w:r>
        <w:rPr>
          <w:rFonts w:hint="eastAsia"/>
          <w:b/>
          <w:bCs/>
          <w:lang w:val="en-US" w:eastAsia="zh-CN"/>
        </w:rPr>
        <w:t>研究内容三：端侧NPU全链路技术</w:t>
      </w:r>
    </w:p>
    <w:p w14:paraId="14D7F790">
      <w:pPr>
        <w:pStyle w:val="2"/>
        <w:numPr>
          <w:ilvl w:val="0"/>
          <w:numId w:val="24"/>
        </w:numPr>
        <w:ind w:left="845" w:leftChars="0" w:hanging="425" w:firstLineChars="0"/>
        <w:rPr>
          <w:rFonts w:hint="eastAsia"/>
          <w:b/>
          <w:bCs/>
          <w:lang w:val="en-US" w:eastAsia="zh-CN"/>
        </w:rPr>
      </w:pPr>
      <w:r>
        <w:rPr>
          <w:rFonts w:hint="eastAsia"/>
          <w:b/>
          <w:bCs/>
          <w:lang w:val="en-US" w:eastAsia="zh-CN"/>
        </w:rPr>
        <w:t>基于数据流的ASIC方案</w:t>
      </w:r>
    </w:p>
    <w:p w14:paraId="3BAC78AB">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针对未来通信 AI 在端侧对实时性、能效比的极致需求，本项目拟构建基于数据流驱动的 ASIC 专用硬件方案，重点解决传统存储主导型计算架构对通信 AI 数据流转效率不足、能效不高的问题。技术路线围绕通信 AI 算子的计算图与数据流特征，系统设计具备强鲁棒性、高并行性与灵活性的硬件架构。</w:t>
      </w:r>
    </w:p>
    <w:p w14:paraId="4293F2A7">
      <w:pPr>
        <w:pStyle w:val="2"/>
        <w:numPr>
          <w:ilvl w:val="0"/>
          <w:numId w:val="25"/>
        </w:numPr>
        <w:ind w:left="840" w:leftChars="0" w:hanging="420" w:firstLineChars="0"/>
        <w:rPr>
          <w:rFonts w:hint="eastAsia"/>
          <w:b w:val="0"/>
          <w:bCs w:val="0"/>
          <w:lang w:val="en-US" w:eastAsia="zh-CN"/>
        </w:rPr>
      </w:pPr>
      <w:r>
        <w:rPr>
          <w:rFonts w:hint="eastAsia"/>
          <w:b/>
          <w:bCs/>
          <w:lang w:val="en-US" w:eastAsia="zh-CN"/>
        </w:rPr>
        <w:t>通信 AI 数据流建模与分析</w:t>
      </w:r>
    </w:p>
    <w:p w14:paraId="5AA52A55">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结合通信 AI 模型（如信道估计、波束赋形、信号检测等）的张量特征，系统梳理模型数据流动路径与依赖关系，抽象跨时频域、天线域、子载波等数据的复用模式与稀疏特征。基于数据流驱动方法，建立计算图调度模型，明确数据切片粒度、节点间同步关系与复用策略，形成面向物理实现可落地的设计蓝图。</w:t>
      </w:r>
    </w:p>
    <w:p w14:paraId="46A87D2B">
      <w:pPr>
        <w:pStyle w:val="2"/>
        <w:numPr>
          <w:ilvl w:val="0"/>
          <w:numId w:val="26"/>
        </w:numPr>
        <w:ind w:left="840" w:leftChars="0" w:hanging="420" w:firstLineChars="0"/>
        <w:rPr>
          <w:rFonts w:hint="eastAsia"/>
          <w:b w:val="0"/>
          <w:bCs w:val="0"/>
          <w:lang w:val="en-US" w:eastAsia="zh-CN"/>
        </w:rPr>
      </w:pPr>
      <w:r>
        <w:rPr>
          <w:rFonts w:hint="eastAsia"/>
          <w:b/>
          <w:bCs/>
          <w:lang w:val="en-US" w:eastAsia="zh-CN"/>
        </w:rPr>
        <w:t>数据流导向的架构设计</w:t>
      </w:r>
    </w:p>
    <w:p w14:paraId="576B1760">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围绕数据流连续性、局部性，设计片上高效数据流驱动计算单元（如张量乘法阵列、稀疏矩阵引擎、FFT 加速模块），构建支持高度流水、跨层调度的硬件架构，结合多核并行、多片协同设计方法，提升吞吐与能效比。片上互联采用高带宽、低延迟的网络拓扑（如Mesh/NoC），优化跨算子、跨模块数据流转，减少访存冗余与延迟。</w:t>
      </w:r>
    </w:p>
    <w:p w14:paraId="73D72730">
      <w:pPr>
        <w:pStyle w:val="2"/>
        <w:numPr>
          <w:ilvl w:val="0"/>
          <w:numId w:val="27"/>
        </w:numPr>
        <w:ind w:left="840" w:leftChars="0" w:hanging="420" w:firstLineChars="0"/>
        <w:rPr>
          <w:rFonts w:hint="eastAsia"/>
          <w:b w:val="0"/>
          <w:bCs w:val="0"/>
          <w:lang w:val="en-US" w:eastAsia="zh-CN"/>
        </w:rPr>
      </w:pPr>
      <w:r>
        <w:rPr>
          <w:rFonts w:hint="eastAsia"/>
          <w:b/>
          <w:bCs/>
          <w:lang w:val="en-US" w:eastAsia="zh-CN"/>
        </w:rPr>
        <w:t>数据流感知的可重配置机制</w:t>
      </w:r>
    </w:p>
    <w:p w14:paraId="1B1DB972">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针对通信多场景、多业务动态变化特性，设计支持任务调度、数据路由、算子映射灵活切换的数据流调度机制，提升架构对模型版本演进与不同场景（MIMO、多制式、动态频谱）的适应能力，形成具备长期生命力的可持续架构基础。</w:t>
      </w:r>
    </w:p>
    <w:p w14:paraId="22BF9867">
      <w:pPr>
        <w:pStyle w:val="2"/>
        <w:numPr>
          <w:ilvl w:val="0"/>
          <w:numId w:val="28"/>
        </w:numPr>
        <w:ind w:left="840" w:leftChars="0" w:hanging="420" w:firstLineChars="0"/>
        <w:rPr>
          <w:rFonts w:hint="eastAsia"/>
          <w:b/>
          <w:bCs/>
          <w:lang w:val="en-US" w:eastAsia="zh-CN"/>
        </w:rPr>
      </w:pPr>
      <w:r>
        <w:rPr>
          <w:rFonts w:hint="eastAsia"/>
          <w:b/>
          <w:bCs/>
          <w:lang w:val="en-US" w:eastAsia="zh-CN"/>
        </w:rPr>
        <w:t>物理设计与能效优化</w:t>
      </w:r>
    </w:p>
    <w:p w14:paraId="260D7703">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结合上述数据流架构特性，开展布图规划、功耗建模、时序分析等低功耗设计技术研究，优化数据通路长度、缓冲分布、能效管控机制，确保在面积、功耗、时序等层面具备实际可行性。最终形成支持通信 AI 全场景应用的专用 ASIC 方案，显著提升吞吐、降低功耗，满足未来 6G 等高能效通信系统对智能计算的需求。</w:t>
      </w:r>
    </w:p>
    <w:p w14:paraId="69D37987">
      <w:pPr>
        <w:pStyle w:val="2"/>
        <w:numPr>
          <w:ilvl w:val="0"/>
          <w:numId w:val="24"/>
        </w:numPr>
        <w:ind w:left="845" w:leftChars="0" w:hanging="425" w:firstLineChars="0"/>
        <w:rPr>
          <w:rFonts w:hint="eastAsia"/>
          <w:b/>
          <w:bCs/>
          <w:lang w:val="en-US" w:eastAsia="zh-CN"/>
        </w:rPr>
      </w:pPr>
      <w:r>
        <w:rPr>
          <w:rFonts w:hint="eastAsia"/>
          <w:b/>
          <w:bCs/>
          <w:lang w:val="en-US" w:eastAsia="zh-CN"/>
        </w:rPr>
        <w:t>Future</w:t>
      </w:r>
      <w:r>
        <w:rPr>
          <w:rFonts w:hint="default"/>
          <w:b/>
          <w:bCs/>
          <w:lang w:val="en-US" w:eastAsia="zh-CN"/>
        </w:rPr>
        <w:t>-Proof</w:t>
      </w:r>
      <w:r>
        <w:rPr>
          <w:rFonts w:hint="eastAsia"/>
          <w:b/>
          <w:bCs/>
          <w:lang w:val="en-US" w:eastAsia="zh-CN"/>
        </w:rPr>
        <w:t>的算子完备</w:t>
      </w:r>
    </w:p>
    <w:p w14:paraId="5280FD4F">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面向未来通信 AI 模型多样化、不断演进的特点，本项目设计具备 Future-Proof 能力的算子完备体系，确保硬件平台长期兼容性与扩展性，降低未来模型变迁带来的硬件更新成本。该路线围绕通信 AI 任务所需算子全生命周期管理展开，涵盖算子归纳标准化、类型扩展、模板参数化、软硬一体化适配等核心方向。</w:t>
      </w:r>
    </w:p>
    <w:p w14:paraId="3D3C1AFE">
      <w:pPr>
        <w:pStyle w:val="2"/>
        <w:numPr>
          <w:ilvl w:val="0"/>
          <w:numId w:val="0"/>
        </w:numPr>
        <w:ind w:left="420" w:leftChars="0" w:firstLine="420" w:firstLineChars="0"/>
        <w:jc w:val="center"/>
      </w:pPr>
      <w:r>
        <w:drawing>
          <wp:inline distT="0" distB="0" distL="114300" distR="114300">
            <wp:extent cx="5127625" cy="3157220"/>
            <wp:effectExtent l="0" t="0" r="3175" b="17780"/>
            <wp:docPr id="6" name="图片 5" descr="Future-Proof算子完备.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Future-Proof算子完备.drawio"/>
                    <pic:cNvPicPr>
                      <a:picLocks noChangeAspect="1"/>
                    </pic:cNvPicPr>
                  </pic:nvPicPr>
                  <pic:blipFill>
                    <a:blip r:embed="rId11"/>
                    <a:stretch>
                      <a:fillRect/>
                    </a:stretch>
                  </pic:blipFill>
                  <pic:spPr>
                    <a:xfrm>
                      <a:off x="0" y="0"/>
                      <a:ext cx="5127625" cy="3157220"/>
                    </a:xfrm>
                    <a:prstGeom prst="rect">
                      <a:avLst/>
                    </a:prstGeom>
                  </pic:spPr>
                </pic:pic>
              </a:graphicData>
            </a:graphic>
          </wp:inline>
        </w:drawing>
      </w:r>
    </w:p>
    <w:p w14:paraId="2E07D6A7">
      <w:pPr>
        <w:pStyle w:val="2"/>
        <w:numPr>
          <w:ilvl w:val="0"/>
          <w:numId w:val="0"/>
        </w:numPr>
        <w:ind w:left="420" w:leftChars="0" w:firstLine="420" w:firstLineChars="0"/>
        <w:jc w:val="center"/>
        <w:rPr>
          <w:rFonts w:hint="default" w:eastAsia="仿宋_GB2312"/>
          <w:lang w:val="en-US" w:eastAsia="zh-CN"/>
        </w:rPr>
      </w:pPr>
      <w:r>
        <w:rPr>
          <w:rFonts w:hint="eastAsia"/>
          <w:lang w:val="en-US" w:eastAsia="zh-CN"/>
        </w:rPr>
        <w:t>图3：算子完备</w:t>
      </w:r>
    </w:p>
    <w:p w14:paraId="332ED607">
      <w:pPr>
        <w:pStyle w:val="2"/>
        <w:numPr>
          <w:ilvl w:val="0"/>
          <w:numId w:val="29"/>
        </w:numPr>
        <w:ind w:left="840" w:leftChars="0" w:hanging="420" w:firstLineChars="0"/>
        <w:rPr>
          <w:rFonts w:hint="eastAsia"/>
          <w:b w:val="0"/>
          <w:bCs w:val="0"/>
          <w:lang w:val="en-US" w:eastAsia="zh-CN"/>
        </w:rPr>
      </w:pPr>
      <w:r>
        <w:rPr>
          <w:rFonts w:hint="eastAsia"/>
          <w:b/>
          <w:bCs/>
          <w:lang w:val="en-US" w:eastAsia="zh-CN"/>
        </w:rPr>
        <w:t>空口 AI 核心算子梳理与标准化抽象</w:t>
      </w:r>
    </w:p>
    <w:p w14:paraId="75CDD0C5">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系统梳理包括信道估计、CSI 压缩、波束赋形、信号检测等任务所涉及的通用基础算子（矩阵乘、FFT、复数运算）与领域特异性算子（稀疏变换、空时协同处理等），制定统一接口规范、数据类型规范（支持复数、定浮混合）、计算精度标准，构建全面覆盖通信空口 AI 基础需求的算子库体系。</w:t>
      </w:r>
    </w:p>
    <w:p w14:paraId="7E1C0AC9">
      <w:pPr>
        <w:pStyle w:val="2"/>
        <w:numPr>
          <w:ilvl w:val="0"/>
          <w:numId w:val="30"/>
        </w:numPr>
        <w:ind w:left="840" w:leftChars="0" w:hanging="420" w:firstLineChars="0"/>
        <w:rPr>
          <w:rFonts w:hint="eastAsia"/>
          <w:b w:val="0"/>
          <w:bCs w:val="0"/>
          <w:lang w:val="en-US" w:eastAsia="zh-CN"/>
        </w:rPr>
      </w:pPr>
      <w:r>
        <w:rPr>
          <w:rFonts w:hint="eastAsia"/>
          <w:b/>
          <w:bCs/>
          <w:lang w:val="en-US" w:eastAsia="zh-CN"/>
        </w:rPr>
        <w:t>算子类型扩展与融合机制设计</w:t>
      </w:r>
    </w:p>
    <w:p w14:paraId="25F2D11D">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基于基础算子（Dense、Sparse、FFT）、高阶算子（Attention、MLP）抽象融合方法，设计面向未来 AI 模型快速扩展的算子组合与重构机制，支持通用算子灵活组合为新型算子，减少因新模型产生的硬件瓶颈。构建模块化、参数化算子模板，提供比特宽度、张量维度、多输入输出等灵活配置，适配不同模型特征。</w:t>
      </w:r>
    </w:p>
    <w:p w14:paraId="523E7DE4">
      <w:pPr>
        <w:pStyle w:val="2"/>
        <w:numPr>
          <w:ilvl w:val="0"/>
          <w:numId w:val="30"/>
        </w:numPr>
        <w:ind w:left="840" w:leftChars="0" w:hanging="420" w:firstLineChars="0"/>
        <w:rPr>
          <w:rFonts w:hint="eastAsia"/>
          <w:b/>
          <w:bCs/>
          <w:lang w:val="en-US" w:eastAsia="zh-CN"/>
        </w:rPr>
      </w:pPr>
      <w:r>
        <w:rPr>
          <w:rFonts w:hint="eastAsia"/>
          <w:b/>
          <w:bCs/>
          <w:lang w:val="en-US" w:eastAsia="zh-CN"/>
        </w:rPr>
        <w:t>跨模型、多任务算子参数抽象与标准适配</w:t>
      </w:r>
    </w:p>
    <w:p w14:paraId="7F02EBEA">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研究不同模型下算子共性与差异性，设计可统一映射的接口标准，形成通用化的算子调用规范与调度策略，保障未来不同模型、不同任务对现有硬件的长期兼容。结合硬件架构，建立算子级版本演进机制，预留扩展空间，支撑未来算法发展需求。</w:t>
      </w:r>
    </w:p>
    <w:p w14:paraId="38C16212">
      <w:pPr>
        <w:pStyle w:val="2"/>
        <w:numPr>
          <w:ilvl w:val="0"/>
          <w:numId w:val="30"/>
        </w:numPr>
        <w:ind w:left="840" w:leftChars="0" w:hanging="420" w:firstLineChars="0"/>
        <w:rPr>
          <w:rFonts w:hint="eastAsia"/>
          <w:b/>
          <w:bCs/>
          <w:lang w:val="en-US" w:eastAsia="zh-CN"/>
        </w:rPr>
      </w:pPr>
      <w:r>
        <w:rPr>
          <w:rFonts w:hint="eastAsia"/>
          <w:b/>
          <w:bCs/>
          <w:lang w:val="en-US" w:eastAsia="zh-CN"/>
        </w:rPr>
        <w:t>软硬一体化可拓展性机制</w:t>
      </w:r>
    </w:p>
    <w:p w14:paraId="33CA83CC">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设计支持新算子快速集成的软硬件协同机制，形成算子迭代—映射更新—硬件适配闭环，降低后续开发与维护成本，支撑硬件架构长期演进与生态可持续发展。</w:t>
      </w:r>
    </w:p>
    <w:p w14:paraId="4EC6CEB9">
      <w:pPr>
        <w:pStyle w:val="2"/>
        <w:numPr>
          <w:ilvl w:val="0"/>
          <w:numId w:val="24"/>
        </w:numPr>
        <w:ind w:left="845" w:leftChars="0" w:hanging="425" w:firstLineChars="0"/>
        <w:rPr>
          <w:rFonts w:hint="eastAsia"/>
          <w:b/>
          <w:bCs/>
          <w:lang w:val="en-US" w:eastAsia="zh-CN"/>
        </w:rPr>
      </w:pPr>
      <w:r>
        <w:rPr>
          <w:rFonts w:hint="eastAsia"/>
          <w:b/>
          <w:bCs/>
          <w:lang w:val="en-US" w:eastAsia="zh-CN"/>
        </w:rPr>
        <w:t>先进的架构和微架构设计</w:t>
      </w:r>
    </w:p>
    <w:p w14:paraId="506FFDC3">
      <w:pPr>
        <w:pStyle w:val="2"/>
        <w:numPr>
          <w:ilvl w:val="0"/>
          <w:numId w:val="0"/>
        </w:numPr>
        <w:ind w:left="420" w:leftChars="0"/>
        <w:jc w:val="center"/>
      </w:pPr>
      <w:r>
        <w:drawing>
          <wp:inline distT="0" distB="0" distL="114300" distR="114300">
            <wp:extent cx="4751705" cy="2995930"/>
            <wp:effectExtent l="0" t="0" r="23495" b="12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751705" cy="2995930"/>
                    </a:xfrm>
                    <a:prstGeom prst="rect">
                      <a:avLst/>
                    </a:prstGeom>
                  </pic:spPr>
                </pic:pic>
              </a:graphicData>
            </a:graphic>
          </wp:inline>
        </w:drawing>
      </w:r>
    </w:p>
    <w:p w14:paraId="2F817C9F">
      <w:pPr>
        <w:pStyle w:val="2"/>
        <w:numPr>
          <w:ilvl w:val="0"/>
          <w:numId w:val="0"/>
        </w:numPr>
        <w:ind w:left="420" w:leftChars="0"/>
        <w:jc w:val="center"/>
        <w:rPr>
          <w:rFonts w:hint="default" w:eastAsia="仿宋_GB2312"/>
          <w:lang w:val="en-US" w:eastAsia="zh-CN"/>
        </w:rPr>
      </w:pPr>
      <w:r>
        <w:rPr>
          <w:rFonts w:hint="eastAsia"/>
          <w:lang w:val="en-US" w:eastAsia="zh-CN"/>
        </w:rPr>
        <w:t>图4:微架构设计</w:t>
      </w:r>
    </w:p>
    <w:p w14:paraId="13FDDCC4">
      <w:pPr>
        <w:pStyle w:val="2"/>
        <w:numPr>
          <w:ilvl w:val="0"/>
          <w:numId w:val="31"/>
        </w:numPr>
        <w:ind w:left="840" w:leftChars="0" w:hanging="420" w:firstLineChars="0"/>
        <w:rPr>
          <w:rFonts w:hint="eastAsia"/>
          <w:b w:val="0"/>
          <w:bCs w:val="0"/>
          <w:lang w:val="en-US" w:eastAsia="zh-CN"/>
        </w:rPr>
      </w:pPr>
      <w:r>
        <w:rPr>
          <w:rFonts w:hint="eastAsia"/>
          <w:b/>
          <w:bCs/>
          <w:lang w:val="en-US" w:eastAsia="zh-CN"/>
        </w:rPr>
        <w:t>通信特化计算单元设计</w:t>
      </w:r>
    </w:p>
    <w:p w14:paraId="4AE3EE5A">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结合通信 AI 在信道估计、CSI 恢复、波束赋形等任务中的矩阵计算、复数计算、FFT 变换等密集操作，设计张量驱动的专用 PE（Processing Element）阵列、稀疏矩阵计算核心、FFT 专用引擎等通信特化模块，加速神经网络的向量计算，提升基础算力与数据处理效率，显著优化吞吐与能效比。</w:t>
      </w:r>
    </w:p>
    <w:p w14:paraId="4F22956F">
      <w:pPr>
        <w:pStyle w:val="2"/>
        <w:numPr>
          <w:ilvl w:val="0"/>
          <w:numId w:val="31"/>
        </w:numPr>
        <w:ind w:left="840" w:leftChars="0" w:hanging="420" w:firstLineChars="0"/>
        <w:rPr>
          <w:rFonts w:hint="eastAsia"/>
          <w:b w:val="0"/>
          <w:bCs w:val="0"/>
          <w:lang w:val="en-US" w:eastAsia="zh-CN"/>
        </w:rPr>
      </w:pPr>
      <w:r>
        <w:rPr>
          <w:rFonts w:hint="eastAsia"/>
          <w:b/>
          <w:bCs/>
          <w:lang w:val="en-US" w:eastAsia="zh-CN"/>
        </w:rPr>
        <w:t>异构融合与模块协同机制</w:t>
      </w:r>
    </w:p>
    <w:p w14:paraId="1CEAC698">
      <w:pPr>
        <w:pStyle w:val="2"/>
        <w:numPr>
          <w:ilvl w:val="0"/>
          <w:numId w:val="0"/>
        </w:numPr>
        <w:ind w:left="420" w:leftChars="0" w:firstLine="420" w:firstLineChars="0"/>
        <w:rPr>
          <w:rFonts w:hint="eastAsia"/>
          <w:b w:val="0"/>
          <w:bCs w:val="0"/>
          <w:lang w:val="en-US" w:eastAsia="zh-CN"/>
        </w:rPr>
      </w:pPr>
      <w:r>
        <w:rPr>
          <w:rFonts w:hint="eastAsia"/>
          <w:b w:val="0"/>
          <w:bCs w:val="0"/>
          <w:lang w:val="en-US" w:eastAsia="zh-CN"/>
        </w:rPr>
        <w:t>构建通用计算（GEMM 矩阵乘）与专用加速单元（FFT、稀疏张量等）深度融合的异构架构，设计多核多模块协同调度机制，使用DMA传输机制，高效读写SRAM中的数据，保障数据跨模块无缝传递与复用。支持不同任务算子链灵活映射与共享调度，提升架构整体利用率与灵活性，降低任务延迟与冗余数据流转。</w:t>
      </w:r>
    </w:p>
    <w:p w14:paraId="36DD1DD8">
      <w:pPr>
        <w:pStyle w:val="2"/>
        <w:numPr>
          <w:ilvl w:val="0"/>
          <w:numId w:val="31"/>
        </w:numPr>
        <w:ind w:left="840" w:leftChars="0" w:hanging="420" w:firstLineChars="0"/>
        <w:rPr>
          <w:rFonts w:hint="eastAsia"/>
          <w:b/>
          <w:bCs/>
          <w:lang w:val="en-US" w:eastAsia="zh-CN"/>
        </w:rPr>
      </w:pPr>
      <w:r>
        <w:rPr>
          <w:rFonts w:hint="eastAsia"/>
          <w:b/>
          <w:bCs/>
          <w:lang w:val="en-US" w:eastAsia="zh-CN"/>
        </w:rPr>
        <w:t>软硬协同接口设计</w:t>
      </w:r>
    </w:p>
    <w:p w14:paraId="3065242E">
      <w:pPr>
        <w:pStyle w:val="2"/>
        <w:numPr>
          <w:ilvl w:val="0"/>
          <w:numId w:val="0"/>
        </w:numPr>
        <w:ind w:left="420" w:leftChars="0" w:firstLine="420" w:firstLineChars="0"/>
        <w:rPr>
          <w:rFonts w:hint="eastAsia"/>
          <w:b/>
          <w:bCs/>
          <w:lang w:val="en-US" w:eastAsia="zh-CN"/>
        </w:rPr>
      </w:pPr>
      <w:r>
        <w:rPr>
          <w:rFonts w:hint="eastAsia"/>
          <w:b w:val="0"/>
          <w:bCs w:val="0"/>
          <w:lang w:val="en-US" w:eastAsia="zh-CN"/>
        </w:rPr>
        <w:t>研究与软件工具链协同设计的架构抽象层，保障架构在模型演进中具备良好适应性。结合编译器设计，形成自动映射、自动调优机制，支撑未来 AI 模型快速部署，提升架构生命力与生态兼容性。</w:t>
      </w:r>
    </w:p>
    <w:p w14:paraId="14079E58">
      <w:pPr>
        <w:pStyle w:val="2"/>
        <w:numPr>
          <w:ilvl w:val="0"/>
          <w:numId w:val="24"/>
        </w:numPr>
        <w:ind w:left="845" w:leftChars="0" w:hanging="425" w:firstLineChars="0"/>
        <w:rPr>
          <w:rFonts w:hint="default"/>
          <w:b/>
          <w:bCs/>
          <w:lang w:val="en-US" w:eastAsia="zh-CN"/>
        </w:rPr>
      </w:pPr>
      <w:r>
        <w:rPr>
          <w:rFonts w:hint="eastAsia"/>
          <w:b/>
          <w:bCs/>
          <w:lang w:val="en-US" w:eastAsia="zh-CN"/>
        </w:rPr>
        <w:t>硬件设计高度耦合的先进软件工具链</w:t>
      </w:r>
    </w:p>
    <w:p w14:paraId="00A26890">
      <w:pPr>
        <w:pStyle w:val="2"/>
        <w:numPr>
          <w:ilvl w:val="0"/>
          <w:numId w:val="0"/>
        </w:numPr>
        <w:jc w:val="center"/>
      </w:pPr>
      <w:r>
        <w:drawing>
          <wp:inline distT="0" distB="0" distL="114300" distR="114300">
            <wp:extent cx="5063490" cy="2646680"/>
            <wp:effectExtent l="0" t="0" r="16510" b="20320"/>
            <wp:docPr id="8" name="图片 7" descr="空口AI-与硬件设计高度耦合的先进的软件工具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空口AI-与硬件设计高度耦合的先进的软件工具链.drawio"/>
                    <pic:cNvPicPr>
                      <a:picLocks noChangeAspect="1"/>
                    </pic:cNvPicPr>
                  </pic:nvPicPr>
                  <pic:blipFill>
                    <a:blip r:embed="rId13"/>
                    <a:stretch>
                      <a:fillRect/>
                    </a:stretch>
                  </pic:blipFill>
                  <pic:spPr>
                    <a:xfrm>
                      <a:off x="0" y="0"/>
                      <a:ext cx="5063490" cy="2646680"/>
                    </a:xfrm>
                    <a:prstGeom prst="rect">
                      <a:avLst/>
                    </a:prstGeom>
                  </pic:spPr>
                </pic:pic>
              </a:graphicData>
            </a:graphic>
          </wp:inline>
        </w:drawing>
      </w:r>
    </w:p>
    <w:p w14:paraId="4AD706E7">
      <w:pPr>
        <w:pStyle w:val="2"/>
        <w:numPr>
          <w:ilvl w:val="0"/>
          <w:numId w:val="0"/>
        </w:numPr>
        <w:jc w:val="center"/>
        <w:rPr>
          <w:rFonts w:hint="default" w:eastAsia="仿宋_GB2312"/>
          <w:lang w:val="en-US" w:eastAsia="zh-CN"/>
        </w:rPr>
      </w:pPr>
      <w:r>
        <w:rPr>
          <w:rFonts w:hint="eastAsia"/>
          <w:lang w:val="en-US" w:eastAsia="zh-CN"/>
        </w:rPr>
        <w:t>图</w:t>
      </w:r>
      <w:r>
        <w:rPr>
          <w:rFonts w:hint="default"/>
          <w:lang w:val="en-US" w:eastAsia="zh-CN"/>
        </w:rPr>
        <w:t>3</w:t>
      </w:r>
      <w:r>
        <w:rPr>
          <w:rFonts w:hint="eastAsia"/>
          <w:lang w:val="en-US" w:eastAsia="zh-CN"/>
        </w:rPr>
        <w:t>:与硬件设计高度耦合的软件工具链</w:t>
      </w:r>
    </w:p>
    <w:p w14:paraId="740CF903">
      <w:pPr>
        <w:pStyle w:val="2"/>
        <w:numPr>
          <w:ilvl w:val="0"/>
          <w:numId w:val="0"/>
        </w:numPr>
        <w:ind w:left="420" w:leftChars="0"/>
        <w:rPr>
          <w:rFonts w:hint="default"/>
          <w:b w:val="0"/>
          <w:bCs w:val="0"/>
          <w:lang w:val="en-US" w:eastAsia="zh-CN"/>
        </w:rPr>
      </w:pPr>
    </w:p>
    <w:p w14:paraId="25031785">
      <w:pPr>
        <w:pStyle w:val="2"/>
        <w:numPr>
          <w:ilvl w:val="0"/>
          <w:numId w:val="32"/>
        </w:numPr>
        <w:ind w:left="840" w:leftChars="0" w:hanging="420" w:firstLineChars="0"/>
        <w:rPr>
          <w:rFonts w:hint="default"/>
          <w:b/>
          <w:bCs/>
          <w:lang w:val="en-US" w:eastAsia="zh-CN"/>
        </w:rPr>
      </w:pPr>
      <w:r>
        <w:rPr>
          <w:rFonts w:hint="default"/>
          <w:b/>
          <w:bCs/>
          <w:lang w:val="en-US" w:eastAsia="zh-CN"/>
        </w:rPr>
        <w:t>通信 AI 专用编译器设计</w:t>
      </w:r>
    </w:p>
    <w:p w14:paraId="198DE369">
      <w:pPr>
        <w:pStyle w:val="2"/>
        <w:numPr>
          <w:ilvl w:val="0"/>
          <w:numId w:val="0"/>
        </w:numPr>
        <w:ind w:left="420" w:leftChars="0" w:firstLine="420" w:firstLineChars="0"/>
        <w:rPr>
          <w:rFonts w:hint="default"/>
          <w:b w:val="0"/>
          <w:bCs w:val="0"/>
          <w:lang w:val="en-US" w:eastAsia="zh-CN"/>
        </w:rPr>
      </w:pPr>
      <w:r>
        <w:rPr>
          <w:rFonts w:hint="default"/>
          <w:b w:val="0"/>
          <w:bCs w:val="0"/>
          <w:lang w:val="en-US" w:eastAsia="zh-CN"/>
        </w:rPr>
        <w:t>基于通信领域模型结构与数据特征，开发融合剪枝、算子融合、稀疏调度等优化策略的图级编译器，支持模型自动解析、算子分解、计算图优化、硬件映射调度等功能，输出最优数据流与指令流，提高硬件利用率与执行效率。</w:t>
      </w:r>
    </w:p>
    <w:p w14:paraId="40A4E09F">
      <w:pPr>
        <w:pStyle w:val="2"/>
        <w:numPr>
          <w:ilvl w:val="0"/>
          <w:numId w:val="32"/>
        </w:numPr>
        <w:ind w:left="840" w:leftChars="0" w:hanging="420" w:firstLineChars="0"/>
        <w:rPr>
          <w:rFonts w:hint="default"/>
          <w:b w:val="0"/>
          <w:bCs w:val="0"/>
          <w:lang w:val="en-US" w:eastAsia="zh-CN"/>
        </w:rPr>
      </w:pPr>
      <w:r>
        <w:rPr>
          <w:rFonts w:hint="default"/>
          <w:b/>
          <w:bCs/>
          <w:lang w:val="en-US" w:eastAsia="zh-CN"/>
        </w:rPr>
        <w:t>硬件友好算子调度优化机制</w:t>
      </w:r>
    </w:p>
    <w:p w14:paraId="6624C5CF">
      <w:pPr>
        <w:pStyle w:val="2"/>
        <w:numPr>
          <w:ilvl w:val="0"/>
          <w:numId w:val="0"/>
        </w:numPr>
        <w:ind w:left="420" w:leftChars="0" w:firstLine="420" w:firstLineChars="0"/>
        <w:rPr>
          <w:rFonts w:hint="default"/>
          <w:b w:val="0"/>
          <w:bCs w:val="0"/>
          <w:lang w:val="en-US" w:eastAsia="zh-CN"/>
        </w:rPr>
      </w:pPr>
      <w:r>
        <w:rPr>
          <w:rFonts w:hint="default"/>
          <w:b w:val="0"/>
          <w:bCs w:val="0"/>
          <w:lang w:val="en-US" w:eastAsia="zh-CN"/>
        </w:rPr>
        <w:t>针对专用硬件架构，研究稀疏张量数据映射、多核调度、流水线调度等技术，优化张量切片、数据对齐、缓存复用策略，提升数据流并行性与计算单元利用率。形成算子融合、子图复用、稀疏感知的自动优化模块，显著提升吞吐与能效比。</w:t>
      </w:r>
    </w:p>
    <w:p w14:paraId="19458EEF">
      <w:pPr>
        <w:pStyle w:val="2"/>
        <w:numPr>
          <w:ilvl w:val="0"/>
          <w:numId w:val="32"/>
        </w:numPr>
        <w:ind w:left="840" w:leftChars="0" w:hanging="420" w:firstLineChars="0"/>
        <w:rPr>
          <w:rFonts w:hint="default"/>
          <w:b/>
          <w:bCs/>
          <w:lang w:val="en-US" w:eastAsia="zh-CN"/>
        </w:rPr>
      </w:pPr>
      <w:r>
        <w:rPr>
          <w:rFonts w:hint="default"/>
          <w:b/>
          <w:bCs/>
          <w:lang w:val="en-US" w:eastAsia="zh-CN"/>
        </w:rPr>
        <w:t>多层接口与生态适配设计</w:t>
      </w:r>
    </w:p>
    <w:p w14:paraId="3346833C">
      <w:pPr>
        <w:pStyle w:val="2"/>
        <w:numPr>
          <w:ilvl w:val="-2"/>
          <w:numId w:val="0"/>
        </w:numPr>
        <w:ind w:left="420" w:leftChars="0" w:firstLine="420" w:firstLineChars="0"/>
        <w:rPr>
          <w:rFonts w:hint="default"/>
          <w:b w:val="0"/>
          <w:bCs w:val="0"/>
          <w:lang w:val="en-US" w:eastAsia="zh-CN"/>
        </w:rPr>
      </w:pPr>
      <w:r>
        <w:rPr>
          <w:rFonts w:hint="default"/>
          <w:b w:val="0"/>
          <w:bCs w:val="0"/>
          <w:lang w:val="en-US" w:eastAsia="zh-CN"/>
        </w:rPr>
        <w:t>构建兼容主流 AI 框架（如 Pytorch、TensorFlow</w:t>
      </w:r>
      <w:r>
        <w:rPr>
          <w:rFonts w:hint="eastAsia"/>
          <w:b w:val="0"/>
          <w:bCs w:val="0"/>
          <w:lang w:val="en-US" w:eastAsia="zh-CN"/>
        </w:rPr>
        <w:t>、Caffe</w:t>
      </w:r>
      <w:r>
        <w:rPr>
          <w:rFonts w:hint="default"/>
          <w:b w:val="0"/>
          <w:bCs w:val="0"/>
          <w:lang w:val="en-US" w:eastAsia="zh-CN"/>
        </w:rPr>
        <w:t>）的前端接口，提供灵活、统一的 API</w:t>
      </w:r>
      <w:r>
        <w:rPr>
          <w:rFonts w:hint="eastAsia"/>
          <w:b w:val="0"/>
          <w:bCs w:val="0"/>
          <w:lang w:val="en-US" w:eastAsia="zh-CN"/>
        </w:rPr>
        <w:t>（如OpenCL、OpenVX）</w:t>
      </w:r>
      <w:r>
        <w:rPr>
          <w:rFonts w:hint="default"/>
          <w:b w:val="0"/>
          <w:bCs w:val="0"/>
          <w:lang w:val="en-US" w:eastAsia="zh-CN"/>
        </w:rPr>
        <w:t>，保障模型迁移与部署便捷性。同时结合后端硬件特性，预留扩展空间，支撑未来新架构、新算子的无缝集成，形成软硬一体化、持续进化的生态体系。</w:t>
      </w:r>
    </w:p>
    <w:p w14:paraId="64C44692">
      <w:pPr>
        <w:pStyle w:val="2"/>
        <w:ind w:firstLine="420" w:firstLineChars="0"/>
        <w:rPr>
          <w:rFonts w:hint="default"/>
          <w:b/>
          <w:bCs/>
          <w:lang w:val="en-US" w:eastAsia="zh-CN"/>
        </w:rPr>
      </w:pPr>
      <w:r>
        <w:rPr>
          <w:rFonts w:hint="eastAsia"/>
          <w:b/>
          <w:bCs/>
          <w:lang w:val="en-US" w:eastAsia="zh-CN"/>
        </w:rPr>
        <w:t>研究内容四：终端模组原理样机搭建及模型验证</w:t>
      </w:r>
    </w:p>
    <w:p w14:paraId="1856A974">
      <w:pPr>
        <w:pStyle w:val="2"/>
        <w:numPr>
          <w:ilvl w:val="0"/>
          <w:numId w:val="33"/>
        </w:numPr>
        <w:ind w:left="840" w:leftChars="0" w:hanging="420" w:firstLineChars="0"/>
        <w:rPr>
          <w:rFonts w:hint="default"/>
          <w:b/>
          <w:bCs/>
          <w:lang w:val="en-US" w:eastAsia="zh-CN"/>
        </w:rPr>
      </w:pPr>
      <w:r>
        <w:rPr>
          <w:rFonts w:hint="default"/>
          <w:b/>
          <w:bCs/>
          <w:lang w:val="en-US" w:eastAsia="zh-CN"/>
        </w:rPr>
        <w:t>硬件平台搭建与</w:t>
      </w:r>
      <w:r>
        <w:rPr>
          <w:rFonts w:hint="eastAsia"/>
          <w:b/>
          <w:bCs/>
          <w:lang w:val="en-US" w:eastAsia="zh-CN"/>
        </w:rPr>
        <w:t>模组</w:t>
      </w:r>
      <w:r>
        <w:rPr>
          <w:rFonts w:hint="default"/>
          <w:b/>
          <w:bCs/>
          <w:lang w:val="en-US" w:eastAsia="zh-CN"/>
        </w:rPr>
        <w:t>设计</w:t>
      </w:r>
    </w:p>
    <w:p w14:paraId="1B50806C">
      <w:pPr>
        <w:pStyle w:val="2"/>
        <w:ind w:left="420" w:leftChars="0" w:firstLine="420" w:firstLineChars="0"/>
        <w:rPr>
          <w:rFonts w:hint="default"/>
          <w:b/>
          <w:bCs/>
          <w:lang w:val="en-US" w:eastAsia="zh-CN"/>
        </w:rPr>
      </w:pPr>
      <w:r>
        <w:rPr>
          <w:rFonts w:hint="default"/>
          <w:b w:val="0"/>
          <w:bCs w:val="0"/>
          <w:lang w:val="en-US" w:eastAsia="zh-CN"/>
        </w:rPr>
        <w:t>基于目标通信任务（如信道估计、波束赋形、信号检测）需求，选型或自研具备高算力、低功耗特征的端侧硬件平台，包括</w:t>
      </w:r>
      <w:r>
        <w:rPr>
          <w:rFonts w:hint="eastAsia"/>
          <w:b w:val="0"/>
          <w:bCs w:val="0"/>
          <w:lang w:val="en-US" w:eastAsia="zh-CN"/>
        </w:rPr>
        <w:t>选型</w:t>
      </w:r>
      <w:r>
        <w:rPr>
          <w:rFonts w:hint="default"/>
          <w:b w:val="0"/>
          <w:bCs w:val="0"/>
          <w:lang w:val="en-US" w:eastAsia="zh-CN"/>
        </w:rPr>
        <w:t>射频模组（支持 Sub-6GHz / mmWave）、基带处理单元</w:t>
      </w:r>
      <w:r>
        <w:rPr>
          <w:rFonts w:hint="eastAsia"/>
          <w:b w:val="0"/>
          <w:bCs w:val="0"/>
          <w:lang w:val="en-US" w:eastAsia="zh-CN"/>
        </w:rPr>
        <w:t>、</w:t>
      </w:r>
      <w:r>
        <w:rPr>
          <w:rFonts w:hint="default"/>
          <w:b w:val="0"/>
          <w:bCs w:val="0"/>
          <w:lang w:val="en-US" w:eastAsia="zh-CN"/>
        </w:rPr>
        <w:t>多天线阵列</w:t>
      </w:r>
      <w:r>
        <w:rPr>
          <w:rFonts w:hint="eastAsia"/>
          <w:b w:val="0"/>
          <w:bCs w:val="0"/>
          <w:lang w:val="en-US" w:eastAsia="zh-CN"/>
        </w:rPr>
        <w:t>，自研</w:t>
      </w:r>
      <w:r>
        <w:rPr>
          <w:rFonts w:hint="default"/>
          <w:b w:val="0"/>
          <w:bCs w:val="0"/>
          <w:lang w:val="en-US" w:eastAsia="zh-CN"/>
        </w:rPr>
        <w:t>AI 加速</w:t>
      </w:r>
      <w:r>
        <w:rPr>
          <w:rFonts w:hint="eastAsia"/>
          <w:b w:val="0"/>
          <w:bCs w:val="0"/>
          <w:lang w:val="en-US" w:eastAsia="zh-CN"/>
        </w:rPr>
        <w:t>芯片</w:t>
      </w:r>
      <w:r>
        <w:rPr>
          <w:rFonts w:hint="default"/>
          <w:b w:val="0"/>
          <w:bCs w:val="0"/>
          <w:lang w:val="en-US" w:eastAsia="zh-CN"/>
        </w:rPr>
        <w:t>（NPU</w:t>
      </w:r>
      <w:r>
        <w:rPr>
          <w:rFonts w:hint="eastAsia"/>
          <w:b w:val="0"/>
          <w:bCs w:val="0"/>
          <w:lang w:val="en-US" w:eastAsia="zh-CN"/>
        </w:rPr>
        <w:t>）</w:t>
      </w:r>
      <w:r>
        <w:rPr>
          <w:rFonts w:hint="default"/>
          <w:b w:val="0"/>
          <w:bCs w:val="0"/>
          <w:lang w:val="en-US" w:eastAsia="zh-CN"/>
        </w:rPr>
        <w:t>等关键组件，</w:t>
      </w:r>
      <w:r>
        <w:rPr>
          <w:rFonts w:hint="eastAsia"/>
          <w:b w:val="0"/>
          <w:bCs w:val="0"/>
          <w:lang w:val="en-US" w:eastAsia="zh-CN"/>
        </w:rPr>
        <w:t>并使用FPGA</w:t>
      </w:r>
      <w:r>
        <w:rPr>
          <w:rFonts w:hint="default"/>
          <w:b w:val="0"/>
          <w:bCs w:val="0"/>
          <w:lang w:val="en-US" w:eastAsia="zh-CN"/>
        </w:rPr>
        <w:t>完成</w:t>
      </w:r>
      <w:r>
        <w:rPr>
          <w:rFonts w:hint="eastAsia"/>
          <w:b w:val="0"/>
          <w:bCs w:val="0"/>
          <w:lang w:val="en-US" w:eastAsia="zh-CN"/>
        </w:rPr>
        <w:t>芯片的</w:t>
      </w:r>
      <w:r>
        <w:rPr>
          <w:rFonts w:hint="default"/>
          <w:b w:val="0"/>
          <w:bCs w:val="0"/>
          <w:lang w:val="en-US" w:eastAsia="zh-CN"/>
        </w:rPr>
        <w:t>基础硬件架构设计</w:t>
      </w:r>
      <w:r>
        <w:rPr>
          <w:rFonts w:hint="eastAsia"/>
          <w:b w:val="0"/>
          <w:bCs w:val="0"/>
          <w:lang w:val="en-US" w:eastAsia="zh-CN"/>
        </w:rPr>
        <w:t>和软硬协同验证</w:t>
      </w:r>
      <w:r>
        <w:rPr>
          <w:rFonts w:hint="default"/>
          <w:b w:val="0"/>
          <w:bCs w:val="0"/>
          <w:lang w:val="en-US" w:eastAsia="zh-CN"/>
        </w:rPr>
        <w:t>。结合端侧轻量化与模块化设计理念，进行系统硬件</w:t>
      </w:r>
      <w:r>
        <w:rPr>
          <w:rFonts w:hint="eastAsia"/>
          <w:b w:val="0"/>
          <w:bCs w:val="0"/>
          <w:lang w:val="en-US" w:eastAsia="zh-CN"/>
        </w:rPr>
        <w:t>模组</w:t>
      </w:r>
      <w:r>
        <w:rPr>
          <w:rFonts w:hint="default"/>
          <w:b w:val="0"/>
          <w:bCs w:val="0"/>
          <w:lang w:val="en-US" w:eastAsia="zh-CN"/>
        </w:rPr>
        <w:t>规划，明确数据接口（PCIe、CXL、TSN 等）、通信协议（5G NR、WiFi 7 等）适配关系，确保不同模块高效协同，构建具备代表性的通信原理样机平台。硬件层面重点突破高速数据通路（射频-基带-AI 模块）、低延迟数据搬移（DMA、内存管理）等关键设计，形成满足实验需求的硬件原型样机。</w:t>
      </w:r>
    </w:p>
    <w:p w14:paraId="09A0C32E">
      <w:pPr>
        <w:pStyle w:val="2"/>
        <w:numPr>
          <w:ilvl w:val="0"/>
          <w:numId w:val="33"/>
        </w:numPr>
        <w:ind w:left="840" w:leftChars="0" w:hanging="420" w:firstLineChars="0"/>
        <w:rPr>
          <w:rFonts w:hint="default"/>
          <w:b/>
          <w:bCs/>
          <w:lang w:val="en-US" w:eastAsia="zh-CN"/>
        </w:rPr>
      </w:pPr>
      <w:r>
        <w:rPr>
          <w:rFonts w:hint="default"/>
          <w:b/>
          <w:bCs/>
          <w:lang w:val="en-US" w:eastAsia="zh-CN"/>
        </w:rPr>
        <w:t>软件系统开发与软硬件协同接口</w:t>
      </w:r>
    </w:p>
    <w:p w14:paraId="45AB4B48">
      <w:pPr>
        <w:pStyle w:val="2"/>
        <w:ind w:left="420" w:leftChars="0" w:firstLine="420" w:firstLineChars="0"/>
        <w:rPr>
          <w:rFonts w:hint="default"/>
          <w:b/>
          <w:bCs/>
          <w:lang w:val="en-US" w:eastAsia="zh-CN"/>
        </w:rPr>
      </w:pPr>
      <w:r>
        <w:rPr>
          <w:rFonts w:hint="default"/>
          <w:b w:val="0"/>
          <w:bCs w:val="0"/>
          <w:lang w:val="en-US" w:eastAsia="zh-CN"/>
        </w:rPr>
        <w:t>在硬件基础之上，设计通信 AI 端侧软件系统，完成系统级驱动、硬件抽象层（HAL）、数据流管理等底层软件开发，构建统一数据调度框架，支持实时数据采集、预处理、AI 加速、结果回传等功能。同步开发软硬件协同接口，定义通信任务感知的中间表示（IR）、指令集（uISA）、数据标准，支撑上层 AI 算法对底层硬件资源的灵活调度。搭建端侧通信 AI 推理框架，优化数据复用、缓存管理、稀疏张量映射等机制，保障端侧推理的能效比与实时性。</w:t>
      </w:r>
    </w:p>
    <w:p w14:paraId="761A3DC1">
      <w:pPr>
        <w:pStyle w:val="2"/>
        <w:numPr>
          <w:ilvl w:val="0"/>
          <w:numId w:val="33"/>
        </w:numPr>
        <w:ind w:left="840" w:leftChars="0" w:hanging="420" w:firstLineChars="0"/>
        <w:rPr>
          <w:rFonts w:hint="default"/>
          <w:b/>
          <w:bCs/>
          <w:lang w:val="en-US" w:eastAsia="zh-CN"/>
        </w:rPr>
      </w:pPr>
      <w:r>
        <w:rPr>
          <w:rFonts w:hint="default"/>
          <w:b/>
          <w:bCs/>
          <w:lang w:val="en-US" w:eastAsia="zh-CN"/>
        </w:rPr>
        <w:t>通信模型适配与部署优化</w:t>
      </w:r>
    </w:p>
    <w:p w14:paraId="5F2D5C55">
      <w:pPr>
        <w:pStyle w:val="2"/>
        <w:ind w:left="420" w:leftChars="0" w:firstLine="420" w:firstLineChars="0"/>
        <w:rPr>
          <w:rFonts w:hint="default"/>
          <w:b/>
          <w:bCs/>
          <w:lang w:val="en-US" w:eastAsia="zh-CN"/>
        </w:rPr>
      </w:pPr>
      <w:r>
        <w:rPr>
          <w:rFonts w:hint="default"/>
          <w:b w:val="0"/>
          <w:bCs w:val="0"/>
          <w:lang w:val="en-US" w:eastAsia="zh-CN"/>
        </w:rPr>
        <w:t>针对原理样机硬件特性，开展 AI 通信模型（包括 CSI 压缩、波束赋形、联合检测等）适配性研究，结合硬件算力特点，系统开展模型剪枝、量化、蒸馏、低秩分解等轻量化优化，提升模型在样机平台的运行效率与资源利用率。同时结合硬件实际拓扑与数据流特性，完成模型编译、算子映射、调度优化等工作，形成与硬件深度耦合的通信 AI 模型端侧部署方案。实现模型端到端数据链路闭环，保障输入输出接口与原通信协议体系兼容，支撑后续场景验证。</w:t>
      </w:r>
    </w:p>
    <w:p w14:paraId="0F794183">
      <w:pPr>
        <w:pStyle w:val="2"/>
        <w:numPr>
          <w:ilvl w:val="0"/>
          <w:numId w:val="33"/>
        </w:numPr>
        <w:ind w:left="840" w:leftChars="0" w:hanging="420" w:firstLineChars="0"/>
        <w:rPr>
          <w:rFonts w:hint="default"/>
          <w:b/>
          <w:bCs/>
          <w:lang w:val="en-US" w:eastAsia="zh-CN"/>
        </w:rPr>
      </w:pPr>
      <w:r>
        <w:rPr>
          <w:rFonts w:hint="default"/>
          <w:b/>
          <w:bCs/>
          <w:lang w:val="en-US" w:eastAsia="zh-CN"/>
        </w:rPr>
        <w:t>原理样机测试与通信场景验证</w:t>
      </w:r>
    </w:p>
    <w:p w14:paraId="0032B77F">
      <w:pPr>
        <w:pStyle w:val="2"/>
        <w:numPr>
          <w:ilvl w:val="0"/>
          <w:numId w:val="0"/>
        </w:numPr>
        <w:ind w:left="420" w:leftChars="0"/>
        <w:jc w:val="center"/>
      </w:pPr>
      <w:r>
        <w:drawing>
          <wp:inline distT="0" distB="0" distL="114300" distR="114300">
            <wp:extent cx="3460115" cy="3867150"/>
            <wp:effectExtent l="0" t="0" r="19685" b="1905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4"/>
                    <a:stretch>
                      <a:fillRect/>
                    </a:stretch>
                  </pic:blipFill>
                  <pic:spPr>
                    <a:xfrm>
                      <a:off x="0" y="0"/>
                      <a:ext cx="3460115" cy="3867150"/>
                    </a:xfrm>
                    <a:prstGeom prst="rect">
                      <a:avLst/>
                    </a:prstGeom>
                    <a:noFill/>
                    <a:ln>
                      <a:noFill/>
                    </a:ln>
                  </pic:spPr>
                </pic:pic>
              </a:graphicData>
            </a:graphic>
          </wp:inline>
        </w:drawing>
      </w:r>
    </w:p>
    <w:p w14:paraId="77AF5DC2">
      <w:pPr>
        <w:pStyle w:val="2"/>
        <w:numPr>
          <w:ilvl w:val="0"/>
          <w:numId w:val="0"/>
        </w:numPr>
        <w:ind w:left="420" w:leftChars="0"/>
        <w:jc w:val="center"/>
        <w:rPr>
          <w:rFonts w:hint="default" w:eastAsia="仿宋_GB2312"/>
          <w:lang w:val="en-US" w:eastAsia="zh-CN"/>
        </w:rPr>
      </w:pPr>
      <w:r>
        <w:rPr>
          <w:rFonts w:hint="eastAsia"/>
          <w:lang w:val="en-US" w:eastAsia="zh-CN"/>
        </w:rPr>
        <w:t>图5:动态场景注入</w:t>
      </w:r>
    </w:p>
    <w:p w14:paraId="7163CCCF">
      <w:pPr>
        <w:pStyle w:val="2"/>
        <w:ind w:left="420" w:leftChars="0" w:firstLine="420" w:firstLineChars="0"/>
      </w:pPr>
      <w:r>
        <w:rPr>
          <w:rFonts w:hint="default"/>
          <w:b w:val="0"/>
          <w:bCs w:val="0"/>
          <w:lang w:val="en-US" w:eastAsia="zh-CN"/>
        </w:rPr>
        <w:t>基于完成的终端样机，搭建多场景测试平台（实验室、半实物仿真、外场测试），完成空口 AI 驱动下的通信性能评估，包括误码率（BER）、信道容量、吞吐率、端到端延迟、功耗等多维</w:t>
      </w:r>
      <w:r>
        <w:rPr>
          <w:rFonts w:hint="default"/>
          <w:b/>
          <w:bCs/>
          <w:lang w:val="en-US" w:eastAsia="zh-CN"/>
        </w:rPr>
        <w:t>指标</w:t>
      </w:r>
      <w:r>
        <w:rPr>
          <w:rFonts w:hint="default"/>
          <w:b w:val="0"/>
          <w:bCs w:val="0"/>
          <w:lang w:val="en-US" w:eastAsia="zh-CN"/>
        </w:rPr>
        <w:t>，系统验证通信 AI 在端侧硬件上的实际效果。开展对比测试</w:t>
      </w:r>
      <w:r>
        <w:rPr>
          <w:rFonts w:hint="eastAsia"/>
          <w:b w:val="0"/>
          <w:bCs w:val="0"/>
          <w:lang w:val="en-US" w:eastAsia="zh-CN"/>
        </w:rPr>
        <w:t>，</w:t>
      </w:r>
      <w:r>
        <w:rPr>
          <w:rFonts w:hint="default"/>
          <w:b/>
          <w:bCs/>
          <w:lang w:val="en-US" w:eastAsia="zh-CN"/>
        </w:rPr>
        <w:t>AI vs 传统算法</w:t>
      </w:r>
      <w:r>
        <w:rPr>
          <w:rFonts w:hint="eastAsia"/>
          <w:b w:val="0"/>
          <w:bCs w:val="0"/>
          <w:lang w:val="en-US" w:eastAsia="zh-CN"/>
        </w:rPr>
        <w:t>，</w:t>
      </w:r>
      <w:r>
        <w:rPr>
          <w:rFonts w:hint="default"/>
          <w:b w:val="0"/>
          <w:bCs w:val="0"/>
          <w:lang w:val="en-US" w:eastAsia="zh-CN"/>
        </w:rPr>
        <w:t>验证 AI 方案在复杂信道环境、多用户、多制式下的鲁棒性与泛化能力。同步完成样机稳定性、可靠性测试，迭代完善软硬协同机制，最终形成具备推广价值的端侧通信 AI 原型样机参考方案。</w:t>
      </w:r>
    </w:p>
    <w:p w14:paraId="6F0FEF29">
      <w:pPr>
        <w:adjustRightInd w:val="0"/>
        <w:snapToGrid w:val="0"/>
        <w:spacing w:line="360" w:lineRule="auto"/>
        <w:ind w:firstLine="572" w:firstLineChars="200"/>
        <w:outlineLvl w:val="1"/>
        <w:rPr>
          <w:rFonts w:hint="eastAsia" w:eastAsia="楷体_GB2312"/>
          <w:szCs w:val="28"/>
          <w:lang w:val="en-US" w:eastAsia="zh-CN"/>
        </w:rPr>
      </w:pPr>
      <w:bookmarkStart w:id="12" w:name="_Toc172321785"/>
      <w:r>
        <w:rPr>
          <w:rFonts w:eastAsia="楷体_GB2312"/>
          <w:szCs w:val="28"/>
        </w:rPr>
        <w:t>（</w:t>
      </w:r>
      <w:r>
        <w:rPr>
          <w:rFonts w:hint="eastAsia" w:eastAsia="楷体_GB2312"/>
          <w:szCs w:val="28"/>
          <w:lang w:val="en-US" w:eastAsia="zh-CN"/>
        </w:rPr>
        <w:t>二</w:t>
      </w:r>
      <w:r>
        <w:rPr>
          <w:rFonts w:eastAsia="楷体_GB2312"/>
          <w:szCs w:val="28"/>
        </w:rPr>
        <w:t>）</w:t>
      </w:r>
      <w:r>
        <w:rPr>
          <w:rFonts w:hint="eastAsia" w:eastAsia="楷体_GB2312"/>
          <w:szCs w:val="28"/>
          <w:lang w:val="en-US" w:eastAsia="zh-CN"/>
        </w:rPr>
        <w:t>研究</w:t>
      </w:r>
      <w:r>
        <w:rPr>
          <w:rFonts w:eastAsia="楷体_GB2312"/>
          <w:szCs w:val="28"/>
          <w:lang w:val="zh-CN"/>
        </w:rPr>
        <w:t>任务分解</w:t>
      </w:r>
      <w:bookmarkEnd w:id="12"/>
      <w:r>
        <w:rPr>
          <w:rFonts w:hint="eastAsia" w:eastAsia="楷体_GB2312"/>
          <w:szCs w:val="28"/>
          <w:lang w:val="en-US" w:eastAsia="zh-CN"/>
        </w:rPr>
        <w:t>和实施计划（附表：研究进度安排表）</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9"/>
        <w:gridCol w:w="6571"/>
      </w:tblGrid>
      <w:tr w14:paraId="238CFC4E">
        <w:tc>
          <w:tcPr>
            <w:tcW w:w="2829" w:type="dxa"/>
            <w:vAlign w:val="center"/>
          </w:tcPr>
          <w:p w14:paraId="671E3F2B">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b/>
                <w:bCs/>
                <w:color w:val="auto"/>
                <w:vertAlign w:val="baseline"/>
                <w:lang w:val="en-US" w:eastAsia="zh-CN"/>
                <w14:ligatures w14:val="standardContextual"/>
              </w:rPr>
            </w:pPr>
            <w:r>
              <w:rPr>
                <w:rFonts w:hint="eastAsia" w:cs="Times New Roman"/>
                <w:b/>
                <w:bCs/>
                <w:color w:val="auto"/>
                <w:vertAlign w:val="baseline"/>
                <w:lang w:val="en-US" w:eastAsia="zh-CN"/>
                <w14:ligatures w14:val="standardContextual"/>
              </w:rPr>
              <w:t>时间</w:t>
            </w:r>
          </w:p>
        </w:tc>
        <w:tc>
          <w:tcPr>
            <w:tcW w:w="6571" w:type="dxa"/>
            <w:vAlign w:val="center"/>
          </w:tcPr>
          <w:p w14:paraId="56EA52EB">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b/>
                <w:bCs/>
                <w:color w:val="auto"/>
                <w:vertAlign w:val="baseline"/>
                <w:lang w:val="en-US" w:eastAsia="zh-CN"/>
                <w14:ligatures w14:val="standardContextual"/>
              </w:rPr>
            </w:pPr>
            <w:r>
              <w:rPr>
                <w:rFonts w:hint="eastAsia" w:cs="Times New Roman"/>
                <w:b/>
                <w:bCs/>
                <w:color w:val="auto"/>
                <w:vertAlign w:val="baseline"/>
                <w:lang w:val="en-US" w:eastAsia="zh-CN"/>
                <w14:ligatures w14:val="standardContextual"/>
              </w:rPr>
              <w:t>研究任务</w:t>
            </w:r>
          </w:p>
        </w:tc>
      </w:tr>
      <w:tr w14:paraId="7FE5EC3F">
        <w:tc>
          <w:tcPr>
            <w:tcW w:w="2829" w:type="dxa"/>
            <w:vAlign w:val="center"/>
          </w:tcPr>
          <w:p w14:paraId="0C903997">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r>
              <w:rPr>
                <w:rFonts w:hint="eastAsia" w:cs="Times New Roman"/>
                <w:color w:val="auto"/>
                <w:vertAlign w:val="baseline"/>
                <w:lang w:val="en-US" w:eastAsia="zh-CN"/>
                <w14:ligatures w14:val="standardContextual"/>
              </w:rPr>
              <w:t>2024年X月至X月</w:t>
            </w:r>
          </w:p>
        </w:tc>
        <w:tc>
          <w:tcPr>
            <w:tcW w:w="6571" w:type="dxa"/>
            <w:vAlign w:val="center"/>
          </w:tcPr>
          <w:p w14:paraId="574DFEFD">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p w14:paraId="65491DBA">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tc>
      </w:tr>
      <w:tr w14:paraId="09452990">
        <w:tc>
          <w:tcPr>
            <w:tcW w:w="2829" w:type="dxa"/>
            <w:vAlign w:val="center"/>
          </w:tcPr>
          <w:p w14:paraId="4D22B9DC">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r>
              <w:rPr>
                <w:rFonts w:hint="default" w:cs="Times New Roman"/>
                <w:color w:val="auto"/>
                <w:vertAlign w:val="baseline"/>
                <w:lang w:val="en-US" w:eastAsia="zh-CN"/>
                <w14:ligatures w14:val="standardContextual"/>
              </w:rPr>
              <w:t>2024年X月至X月</w:t>
            </w:r>
          </w:p>
        </w:tc>
        <w:tc>
          <w:tcPr>
            <w:tcW w:w="6571" w:type="dxa"/>
            <w:vAlign w:val="center"/>
          </w:tcPr>
          <w:p w14:paraId="68602502">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p w14:paraId="6EAF702C">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tc>
      </w:tr>
      <w:tr w14:paraId="2F7412C4">
        <w:tc>
          <w:tcPr>
            <w:tcW w:w="2829" w:type="dxa"/>
            <w:vAlign w:val="center"/>
          </w:tcPr>
          <w:p w14:paraId="6E99B83C">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r>
              <w:rPr>
                <w:rFonts w:hint="default" w:cs="Times New Roman"/>
                <w:color w:val="auto"/>
                <w:vertAlign w:val="baseline"/>
                <w:lang w:val="en-US" w:eastAsia="zh-CN"/>
                <w14:ligatures w14:val="standardContextual"/>
              </w:rPr>
              <w:t>202</w:t>
            </w:r>
            <w:r>
              <w:rPr>
                <w:rFonts w:hint="eastAsia" w:cs="Times New Roman"/>
                <w:color w:val="auto"/>
                <w:vertAlign w:val="baseline"/>
                <w:lang w:val="en-US" w:eastAsia="zh-CN"/>
                <w14:ligatures w14:val="standardContextual"/>
              </w:rPr>
              <w:t>5</w:t>
            </w:r>
            <w:r>
              <w:rPr>
                <w:rFonts w:hint="default" w:cs="Times New Roman"/>
                <w:color w:val="auto"/>
                <w:vertAlign w:val="baseline"/>
                <w:lang w:val="en-US" w:eastAsia="zh-CN"/>
                <w14:ligatures w14:val="standardContextual"/>
              </w:rPr>
              <w:t>年X月至X月</w:t>
            </w:r>
          </w:p>
        </w:tc>
        <w:tc>
          <w:tcPr>
            <w:tcW w:w="6571" w:type="dxa"/>
            <w:vAlign w:val="center"/>
          </w:tcPr>
          <w:p w14:paraId="53CC36B1">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p w14:paraId="02B9C30B">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tc>
      </w:tr>
      <w:tr w14:paraId="1B9E0C5A">
        <w:tc>
          <w:tcPr>
            <w:tcW w:w="2829" w:type="dxa"/>
            <w:vAlign w:val="center"/>
          </w:tcPr>
          <w:p w14:paraId="306C89A5">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r>
              <w:rPr>
                <w:rFonts w:hint="eastAsia" w:cs="Times New Roman"/>
                <w:color w:val="auto"/>
                <w:vertAlign w:val="baseline"/>
                <w:lang w:val="en-US" w:eastAsia="zh-CN"/>
                <w14:ligatures w14:val="standardContextual"/>
              </w:rPr>
              <w:t>……</w:t>
            </w:r>
          </w:p>
        </w:tc>
        <w:tc>
          <w:tcPr>
            <w:tcW w:w="6571" w:type="dxa"/>
            <w:vAlign w:val="center"/>
          </w:tcPr>
          <w:p w14:paraId="5D313714">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p w14:paraId="37FCC171">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tc>
      </w:tr>
    </w:tbl>
    <w:p w14:paraId="072512BD">
      <w:pPr>
        <w:bidi w:val="0"/>
        <w:rPr>
          <w:rFonts w:hint="eastAsia"/>
          <w:lang w:val="zh-CN"/>
        </w:rPr>
      </w:pPr>
    </w:p>
    <w:p w14:paraId="1F8ADE6A">
      <w:pPr>
        <w:numPr>
          <w:ilvl w:val="0"/>
          <w:numId w:val="1"/>
        </w:numPr>
        <w:adjustRightInd w:val="0"/>
        <w:snapToGrid w:val="0"/>
        <w:spacing w:line="360" w:lineRule="auto"/>
        <w:ind w:left="0" w:leftChars="0" w:firstLine="572" w:firstLineChars="200"/>
        <w:outlineLvl w:val="1"/>
        <w:rPr>
          <w:rFonts w:eastAsia="楷体_GB2312"/>
          <w:szCs w:val="28"/>
          <w:lang w:val="zh-CN"/>
        </w:rPr>
      </w:pPr>
      <w:bookmarkStart w:id="13" w:name="_Toc172321786"/>
      <w:r>
        <w:rPr>
          <w:rFonts w:eastAsia="楷体_GB2312"/>
          <w:szCs w:val="28"/>
          <w:lang w:val="zh-CN"/>
        </w:rPr>
        <w:t>风险分析与控制</w:t>
      </w:r>
      <w:bookmarkEnd w:id="13"/>
    </w:p>
    <w:p w14:paraId="2160D448">
      <w:pPr>
        <w:pStyle w:val="2"/>
        <w:numPr>
          <w:ilvl w:val="0"/>
          <w:numId w:val="34"/>
        </w:numPr>
        <w:ind w:leftChars="200"/>
        <w:rPr>
          <w:rFonts w:hint="default"/>
          <w:lang w:val="en-US" w:eastAsia="zh-CN"/>
        </w:rPr>
      </w:pPr>
      <w:r>
        <w:rPr>
          <w:rFonts w:hint="eastAsia"/>
          <w:lang w:val="en-US" w:eastAsia="zh-CN"/>
        </w:rPr>
        <w:t>技术风险</w:t>
      </w:r>
    </w:p>
    <w:p w14:paraId="6443D977">
      <w:pPr>
        <w:pStyle w:val="2"/>
        <w:numPr>
          <w:ilvl w:val="0"/>
          <w:numId w:val="0"/>
        </w:numPr>
        <w:ind w:left="420" w:leftChars="0" w:firstLine="0" w:firstLineChars="0"/>
        <w:rPr>
          <w:rFonts w:hint="eastAsia"/>
          <w:lang w:val="en-US" w:eastAsia="zh-CN"/>
        </w:rPr>
      </w:pPr>
      <w:r>
        <w:rPr>
          <w:rFonts w:hint="eastAsia"/>
          <w:b/>
          <w:bCs/>
          <w:lang w:val="en-US" w:eastAsia="zh-CN"/>
        </w:rPr>
        <w:t>风险说明：</w:t>
      </w:r>
      <w:r>
        <w:rPr>
          <w:rFonts w:hint="eastAsia"/>
          <w:lang w:val="en-US" w:eastAsia="zh-CN"/>
        </w:rPr>
        <w:t>6G 关键技术尚无业界定论，本项目需要在两年内把“超宽带超线性基带信号处理＋轻量化空口 AI＋端侧 NPU 协同”一整条链路做出原理样机，而其中每一环都列入了项目自认的四大技术难题（非线性失真补偿、稀疏剪枝／量化、全链路高能效 NPU、终端全生命周期管理）。同时，国际标准对端侧能效提出了 pJ/bit 级新门槛，且将在 2024-2027 年确定候选空口方案，时间窗口紧迫。</w:t>
      </w:r>
    </w:p>
    <w:p w14:paraId="7AC8DF5C">
      <w:pPr>
        <w:pStyle w:val="2"/>
        <w:numPr>
          <w:ilvl w:val="0"/>
          <w:numId w:val="0"/>
        </w:numPr>
        <w:ind w:left="420" w:leftChars="0" w:firstLine="0" w:firstLineChars="0"/>
        <w:rPr>
          <w:rFonts w:hint="eastAsia"/>
          <w:b/>
          <w:bCs/>
          <w:lang w:val="en-US" w:eastAsia="zh-CN"/>
        </w:rPr>
      </w:pPr>
      <w:r>
        <w:rPr>
          <w:rFonts w:hint="eastAsia"/>
          <w:b/>
          <w:bCs/>
          <w:lang w:val="en-US" w:eastAsia="zh-CN"/>
        </w:rPr>
        <w:t>控制措施：</w:t>
      </w:r>
    </w:p>
    <w:p w14:paraId="0C273548">
      <w:pPr>
        <w:pStyle w:val="2"/>
        <w:numPr>
          <w:ilvl w:val="0"/>
          <w:numId w:val="35"/>
        </w:numPr>
        <w:ind w:left="420" w:leftChars="0" w:firstLine="0" w:firstLineChars="0"/>
        <w:rPr>
          <w:rFonts w:hint="default"/>
          <w:b w:val="0"/>
          <w:bCs w:val="0"/>
          <w:lang w:val="en-US" w:eastAsia="zh-CN"/>
        </w:rPr>
      </w:pPr>
      <w:r>
        <w:rPr>
          <w:rFonts w:hint="default"/>
          <w:b w:val="0"/>
          <w:bCs w:val="0"/>
          <w:lang w:val="en-US" w:eastAsia="zh-CN"/>
        </w:rPr>
        <w:t>采用“模型仿真 → FPGA 快原型 → 小批量流片”的三级闸门式迭代，任何环节若未达成指标即可在上一阶段回滚；</w:t>
      </w:r>
    </w:p>
    <w:p w14:paraId="68B677A9">
      <w:pPr>
        <w:pStyle w:val="2"/>
        <w:numPr>
          <w:ilvl w:val="0"/>
          <w:numId w:val="35"/>
        </w:numPr>
        <w:ind w:left="420" w:leftChars="0" w:firstLine="0" w:firstLineChars="0"/>
        <w:rPr>
          <w:rFonts w:hint="default"/>
          <w:b w:val="0"/>
          <w:bCs w:val="0"/>
          <w:lang w:val="en-US" w:eastAsia="zh-CN"/>
        </w:rPr>
      </w:pPr>
      <w:r>
        <w:rPr>
          <w:rFonts w:hint="default"/>
          <w:b w:val="0"/>
          <w:bCs w:val="0"/>
          <w:lang w:val="en-US" w:eastAsia="zh-CN"/>
        </w:rPr>
        <w:t>在每半年里程碑评审前，由专家组对算法性能、版图功耗与工艺良率做同步把关，必要时以 FPGA/ASIC 混合验证兜底；</w:t>
      </w:r>
    </w:p>
    <w:p w14:paraId="69AE09F2">
      <w:pPr>
        <w:pStyle w:val="2"/>
        <w:numPr>
          <w:ilvl w:val="0"/>
          <w:numId w:val="35"/>
        </w:numPr>
        <w:ind w:left="420" w:leftChars="0" w:firstLine="0" w:firstLineChars="0"/>
        <w:rPr>
          <w:rFonts w:hint="default"/>
          <w:b w:val="0"/>
          <w:bCs w:val="0"/>
          <w:lang w:val="en-US" w:eastAsia="zh-CN"/>
        </w:rPr>
      </w:pPr>
      <w:r>
        <w:rPr>
          <w:rFonts w:hint="default"/>
          <w:b w:val="0"/>
          <w:bCs w:val="0"/>
          <w:lang w:val="en-US" w:eastAsia="zh-CN"/>
        </w:rPr>
        <w:t>充分利用交大 CNAS/CMA 资质实验室和张江-临港试验网的通道／设备资源，保证关键测试数据实时闭环。</w:t>
      </w:r>
    </w:p>
    <w:p w14:paraId="263519AE">
      <w:pPr>
        <w:pStyle w:val="2"/>
        <w:numPr>
          <w:ilvl w:val="0"/>
          <w:numId w:val="34"/>
        </w:numPr>
        <w:ind w:leftChars="200"/>
        <w:rPr>
          <w:rFonts w:hint="default"/>
          <w:lang w:val="en-US" w:eastAsia="zh-CN"/>
        </w:rPr>
      </w:pPr>
      <w:r>
        <w:rPr>
          <w:rFonts w:hint="eastAsia"/>
          <w:lang w:val="en-US" w:eastAsia="zh-CN"/>
        </w:rPr>
        <w:t>市场风险</w:t>
      </w:r>
    </w:p>
    <w:p w14:paraId="2985F9C8">
      <w:pPr>
        <w:pStyle w:val="2"/>
        <w:numPr>
          <w:ilvl w:val="0"/>
          <w:numId w:val="0"/>
        </w:numPr>
        <w:ind w:firstLine="420" w:firstLineChars="0"/>
        <w:rPr>
          <w:rFonts w:hint="default"/>
          <w:lang w:val="en-US" w:eastAsia="zh-CN"/>
        </w:rPr>
      </w:pPr>
      <w:r>
        <w:rPr>
          <w:rFonts w:hint="default"/>
          <w:b/>
          <w:bCs/>
          <w:lang w:val="en-US" w:eastAsia="zh-CN"/>
        </w:rPr>
        <w:t>风险说明：</w:t>
      </w:r>
      <w:r>
        <w:rPr>
          <w:rFonts w:hint="default"/>
          <w:lang w:val="en-US" w:eastAsia="zh-CN"/>
        </w:rPr>
        <w:t>垂直行业对 6G-AI 终端的商用模式尚在培育，产业链又面临外部供应链与地缘政治不确定性；若原型样机缺乏具体落地场景，容易陷入“标准提案通过、产品却无客户”的尴尬。</w:t>
      </w:r>
    </w:p>
    <w:p w14:paraId="34DCAF50">
      <w:pPr>
        <w:pStyle w:val="2"/>
        <w:numPr>
          <w:ilvl w:val="0"/>
          <w:numId w:val="0"/>
        </w:numPr>
        <w:ind w:firstLine="420" w:firstLineChars="0"/>
        <w:rPr>
          <w:rFonts w:hint="eastAsia"/>
          <w:b/>
          <w:bCs/>
          <w:lang w:val="en-US" w:eastAsia="zh-CN"/>
        </w:rPr>
      </w:pPr>
      <w:r>
        <w:rPr>
          <w:rFonts w:hint="eastAsia"/>
          <w:b/>
          <w:bCs/>
          <w:lang w:val="en-US" w:eastAsia="zh-CN"/>
        </w:rPr>
        <w:t>控制措施：</w:t>
      </w:r>
    </w:p>
    <w:p w14:paraId="6B4689D8">
      <w:pPr>
        <w:pStyle w:val="2"/>
        <w:numPr>
          <w:ilvl w:val="0"/>
          <w:numId w:val="36"/>
        </w:numPr>
        <w:ind w:left="420" w:leftChars="0" w:hanging="420" w:firstLineChars="0"/>
        <w:rPr>
          <w:rFonts w:hint="eastAsia"/>
          <w:lang w:val="en-US" w:eastAsia="zh-CN"/>
        </w:rPr>
      </w:pPr>
      <w:r>
        <w:rPr>
          <w:rFonts w:hint="eastAsia"/>
          <w:lang w:val="en-US" w:eastAsia="zh-CN"/>
        </w:rPr>
        <w:t>以项目园区试验网为“先导市场”，优先在工业物联网、智能安防等场景做端到端示范，打通算法-芯片-系统闭环；</w:t>
      </w:r>
    </w:p>
    <w:p w14:paraId="04A4666D">
      <w:pPr>
        <w:pStyle w:val="2"/>
        <w:numPr>
          <w:ilvl w:val="0"/>
          <w:numId w:val="36"/>
        </w:numPr>
        <w:ind w:left="420" w:leftChars="0" w:hanging="420" w:firstLineChars="0"/>
        <w:rPr>
          <w:rFonts w:hint="default"/>
          <w:lang w:val="en-US" w:eastAsia="zh-CN"/>
        </w:rPr>
      </w:pPr>
      <w:r>
        <w:rPr>
          <w:rFonts w:hint="eastAsia"/>
          <w:lang w:val="en-US" w:eastAsia="zh-CN"/>
        </w:rPr>
        <w:t>借助翱捷 400 余项通信专利与成熟渠道，把原型样机对接其现有手机、可穿戴和智慧城市客户，缩短从验证到量产的路径；</w:t>
      </w:r>
    </w:p>
    <w:p w14:paraId="58790D0D">
      <w:pPr>
        <w:pStyle w:val="2"/>
        <w:numPr>
          <w:ilvl w:val="0"/>
          <w:numId w:val="36"/>
        </w:numPr>
        <w:ind w:left="420" w:leftChars="0" w:hanging="420" w:firstLineChars="0"/>
        <w:rPr>
          <w:rFonts w:hint="default"/>
          <w:lang w:val="en-US" w:eastAsia="zh-CN"/>
        </w:rPr>
      </w:pPr>
      <w:r>
        <w:rPr>
          <w:rFonts w:hint="eastAsia"/>
          <w:lang w:val="en-US" w:eastAsia="zh-CN"/>
        </w:rPr>
        <w:t>通过 ITU／IMT-2030／3GPP 标准提案绑定全球生态伙伴，形成交叉许可与联合推广机制，降低被海外方案快速替代的风险。</w:t>
      </w:r>
    </w:p>
    <w:p w14:paraId="64996FD9">
      <w:pPr>
        <w:pStyle w:val="2"/>
        <w:numPr>
          <w:ilvl w:val="0"/>
          <w:numId w:val="34"/>
        </w:numPr>
        <w:ind w:leftChars="200"/>
        <w:rPr>
          <w:rFonts w:hint="default"/>
          <w:lang w:val="en-US" w:eastAsia="zh-CN"/>
        </w:rPr>
      </w:pPr>
      <w:r>
        <w:rPr>
          <w:rFonts w:hint="eastAsia"/>
          <w:lang w:val="en-US" w:eastAsia="zh-CN"/>
        </w:rPr>
        <w:t>政策风险</w:t>
      </w:r>
    </w:p>
    <w:p w14:paraId="06415F24">
      <w:pPr>
        <w:pStyle w:val="2"/>
        <w:numPr>
          <w:ilvl w:val="0"/>
          <w:numId w:val="0"/>
        </w:numPr>
        <w:ind w:firstLine="420" w:firstLineChars="0"/>
        <w:rPr>
          <w:rFonts w:hint="eastAsia"/>
          <w:b w:val="0"/>
          <w:bCs w:val="0"/>
          <w:lang w:val="en-US" w:eastAsia="zh-CN"/>
        </w:rPr>
      </w:pPr>
      <w:r>
        <w:rPr>
          <w:rFonts w:hint="eastAsia"/>
          <w:b/>
          <w:bCs/>
          <w:lang w:val="en-US" w:eastAsia="zh-CN"/>
        </w:rPr>
        <w:t>风险说明：</w:t>
      </w:r>
      <w:r>
        <w:rPr>
          <w:rFonts w:hint="eastAsia"/>
          <w:b w:val="0"/>
          <w:bCs w:val="0"/>
          <w:lang w:val="en-US" w:eastAsia="zh-CN"/>
        </w:rPr>
        <w:t>国家把 6G 视为新基建核心方向，整体政策环境友好，但项目仍需防范科研经费拨付节奏、审计合规及数据安全等环节的细节风险。</w:t>
      </w:r>
    </w:p>
    <w:p w14:paraId="07F8C47F">
      <w:pPr>
        <w:pStyle w:val="2"/>
        <w:numPr>
          <w:ilvl w:val="0"/>
          <w:numId w:val="0"/>
        </w:numPr>
        <w:ind w:firstLine="420" w:firstLineChars="0"/>
        <w:rPr>
          <w:rFonts w:hint="default"/>
          <w:b w:val="0"/>
          <w:bCs w:val="0"/>
          <w:lang w:val="en-US" w:eastAsia="zh-CN"/>
        </w:rPr>
      </w:pPr>
      <w:r>
        <w:rPr>
          <w:rFonts w:hint="default"/>
          <w:b/>
          <w:bCs/>
          <w:lang w:val="en-US" w:eastAsia="zh-CN"/>
        </w:rPr>
        <w:t>控制措施：</w:t>
      </w:r>
    </w:p>
    <w:p w14:paraId="688A6EFE">
      <w:pPr>
        <w:pStyle w:val="2"/>
        <w:numPr>
          <w:ilvl w:val="0"/>
          <w:numId w:val="37"/>
        </w:numPr>
        <w:ind w:left="420" w:leftChars="0" w:hanging="420" w:firstLineChars="0"/>
        <w:rPr>
          <w:rFonts w:hint="default"/>
          <w:b w:val="0"/>
          <w:bCs w:val="0"/>
          <w:lang w:val="en-US" w:eastAsia="zh-CN"/>
        </w:rPr>
      </w:pPr>
      <w:r>
        <w:rPr>
          <w:rFonts w:hint="default"/>
          <w:b w:val="0"/>
          <w:bCs w:val="0"/>
          <w:lang w:val="en-US" w:eastAsia="zh-CN"/>
        </w:rPr>
        <w:t>已落实 “专项 500 万元 + 企业自筹 1 000 万元” 2∶1 配比资金，并在中国银行开设“6G 专账”按季对账、年度审计，任何拨付延迟可启动三方企业不超过 20 % 的垫付额度；</w:t>
      </w:r>
    </w:p>
    <w:p w14:paraId="01C11549">
      <w:pPr>
        <w:pStyle w:val="2"/>
        <w:numPr>
          <w:ilvl w:val="0"/>
          <w:numId w:val="37"/>
        </w:numPr>
        <w:ind w:left="420" w:leftChars="0" w:hanging="420" w:firstLineChars="0"/>
        <w:rPr>
          <w:rFonts w:hint="default"/>
          <w:b w:val="0"/>
          <w:bCs w:val="0"/>
          <w:lang w:val="en-US" w:eastAsia="zh-CN"/>
        </w:rPr>
      </w:pPr>
      <w:r>
        <w:rPr>
          <w:rFonts w:hint="default"/>
          <w:b w:val="0"/>
          <w:bCs w:val="0"/>
          <w:lang w:val="en-US" w:eastAsia="zh-CN"/>
        </w:rPr>
        <w:t>依托 PMO 建立财务、法务、数据三条合规检查清单：经费支出需双人复核，研发文档必须入库且留痕，核心算法与版图文件在隔离内网环境操作并定期安全审计；</w:t>
      </w:r>
    </w:p>
    <w:p w14:paraId="3251C602">
      <w:pPr>
        <w:pStyle w:val="2"/>
        <w:numPr>
          <w:ilvl w:val="0"/>
          <w:numId w:val="37"/>
        </w:numPr>
        <w:ind w:left="420" w:leftChars="0" w:hanging="420" w:firstLineChars="0"/>
        <w:rPr>
          <w:rFonts w:hint="default"/>
          <w:b w:val="0"/>
          <w:bCs w:val="0"/>
          <w:lang w:val="en-US" w:eastAsia="zh-CN"/>
        </w:rPr>
      </w:pPr>
      <w:r>
        <w:rPr>
          <w:rFonts w:hint="default"/>
          <w:b w:val="0"/>
          <w:bCs w:val="0"/>
          <w:lang w:val="en-US" w:eastAsia="zh-CN"/>
        </w:rPr>
        <w:t>对外合作与数据流转严格执行《个人信息保护法》《数据安全法》，所有实测数据经脱敏后方可共享，确保知识产权和数据安全“可追溯、可追责”。</w:t>
      </w:r>
    </w:p>
    <w:p w14:paraId="14455020">
      <w:pPr>
        <w:pStyle w:val="2"/>
        <w:numPr>
          <w:ilvl w:val="0"/>
          <w:numId w:val="0"/>
        </w:numPr>
        <w:ind w:leftChars="0"/>
        <w:rPr>
          <w:rFonts w:hint="default"/>
          <w:b w:val="0"/>
          <w:bCs w:val="0"/>
          <w:lang w:val="en-US" w:eastAsia="zh-CN"/>
        </w:rPr>
      </w:pPr>
      <w:r>
        <w:rPr>
          <w:rFonts w:hint="default"/>
          <w:b w:val="0"/>
          <w:bCs w:val="0"/>
          <w:lang w:val="en-US" w:eastAsia="zh-CN"/>
        </w:rPr>
        <w:t>综合评估：通过“三级技术闸门 + 场景先导示范 + 专账合规监管”三道防线，项目将技术、市场与政策三类主要风险转化为可观测、可量化、可回退的管理节点，为按期完成“发射机功率效率↑10 %、终端 NPU ≥ 4 TOPS、标准提案≥ 5 件”等核心指标提供了稳固保障。</w:t>
      </w:r>
    </w:p>
    <w:p w14:paraId="4DA38BBC">
      <w:pPr>
        <w:adjustRightInd w:val="0"/>
        <w:snapToGrid w:val="0"/>
        <w:spacing w:line="360" w:lineRule="auto"/>
        <w:outlineLvl w:val="0"/>
        <w:rPr>
          <w:rFonts w:hint="eastAsia" w:eastAsia="黑体"/>
          <w:sz w:val="32"/>
          <w:szCs w:val="32"/>
          <w:lang w:val="en-US" w:eastAsia="zh-CN"/>
        </w:rPr>
      </w:pPr>
      <w:r>
        <w:rPr>
          <w:rFonts w:hint="eastAsia" w:eastAsia="黑体"/>
          <w:sz w:val="32"/>
          <w:szCs w:val="32"/>
          <w:lang w:val="en-US" w:eastAsia="zh-CN"/>
        </w:rPr>
        <w:t>五、预期成果与考核指标</w:t>
      </w:r>
    </w:p>
    <w:p w14:paraId="08D49CFC">
      <w:pPr>
        <w:adjustRightInd w:val="0"/>
        <w:snapToGrid w:val="0"/>
        <w:spacing w:line="360" w:lineRule="auto"/>
        <w:ind w:firstLine="572" w:firstLineChars="200"/>
        <w:outlineLvl w:val="1"/>
        <w:rPr>
          <w:rFonts w:hint="default" w:eastAsia="黑体"/>
          <w:sz w:val="32"/>
          <w:szCs w:val="32"/>
          <w:lang w:val="en-US" w:eastAsia="zh-CN"/>
        </w:rPr>
      </w:pPr>
      <w:r>
        <w:rPr>
          <w:rFonts w:hint="eastAsia" w:eastAsia="楷体_GB2312"/>
          <w:szCs w:val="28"/>
          <w:lang w:val="en-US" w:eastAsia="zh-CN"/>
        </w:rPr>
        <w:t>主要阐述：项目总体预期成果与考核指标，每项里程碑节点预期成果与考核指标。</w:t>
      </w:r>
    </w:p>
    <w:p w14:paraId="670C0AD1">
      <w:pPr>
        <w:numPr>
          <w:ilvl w:val="0"/>
          <w:numId w:val="0"/>
        </w:numPr>
        <w:adjustRightInd w:val="0"/>
        <w:snapToGrid w:val="0"/>
        <w:spacing w:line="360" w:lineRule="auto"/>
        <w:outlineLvl w:val="0"/>
        <w:rPr>
          <w:rFonts w:eastAsia="黑体"/>
          <w:sz w:val="32"/>
          <w:szCs w:val="32"/>
        </w:rPr>
      </w:pPr>
      <w:bookmarkStart w:id="14" w:name="_Toc172321787"/>
      <w:bookmarkStart w:id="15" w:name="_Hlk65778985"/>
      <w:r>
        <w:rPr>
          <w:rFonts w:hint="eastAsia" w:eastAsia="黑体"/>
          <w:sz w:val="32"/>
          <w:szCs w:val="32"/>
          <w:lang w:val="en-US" w:eastAsia="zh-CN"/>
        </w:rPr>
        <w:t>六、</w:t>
      </w:r>
      <w:r>
        <w:rPr>
          <w:rFonts w:eastAsia="黑体"/>
          <w:sz w:val="32"/>
          <w:szCs w:val="32"/>
        </w:rPr>
        <w:t>现有工作基础</w:t>
      </w:r>
      <w:bookmarkEnd w:id="14"/>
    </w:p>
    <w:p w14:paraId="67CDAB03">
      <w:pPr>
        <w:snapToGrid w:val="0"/>
        <w:spacing w:line="360" w:lineRule="auto"/>
        <w:ind w:firstLine="572" w:firstLineChars="200"/>
        <w:outlineLvl w:val="1"/>
        <w:rPr>
          <w:rFonts w:hint="eastAsia" w:eastAsia="楷体_GB2312"/>
          <w:szCs w:val="28"/>
          <w:lang w:val="en-US" w:eastAsia="zh-CN"/>
        </w:rPr>
      </w:pPr>
      <w:r>
        <w:rPr>
          <w:rFonts w:hint="eastAsia" w:eastAsia="楷体_GB2312"/>
          <w:lang w:val="en-US" w:eastAsia="zh-CN"/>
        </w:rPr>
        <w:t>主要阐述：项目组现有工作基础，研究团队的人员结构、技术优势、资金等</w:t>
      </w:r>
      <w:r>
        <w:rPr>
          <w:rFonts w:hint="eastAsia" w:eastAsia="楷体_GB2312"/>
          <w:szCs w:val="28"/>
          <w:lang w:val="en-US" w:eastAsia="zh-CN"/>
        </w:rPr>
        <w:t>保障条件。</w:t>
      </w:r>
    </w:p>
    <w:p w14:paraId="42A00422">
      <w:pPr>
        <w:pStyle w:val="6"/>
        <w:keepNext w:val="0"/>
        <w:keepLines w:val="0"/>
        <w:widowControl/>
        <w:suppressLineNumbers w:val="0"/>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1. 前期研究与成果沉淀</w:t>
      </w:r>
    </w:p>
    <w:p w14:paraId="145EA342">
      <w:pPr>
        <w:pStyle w:val="16"/>
        <w:keepNext w:val="0"/>
        <w:keepLines w:val="0"/>
        <w:widowControl/>
        <w:numPr>
          <w:ilvl w:val="0"/>
          <w:numId w:val="38"/>
        </w:numPr>
        <w:suppressLineNumbers w:val="0"/>
        <w:ind w:left="420" w:leftChars="0" w:hanging="420" w:firstLineChars="0"/>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理论与标准化积累：项目组近五年在 IEEE TWC/TCom/JSAC 等旗舰期刊及 ICC、GLOBECOM 等会议发表论文 100 余篇，并向 ITU、IMT-2030、3GPP 等组织提交数十项标准提案，奠定了深厚的 6G-AI 融合研究基础。</w:t>
      </w:r>
    </w:p>
    <w:p w14:paraId="6C312123">
      <w:pPr>
        <w:pStyle w:val="16"/>
        <w:keepNext w:val="0"/>
        <w:keepLines w:val="0"/>
        <w:widowControl/>
        <w:numPr>
          <w:ilvl w:val="0"/>
          <w:numId w:val="38"/>
        </w:numPr>
        <w:suppressLineNumbers w:val="0"/>
        <w:ind w:left="420" w:leftChars="0" w:hanging="420" w:firstLineChars="0"/>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原型与试验平台：团队已建成 CNAS/CMA 资质实验室，在张江与临港部署试验专网及示范网络，并完成 SEANet 规模化验证，覆盖校园、大科学装置、工业现场等典型场景，为后续 6G 端侧样机研发提供了成熟的软硬件平台和实测数据。</w:t>
      </w:r>
    </w:p>
    <w:p w14:paraId="15C9E6EE">
      <w:pPr>
        <w:pStyle w:val="6"/>
        <w:keepNext w:val="0"/>
        <w:keepLines w:val="0"/>
        <w:widowControl/>
        <w:suppressLineNumbers w:val="0"/>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2. 研究团队与人员结构</w:t>
      </w:r>
    </w:p>
    <w:tbl>
      <w:tblPr>
        <w:tblStyle w:val="1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9"/>
        <w:gridCol w:w="2632"/>
        <w:gridCol w:w="5463"/>
      </w:tblGrid>
      <w:tr w14:paraId="023A8809">
        <w:trPr>
          <w:tblHeader/>
          <w:tblCellSpacing w:w="15" w:type="dxa"/>
        </w:trPr>
        <w:tc>
          <w:tcPr>
            <w:tcW w:w="0" w:type="auto"/>
            <w:shd w:val="clear" w:color="auto" w:fill="auto"/>
            <w:vAlign w:val="center"/>
          </w:tcPr>
          <w:p w14:paraId="7AC44048">
            <w:pPr>
              <w:keepNext w:val="0"/>
              <w:keepLines w:val="0"/>
              <w:widowControl/>
              <w:suppressLineNumbers w:val="0"/>
              <w:jc w:val="center"/>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单位</w:t>
            </w:r>
          </w:p>
        </w:tc>
        <w:tc>
          <w:tcPr>
            <w:tcW w:w="0" w:type="auto"/>
            <w:shd w:val="clear" w:color="auto" w:fill="auto"/>
            <w:vAlign w:val="center"/>
          </w:tcPr>
          <w:p w14:paraId="51D812B5">
            <w:pPr>
              <w:keepNext w:val="0"/>
              <w:keepLines w:val="0"/>
              <w:widowControl/>
              <w:suppressLineNumbers w:val="0"/>
              <w:jc w:val="center"/>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核心团队构成</w:t>
            </w:r>
          </w:p>
        </w:tc>
        <w:tc>
          <w:tcPr>
            <w:tcW w:w="0" w:type="auto"/>
            <w:shd w:val="clear" w:color="auto" w:fill="auto"/>
            <w:vAlign w:val="center"/>
          </w:tcPr>
          <w:p w14:paraId="44210E4B">
            <w:pPr>
              <w:keepNext w:val="0"/>
              <w:keepLines w:val="0"/>
              <w:widowControl/>
              <w:suppressLineNumbers w:val="0"/>
              <w:jc w:val="center"/>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角色分工与优势</w:t>
            </w:r>
          </w:p>
        </w:tc>
      </w:tr>
      <w:tr w14:paraId="54503EF4">
        <w:trPr>
          <w:tblCellSpacing w:w="15" w:type="dxa"/>
        </w:trPr>
        <w:tc>
          <w:tcPr>
            <w:tcW w:w="0" w:type="auto"/>
            <w:shd w:val="clear" w:color="auto" w:fill="auto"/>
            <w:vAlign w:val="center"/>
          </w:tcPr>
          <w:p w14:paraId="6E9BA51D">
            <w:pPr>
              <w:keepNext w:val="0"/>
              <w:keepLines w:val="0"/>
              <w:widowControl/>
              <w:suppressLineNumbers w:val="0"/>
              <w:jc w:val="left"/>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上海交通大学</w:t>
            </w:r>
          </w:p>
        </w:tc>
        <w:tc>
          <w:tcPr>
            <w:tcW w:w="0" w:type="auto"/>
            <w:shd w:val="clear" w:color="auto" w:fill="auto"/>
            <w:vAlign w:val="center"/>
          </w:tcPr>
          <w:p w14:paraId="2A5CFE73">
            <w:pPr>
              <w:keepNext w:val="0"/>
              <w:keepLines w:val="0"/>
              <w:widowControl/>
              <w:suppressLineNumbers w:val="0"/>
              <w:jc w:val="left"/>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6 名教师 + 30 余名研究生，依托数据服务实验室</w:t>
            </w:r>
          </w:p>
        </w:tc>
        <w:tc>
          <w:tcPr>
            <w:tcW w:w="0" w:type="auto"/>
            <w:shd w:val="clear" w:color="auto" w:fill="auto"/>
            <w:vAlign w:val="center"/>
          </w:tcPr>
          <w:p w14:paraId="43057298">
            <w:pPr>
              <w:keepNext w:val="0"/>
              <w:keepLines w:val="0"/>
              <w:widowControl/>
              <w:suppressLineNumbers w:val="0"/>
              <w:jc w:val="left"/>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负责算法/协议栈研究与系统联调，拥有完整的有线/无线混合试验平台，以及“双一流”与上海市科委高峰学科资金支持</w:t>
            </w:r>
          </w:p>
        </w:tc>
      </w:tr>
      <w:tr w14:paraId="51D5742E">
        <w:trPr>
          <w:tblCellSpacing w:w="15" w:type="dxa"/>
        </w:trPr>
        <w:tc>
          <w:tcPr>
            <w:tcW w:w="0" w:type="auto"/>
            <w:shd w:val="clear" w:color="auto" w:fill="auto"/>
            <w:vAlign w:val="center"/>
          </w:tcPr>
          <w:p w14:paraId="008F4654">
            <w:pPr>
              <w:keepNext w:val="0"/>
              <w:keepLines w:val="0"/>
              <w:widowControl/>
              <w:suppressLineNumbers w:val="0"/>
              <w:jc w:val="left"/>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上海烨知芯科技</w:t>
            </w:r>
          </w:p>
        </w:tc>
        <w:tc>
          <w:tcPr>
            <w:tcW w:w="0" w:type="auto"/>
            <w:shd w:val="clear" w:color="auto" w:fill="auto"/>
            <w:vAlign w:val="center"/>
          </w:tcPr>
          <w:p w14:paraId="42B47920">
            <w:pPr>
              <w:keepNext w:val="0"/>
              <w:keepLines w:val="0"/>
              <w:widowControl/>
              <w:suppressLineNumbers w:val="0"/>
              <w:jc w:val="left"/>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以自研 NPU 为核心的端侧 AI 芯片设计团队</w:t>
            </w:r>
          </w:p>
        </w:tc>
        <w:tc>
          <w:tcPr>
            <w:tcW w:w="0" w:type="auto"/>
            <w:shd w:val="clear" w:color="auto" w:fill="auto"/>
            <w:vAlign w:val="center"/>
          </w:tcPr>
          <w:p w14:paraId="1CCB4B21">
            <w:pPr>
              <w:keepNext w:val="0"/>
              <w:keepLines w:val="0"/>
              <w:widowControl/>
              <w:suppressLineNumbers w:val="0"/>
              <w:jc w:val="left"/>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负责低功耗 NPU IP、SoC 设计与软硬件协同优化，填补“小-中算力端侧算力”市场空白</w:t>
            </w:r>
          </w:p>
        </w:tc>
      </w:tr>
      <w:tr w14:paraId="315269DE">
        <w:trPr>
          <w:tblCellSpacing w:w="15" w:type="dxa"/>
        </w:trPr>
        <w:tc>
          <w:tcPr>
            <w:tcW w:w="0" w:type="auto"/>
            <w:shd w:val="clear" w:color="auto" w:fill="auto"/>
            <w:vAlign w:val="center"/>
          </w:tcPr>
          <w:p w14:paraId="270C68D0">
            <w:pPr>
              <w:keepNext w:val="0"/>
              <w:keepLines w:val="0"/>
              <w:widowControl/>
              <w:suppressLineNumbers w:val="0"/>
              <w:jc w:val="left"/>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翱捷科技 (ASR)</w:t>
            </w:r>
          </w:p>
        </w:tc>
        <w:tc>
          <w:tcPr>
            <w:tcW w:w="0" w:type="auto"/>
            <w:shd w:val="clear" w:color="auto" w:fill="auto"/>
            <w:vAlign w:val="center"/>
          </w:tcPr>
          <w:p w14:paraId="242E47BC">
            <w:pPr>
              <w:keepNext w:val="0"/>
              <w:keepLines w:val="0"/>
              <w:widowControl/>
              <w:suppressLineNumbers w:val="0"/>
              <w:jc w:val="left"/>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1000+ 员工，90% 为研发人员；硕博占比 &gt;70%</w:t>
            </w:r>
          </w:p>
        </w:tc>
        <w:tc>
          <w:tcPr>
            <w:tcW w:w="0" w:type="auto"/>
            <w:shd w:val="clear" w:color="auto" w:fill="auto"/>
            <w:vAlign w:val="center"/>
          </w:tcPr>
          <w:p w14:paraId="2CED8BCC">
            <w:pPr>
              <w:keepNext w:val="0"/>
              <w:keepLines w:val="0"/>
              <w:widowControl/>
              <w:suppressLineNumbers w:val="0"/>
              <w:jc w:val="left"/>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全球少数具备 2G-5G 全制式蜂窝基带芯片开发能力的 Fabless 公司，承担多频段射频/基带芯片与工艺流片，实现产品化与产业落地</w:t>
            </w:r>
          </w:p>
        </w:tc>
      </w:tr>
    </w:tbl>
    <w:p w14:paraId="280737C0">
      <w:pPr>
        <w:pStyle w:val="16"/>
        <w:keepNext w:val="0"/>
        <w:keepLines w:val="0"/>
        <w:widowControl/>
        <w:suppressLineNumbers w:val="0"/>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三方形成“算法-芯片-系统”互补体系：交大聚焦先进空口 AI 理论与整机验证，烨知芯提供高能效 NPU 与工具链，翱捷输出多制式基带/RF 及量产经验，实现从核心算法到终端 SoC 再到系统样机的全链路闭环。</w:t>
      </w:r>
    </w:p>
    <w:p w14:paraId="0F60AFAF">
      <w:pPr>
        <w:pStyle w:val="6"/>
        <w:keepNext w:val="0"/>
        <w:keepLines w:val="0"/>
        <w:widowControl/>
        <w:suppressLineNumbers w:val="0"/>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3. 技术与平台保障</w:t>
      </w:r>
    </w:p>
    <w:p w14:paraId="17512AB1">
      <w:pPr>
        <w:pStyle w:val="16"/>
        <w:keepNext w:val="0"/>
        <w:keepLines w:val="0"/>
        <w:widowControl/>
        <w:numPr>
          <w:ilvl w:val="0"/>
          <w:numId w:val="38"/>
        </w:numPr>
        <w:suppressLineNumbers w:val="0"/>
        <w:ind w:left="420" w:leftChars="0" w:hanging="420" w:firstLineChars="0"/>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实验与测试资源：项目组拥有 NI USRP、信道仿真仪、万兆 SDN 交换机、高性能 AI 服务器等关键设备，可直接满足超宽带非线性信号处理与空口 AI 模型验证需求。</w:t>
      </w:r>
    </w:p>
    <w:p w14:paraId="78C97153">
      <w:pPr>
        <w:pStyle w:val="16"/>
        <w:keepNext w:val="0"/>
        <w:keepLines w:val="0"/>
        <w:widowControl/>
        <w:numPr>
          <w:ilvl w:val="0"/>
          <w:numId w:val="38"/>
        </w:numPr>
        <w:suppressLineNumbers w:val="0"/>
        <w:ind w:left="420" w:leftChars="0" w:hanging="420" w:firstLineChars="0"/>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芯片全链路能力：翱捷已掌握超大规模数模混合集成、电路/射频一体化及超低功耗 SoC 设计工艺，配合烨知芯的自主 NPU，与项目研究任务中“基带-NPU 深度耦合”技术路线高度契合。</w:t>
      </w:r>
    </w:p>
    <w:p w14:paraId="35D9F0B4">
      <w:pPr>
        <w:pStyle w:val="6"/>
        <w:keepNext w:val="0"/>
        <w:keepLines w:val="0"/>
        <w:widowControl/>
        <w:suppressLineNumbers w:val="0"/>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4. 资金与组织保障</w:t>
      </w:r>
    </w:p>
    <w:p w14:paraId="375EDA93">
      <w:pPr>
        <w:pStyle w:val="16"/>
        <w:keepNext w:val="0"/>
        <w:keepLines w:val="0"/>
        <w:widowControl/>
        <w:numPr>
          <w:ilvl w:val="0"/>
          <w:numId w:val="38"/>
        </w:numPr>
        <w:suppressLineNumbers w:val="0"/>
        <w:ind w:left="420" w:leftChars="0" w:hanging="420" w:firstLineChars="0"/>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多源资金投入：交大获得学校“双一流”与市科委专项经费支持；烨知芯和翱捷分别完成多轮融资并获上海市“专精特新小巨人”“重点服务独角兽”等资质认定，具备持续投入研发的资金实力。</w:t>
      </w:r>
    </w:p>
    <w:p w14:paraId="6B6B7B16">
      <w:pPr>
        <w:pStyle w:val="16"/>
        <w:keepNext w:val="0"/>
        <w:keepLines w:val="0"/>
        <w:widowControl/>
        <w:numPr>
          <w:ilvl w:val="0"/>
          <w:numId w:val="38"/>
        </w:numPr>
        <w:suppressLineNumbers w:val="0"/>
        <w:ind w:left="420" w:leftChars="0" w:hanging="420" w:firstLineChars="0"/>
        <w:rPr>
          <w:rFonts w:hint="eastAsia" w:ascii="Times New Roman" w:hAnsi="Times New Roman" w:eastAsia="仿宋_GB2312" w:cs="Times New Roman"/>
          <w:b w:val="0"/>
          <w:bCs w:val="0"/>
          <w:kern w:val="2"/>
          <w:sz w:val="28"/>
          <w:szCs w:val="24"/>
          <w:lang w:val="en-US" w:eastAsia="zh-CN" w:bidi="ar-SA"/>
        </w:rPr>
      </w:pPr>
      <w:r>
        <w:rPr>
          <w:rFonts w:hint="eastAsia" w:ascii="Times New Roman" w:hAnsi="Times New Roman" w:eastAsia="仿宋_GB2312" w:cs="Times New Roman"/>
          <w:b w:val="0"/>
          <w:bCs w:val="0"/>
          <w:kern w:val="2"/>
          <w:sz w:val="28"/>
          <w:szCs w:val="24"/>
          <w:lang w:val="en-US" w:eastAsia="zh-CN" w:bidi="ar-SA"/>
        </w:rPr>
        <w:t>完善管理机制：已建立“组织实施小组 + 项目专家组”双轨制管理，配套科研、财务、人事等职能部门专款专用、专项管理，确保资源调度与风险管控到位。</w:t>
      </w:r>
    </w:p>
    <w:p w14:paraId="0505F080">
      <w:pPr>
        <w:pStyle w:val="16"/>
        <w:keepNext w:val="0"/>
        <w:keepLines w:val="0"/>
        <w:widowControl/>
        <w:suppressLineNumbers w:val="0"/>
        <w:rPr>
          <w:rFonts w:hint="default"/>
          <w:lang w:val="en-US"/>
        </w:rPr>
      </w:pPr>
      <w:r>
        <w:rPr>
          <w:rFonts w:hint="eastAsia" w:ascii="Times New Roman" w:hAnsi="Times New Roman" w:eastAsia="仿宋_GB2312" w:cs="Times New Roman"/>
          <w:b w:val="0"/>
          <w:bCs w:val="0"/>
          <w:kern w:val="2"/>
          <w:sz w:val="28"/>
          <w:szCs w:val="24"/>
          <w:lang w:val="en-US" w:eastAsia="zh-CN" w:bidi="ar-SA"/>
        </w:rPr>
        <w:t>综上，项目组在理论研究、标准化话语权、原型验证平台、芯片设计能力及资金与管理保障等方面均已形成坚实的“先行基础 + 协同优势”。这为后续攻克“低功耗超宽带超线性空口 AI 终端关键技术”、完成 6G 端侧样机与标准提案奠定了有力支撑。</w:t>
      </w:r>
    </w:p>
    <w:bookmarkEnd w:id="15"/>
    <w:p w14:paraId="279FA3B0">
      <w:pPr>
        <w:snapToGrid w:val="0"/>
        <w:spacing w:line="360" w:lineRule="auto"/>
        <w:outlineLvl w:val="0"/>
        <w:rPr>
          <w:rFonts w:hint="eastAsia" w:eastAsia="黑体"/>
          <w:sz w:val="32"/>
          <w:szCs w:val="32"/>
          <w:lang w:val="en-US" w:eastAsia="zh-CN"/>
        </w:rPr>
      </w:pPr>
      <w:bookmarkStart w:id="16" w:name="_Toc172321791"/>
      <w:r>
        <w:rPr>
          <w:rFonts w:hint="eastAsia" w:eastAsia="黑体"/>
          <w:sz w:val="32"/>
          <w:szCs w:val="32"/>
          <w:lang w:val="en-US" w:eastAsia="zh-CN"/>
        </w:rPr>
        <w:t>七、</w:t>
      </w:r>
      <w:r>
        <w:rPr>
          <w:rFonts w:eastAsia="黑体"/>
          <w:sz w:val="32"/>
          <w:szCs w:val="32"/>
        </w:rPr>
        <w:t>项目组织与</w:t>
      </w:r>
      <w:bookmarkEnd w:id="16"/>
      <w:bookmarkStart w:id="17" w:name="_Toc172321792"/>
      <w:r>
        <w:rPr>
          <w:rFonts w:hint="eastAsia" w:eastAsia="黑体"/>
          <w:sz w:val="32"/>
          <w:szCs w:val="32"/>
          <w:lang w:val="en-US" w:eastAsia="zh-CN"/>
        </w:rPr>
        <w:t>管理</w:t>
      </w:r>
    </w:p>
    <w:p w14:paraId="104B5F74">
      <w:pPr>
        <w:adjustRightInd w:val="0"/>
        <w:snapToGrid w:val="0"/>
        <w:spacing w:line="360" w:lineRule="auto"/>
        <w:ind w:firstLine="572" w:firstLineChars="200"/>
        <w:outlineLvl w:val="1"/>
        <w:rPr>
          <w:rFonts w:hint="eastAsia" w:eastAsia="楷体_GB2312"/>
          <w:szCs w:val="28"/>
          <w:lang w:val="en-US" w:eastAsia="zh-CN"/>
        </w:rPr>
      </w:pPr>
      <w:r>
        <w:rPr>
          <w:rFonts w:eastAsia="楷体_GB2312"/>
          <w:szCs w:val="28"/>
          <w:lang w:val="zh-CN"/>
        </w:rPr>
        <w:t>（一）</w:t>
      </w:r>
      <w:r>
        <w:rPr>
          <w:rFonts w:hint="eastAsia" w:eastAsia="楷体_GB2312"/>
          <w:szCs w:val="28"/>
          <w:lang w:val="en-US" w:eastAsia="zh-CN"/>
        </w:rPr>
        <w:t>组织机制</w:t>
      </w:r>
    </w:p>
    <w:p w14:paraId="0A721D13">
      <w:pPr>
        <w:pStyle w:val="2"/>
        <w:ind w:firstLine="420" w:firstLineChars="0"/>
        <w:rPr>
          <w:rFonts w:hint="default"/>
          <w:lang w:val="en-US" w:eastAsia="zh-CN"/>
        </w:rPr>
      </w:pPr>
      <w:r>
        <w:rPr>
          <w:rFonts w:hint="default"/>
          <w:lang w:val="en-US" w:eastAsia="zh-CN"/>
        </w:rPr>
        <w:t>本项目由上海交通大学牵头，联合烨知芯科技与翱捷科技，延续“组织实施小组 + 项目专家组”的双轨治理模式：前者由三家单位主要负责人组成，负责宏观决策、年度预算与跨单位资源调度；后者邀请 6G-AI、超宽带射频和端侧芯片领域的院士及长江学者担纲，把握顶层设计与技术路线，定期对关键节点成果进行评审。围绕总体目标，项目按照“算法-芯片-系统”逻辑设立四大课题，分别聚焦超宽带超线性信号处理、轻量化空口 AI 协同、端侧高能效 NPU 及终端模组集成，每个课题由对应单位的核心技术带头人负责，形成纵向的攻关链；同时设立项目管理办公室（PMO）、财务与审计小组及知识产权推进小组，实现进度统筹、经费监管与专利/标准布局的横向支撑，确保科研、财务、人事等职能部门对项目提供全流程服务与保障。</w:t>
      </w:r>
    </w:p>
    <w:bookmarkEnd w:id="17"/>
    <w:p w14:paraId="02A24FD7">
      <w:pPr>
        <w:adjustRightInd w:val="0"/>
        <w:snapToGrid w:val="0"/>
        <w:spacing w:line="360" w:lineRule="auto"/>
        <w:ind w:firstLine="572" w:firstLineChars="200"/>
        <w:outlineLvl w:val="1"/>
        <w:rPr>
          <w:rFonts w:hint="eastAsia" w:eastAsia="楷体_GB2312"/>
          <w:szCs w:val="28"/>
          <w:lang w:val="en-US" w:eastAsia="zh-CN"/>
        </w:rPr>
      </w:pPr>
      <w:bookmarkStart w:id="18" w:name="_Toc172321794"/>
      <w:bookmarkStart w:id="19" w:name="_Hlk66372476"/>
      <w:r>
        <w:rPr>
          <w:rFonts w:eastAsia="楷体_GB2312"/>
          <w:szCs w:val="28"/>
        </w:rPr>
        <w:t>（</w:t>
      </w:r>
      <w:r>
        <w:rPr>
          <w:rFonts w:hint="eastAsia" w:eastAsia="楷体_GB2312"/>
          <w:szCs w:val="28"/>
          <w:lang w:val="en-US" w:eastAsia="zh-CN"/>
        </w:rPr>
        <w:t>二</w:t>
      </w:r>
      <w:r>
        <w:rPr>
          <w:rFonts w:eastAsia="楷体_GB2312"/>
          <w:szCs w:val="28"/>
        </w:rPr>
        <w:t>）</w:t>
      </w:r>
      <w:r>
        <w:rPr>
          <w:rFonts w:eastAsia="楷体_GB2312"/>
          <w:szCs w:val="28"/>
          <w:lang w:val="zh-CN"/>
        </w:rPr>
        <w:t>管理</w:t>
      </w:r>
      <w:bookmarkEnd w:id="18"/>
      <w:r>
        <w:rPr>
          <w:rFonts w:hint="eastAsia" w:eastAsia="楷体_GB2312"/>
          <w:szCs w:val="28"/>
          <w:lang w:val="en-US" w:eastAsia="zh-CN"/>
        </w:rPr>
        <w:t>机制</w:t>
      </w:r>
      <w:bookmarkEnd w:id="19"/>
    </w:p>
    <w:p w14:paraId="6C225140">
      <w:pPr>
        <w:pStyle w:val="2"/>
        <w:ind w:firstLine="420" w:firstLineChars="0"/>
      </w:pPr>
      <w:r>
        <w:rPr>
          <w:rFonts w:hint="eastAsia"/>
        </w:rPr>
        <w:t>项目执行周期为两年，自 2025 年第四季度起分八个季度推进；每半年设置一次里程碑评审，专家组与 PMO 依照“发射机功率效率提升≥10 %、终端 NPU 算力≥4 TOPS、标准提案≥5 件”等量化指标，对成果进行“自查 + 现场验收”闭环考核。资金方面，已获市级专项经费 500 万元、企业自筹 1 000 万元，满足 2:1 配比要求，并在中国银行设立“6G 专帐”实行专款专用、季度对账、年度审计。进度、质量与风险由 PMO 采用月度滚动计划与预警机制统一管控；课题内技术文档与代码入库统一使用版本管理体系，方便审计与复现。依托交大 CNAS/CMA 资质实验室、张江-临港试验网及三方共享的高性能 AI 服务器、EDA 工具等资源，项目在设备、算力和测试环境上具备完备支撑，为按时、高质达成全部重大指标提供了可靠保障。</w:t>
      </w:r>
    </w:p>
    <w:p w14:paraId="1718F0A5">
      <w:pPr>
        <w:snapToGrid w:val="0"/>
        <w:spacing w:line="360" w:lineRule="auto"/>
        <w:outlineLvl w:val="0"/>
        <w:rPr>
          <w:rFonts w:eastAsia="黑体"/>
          <w:sz w:val="32"/>
          <w:szCs w:val="32"/>
        </w:rPr>
      </w:pPr>
      <w:bookmarkStart w:id="20" w:name="_Toc149631526"/>
      <w:bookmarkStart w:id="21" w:name="_Toc172321796"/>
      <w:r>
        <w:rPr>
          <w:rFonts w:hint="eastAsia" w:eastAsia="黑体"/>
          <w:sz w:val="32"/>
          <w:szCs w:val="32"/>
          <w:lang w:val="en-US" w:eastAsia="zh-CN"/>
        </w:rPr>
        <w:t>八</w:t>
      </w:r>
      <w:r>
        <w:rPr>
          <w:rFonts w:eastAsia="黑体"/>
          <w:sz w:val="32"/>
          <w:szCs w:val="32"/>
        </w:rPr>
        <w:t>、经费预算</w:t>
      </w:r>
      <w:bookmarkEnd w:id="20"/>
      <w:bookmarkEnd w:id="21"/>
    </w:p>
    <w:p w14:paraId="7258FAC0">
      <w:pPr>
        <w:snapToGrid w:val="0"/>
        <w:spacing w:line="360" w:lineRule="auto"/>
        <w:ind w:firstLine="572" w:firstLineChars="200"/>
        <w:outlineLvl w:val="1"/>
        <w:rPr>
          <w:rFonts w:hint="default" w:eastAsia="黑体"/>
          <w:sz w:val="32"/>
          <w:szCs w:val="32"/>
          <w:lang w:val="en-US"/>
        </w:rPr>
      </w:pPr>
      <w:r>
        <w:rPr>
          <w:rFonts w:hint="eastAsia" w:eastAsia="楷体_GB2312"/>
          <w:lang w:val="en-US" w:eastAsia="zh-CN"/>
        </w:rPr>
        <w:t>主要阐述：项目预计总投入，申请专项资助金额，单位自筹资金金额，并提供相应作证资料。具体科目明细填报至附表2-1、附表2-2。</w:t>
      </w:r>
    </w:p>
    <w:p w14:paraId="78154AD6">
      <w:pPr>
        <w:snapToGrid w:val="0"/>
        <w:spacing w:line="360" w:lineRule="auto"/>
        <w:outlineLvl w:val="0"/>
        <w:rPr>
          <w:rFonts w:hint="eastAsia" w:eastAsia="黑体"/>
          <w:sz w:val="32"/>
          <w:szCs w:val="32"/>
          <w:lang w:val="en-US" w:eastAsia="zh-CN"/>
        </w:rPr>
      </w:pPr>
      <w:r>
        <w:rPr>
          <w:rFonts w:hint="eastAsia" w:eastAsia="黑体"/>
          <w:sz w:val="32"/>
          <w:szCs w:val="32"/>
          <w:lang w:val="en-US" w:eastAsia="zh-CN"/>
        </w:rPr>
        <w:t>九、附表</w:t>
      </w:r>
    </w:p>
    <w:p w14:paraId="50C90CCD">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1.项目参与成员明细</w:t>
      </w:r>
    </w:p>
    <w:p w14:paraId="586606AE">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2.项目经费预算表与预算说明</w:t>
      </w:r>
    </w:p>
    <w:p w14:paraId="3C9EF5FB">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3.购置/试制设备预算明细表</w:t>
      </w:r>
    </w:p>
    <w:p w14:paraId="2EBF167B">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4.设备改造与租赁费预算明细表（选填）</w:t>
      </w:r>
    </w:p>
    <w:p w14:paraId="5658911F">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5.材料费预算明细表</w:t>
      </w:r>
    </w:p>
    <w:p w14:paraId="68C6156D">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6.测试化验加工费预算明细表（选填）</w:t>
      </w:r>
    </w:p>
    <w:p w14:paraId="6152E78D">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7.劳务费预算明细表</w:t>
      </w:r>
    </w:p>
    <w:p w14:paraId="73D9246E">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8.大型科学仪器设施基本信息表（选填）</w:t>
      </w:r>
    </w:p>
    <w:p w14:paraId="6EF51EC9">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9.实验动物使用情况表（选填）</w:t>
      </w:r>
    </w:p>
    <w:p w14:paraId="3F7EB08D">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10.国际合作基本信息表（选填）</w:t>
      </w:r>
    </w:p>
    <w:p w14:paraId="22600712">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11.涉及人类遗传资源情况表（选填）</w:t>
      </w:r>
    </w:p>
    <w:p w14:paraId="7A0A718F">
      <w:pPr>
        <w:numPr>
          <w:ilvl w:val="0"/>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12.伦理审查情况表（选填）</w:t>
      </w:r>
    </w:p>
    <w:p w14:paraId="758A9C93">
      <w:pPr>
        <w:rPr>
          <w:rFonts w:hint="eastAsia"/>
        </w:rPr>
      </w:pPr>
      <w:r>
        <w:rPr>
          <w:rFonts w:hint="eastAsia"/>
        </w:rPr>
        <w:br w:type="page"/>
      </w:r>
    </w:p>
    <w:p w14:paraId="57CBE5C0">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eastAsia" w:ascii="黑体" w:hAnsi="黑体" w:eastAsia="黑体" w:cs="Times New Roman"/>
          <w:kern w:val="2"/>
          <w:sz w:val="32"/>
          <w:szCs w:val="24"/>
          <w:lang w:val="en-US" w:eastAsia="zh-CN" w:bidi="ar-SA"/>
        </w:rPr>
        <w:sectPr>
          <w:headerReference r:id="rId4" w:type="first"/>
          <w:footerReference r:id="rId5" w:type="first"/>
          <w:headerReference r:id="rId3" w:type="even"/>
          <w:pgSz w:w="11906" w:h="16838"/>
          <w:pgMar w:top="1531" w:right="1361" w:bottom="1361" w:left="1361" w:header="851" w:footer="992" w:gutter="0"/>
          <w:pgNumType w:fmt="decimal"/>
          <w:cols w:space="0" w:num="1"/>
          <w:rtlGutter w:val="0"/>
          <w:docGrid w:type="linesAndChars" w:linePitch="312" w:charSpace="1433"/>
        </w:sectPr>
      </w:pPr>
      <w:bookmarkStart w:id="22" w:name="_Hlk69147686"/>
    </w:p>
    <w:p w14:paraId="4FDBD07B">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附表1 项目参与成员明细</w:t>
      </w:r>
    </w:p>
    <w:tbl>
      <w:tblPr>
        <w:tblStyle w:val="19"/>
        <w:tblW w:w="520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
        <w:gridCol w:w="1012"/>
        <w:gridCol w:w="1498"/>
        <w:gridCol w:w="994"/>
        <w:gridCol w:w="1224"/>
        <w:gridCol w:w="1545"/>
        <w:gridCol w:w="1572"/>
        <w:gridCol w:w="1660"/>
        <w:gridCol w:w="1811"/>
        <w:gridCol w:w="1336"/>
        <w:gridCol w:w="1147"/>
      </w:tblGrid>
      <w:tr w14:paraId="2D9E9606">
        <w:trPr>
          <w:trHeight w:val="1043" w:hRule="atLeast"/>
        </w:trPr>
        <w:tc>
          <w:tcPr>
            <w:tcW w:w="316" w:type="pct"/>
            <w:vAlign w:val="center"/>
          </w:tcPr>
          <w:p w14:paraId="4D9F09B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序号</w:t>
            </w:r>
          </w:p>
        </w:tc>
        <w:tc>
          <w:tcPr>
            <w:tcW w:w="343" w:type="pct"/>
            <w:vAlign w:val="center"/>
          </w:tcPr>
          <w:p w14:paraId="77AF80C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姓名</w:t>
            </w:r>
          </w:p>
        </w:tc>
        <w:tc>
          <w:tcPr>
            <w:tcW w:w="508" w:type="pct"/>
            <w:vAlign w:val="center"/>
          </w:tcPr>
          <w:p w14:paraId="5497B8A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身份证号</w:t>
            </w:r>
          </w:p>
        </w:tc>
        <w:tc>
          <w:tcPr>
            <w:tcW w:w="337" w:type="pct"/>
            <w:vAlign w:val="center"/>
          </w:tcPr>
          <w:p w14:paraId="0D65AD2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民族</w:t>
            </w:r>
          </w:p>
        </w:tc>
        <w:tc>
          <w:tcPr>
            <w:tcW w:w="415" w:type="pct"/>
            <w:vAlign w:val="center"/>
          </w:tcPr>
          <w:p w14:paraId="194F392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学历</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学位</w:t>
            </w:r>
          </w:p>
        </w:tc>
        <w:tc>
          <w:tcPr>
            <w:tcW w:w="524" w:type="pct"/>
            <w:vAlign w:val="center"/>
          </w:tcPr>
          <w:p w14:paraId="550A087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院校</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专业</w:t>
            </w:r>
          </w:p>
        </w:tc>
        <w:tc>
          <w:tcPr>
            <w:tcW w:w="533" w:type="pct"/>
            <w:vAlign w:val="center"/>
          </w:tcPr>
          <w:p w14:paraId="37FD9545">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职称或</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职务</w:t>
            </w:r>
          </w:p>
        </w:tc>
        <w:tc>
          <w:tcPr>
            <w:tcW w:w="563" w:type="pct"/>
            <w:vAlign w:val="center"/>
          </w:tcPr>
          <w:p w14:paraId="3578623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所属单位</w:t>
            </w:r>
          </w:p>
        </w:tc>
        <w:tc>
          <w:tcPr>
            <w:tcW w:w="614" w:type="pct"/>
            <w:vAlign w:val="center"/>
          </w:tcPr>
          <w:p w14:paraId="7EA8674A">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参加工</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作时间</w:t>
            </w:r>
          </w:p>
        </w:tc>
        <w:tc>
          <w:tcPr>
            <w:tcW w:w="453" w:type="pct"/>
            <w:vAlign w:val="center"/>
          </w:tcPr>
          <w:p w14:paraId="684D9C7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项目</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职责</w:t>
            </w:r>
          </w:p>
        </w:tc>
        <w:tc>
          <w:tcPr>
            <w:tcW w:w="389" w:type="pct"/>
            <w:vAlign w:val="center"/>
          </w:tcPr>
          <w:p w14:paraId="160E414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投入</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时间</w:t>
            </w:r>
          </w:p>
        </w:tc>
      </w:tr>
      <w:tr w14:paraId="7F2A8F41">
        <w:trPr>
          <w:trHeight w:val="927" w:hRule="atLeast"/>
        </w:trPr>
        <w:tc>
          <w:tcPr>
            <w:tcW w:w="316" w:type="pct"/>
          </w:tcPr>
          <w:p w14:paraId="313AD24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1</w:t>
            </w:r>
          </w:p>
        </w:tc>
        <w:tc>
          <w:tcPr>
            <w:tcW w:w="343" w:type="pct"/>
          </w:tcPr>
          <w:p w14:paraId="5000ACB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例</w:t>
            </w:r>
          </w:p>
        </w:tc>
        <w:tc>
          <w:tcPr>
            <w:tcW w:w="508" w:type="pct"/>
          </w:tcPr>
          <w:p w14:paraId="2536B17A">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12345678</w:t>
            </w:r>
          </w:p>
        </w:tc>
        <w:tc>
          <w:tcPr>
            <w:tcW w:w="337" w:type="pct"/>
          </w:tcPr>
          <w:p w14:paraId="60BD778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汉</w:t>
            </w:r>
          </w:p>
        </w:tc>
        <w:tc>
          <w:tcPr>
            <w:tcW w:w="415" w:type="pct"/>
          </w:tcPr>
          <w:p w14:paraId="0D633E3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博士研究生</w:t>
            </w:r>
          </w:p>
        </w:tc>
        <w:tc>
          <w:tcPr>
            <w:tcW w:w="524" w:type="pct"/>
          </w:tcPr>
          <w:p w14:paraId="07E830D5">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北京大学</w:t>
            </w:r>
          </w:p>
          <w:p w14:paraId="09DBB40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微电子</w:t>
            </w:r>
          </w:p>
        </w:tc>
        <w:tc>
          <w:tcPr>
            <w:tcW w:w="533" w:type="pct"/>
          </w:tcPr>
          <w:p w14:paraId="4A74DF15">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研究员三级</w:t>
            </w:r>
          </w:p>
        </w:tc>
        <w:tc>
          <w:tcPr>
            <w:tcW w:w="563" w:type="pct"/>
          </w:tcPr>
          <w:p w14:paraId="557CAF3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中科院XX所</w:t>
            </w:r>
          </w:p>
        </w:tc>
        <w:tc>
          <w:tcPr>
            <w:tcW w:w="614" w:type="pct"/>
          </w:tcPr>
          <w:p w14:paraId="29817BA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2000-1-1</w:t>
            </w:r>
          </w:p>
        </w:tc>
        <w:tc>
          <w:tcPr>
            <w:tcW w:w="453" w:type="pct"/>
          </w:tcPr>
          <w:p w14:paraId="31E608E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负责人</w:t>
            </w:r>
          </w:p>
        </w:tc>
        <w:tc>
          <w:tcPr>
            <w:tcW w:w="389" w:type="pct"/>
          </w:tcPr>
          <w:p w14:paraId="3C750B2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21个月</w:t>
            </w:r>
          </w:p>
        </w:tc>
      </w:tr>
      <w:tr w14:paraId="2C69D6ED">
        <w:tc>
          <w:tcPr>
            <w:tcW w:w="316" w:type="pct"/>
          </w:tcPr>
          <w:p w14:paraId="7D0FDF5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3336648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534C30E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7AEB4A4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524A785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46C85D1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635612F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646710C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1584944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5867F76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2DEA9B8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tr w14:paraId="683EE5E2">
        <w:tc>
          <w:tcPr>
            <w:tcW w:w="316" w:type="pct"/>
          </w:tcPr>
          <w:p w14:paraId="63D76D6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49545F9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7FCF77B8">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34ACF02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609060B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354DC23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03577E2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0BB9D7E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0A4F5A4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677ECC9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55E901E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tr w14:paraId="1886A6BD">
        <w:tc>
          <w:tcPr>
            <w:tcW w:w="316" w:type="pct"/>
          </w:tcPr>
          <w:p w14:paraId="5F749DF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16D07A1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557EF23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5D2C6A3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1FAEC9B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069CDE0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5B2C379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64FCF69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06A1902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4B0002A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3F7126F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tr w14:paraId="2C9FE6C5">
        <w:tc>
          <w:tcPr>
            <w:tcW w:w="316" w:type="pct"/>
          </w:tcPr>
          <w:p w14:paraId="561884C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22D23B2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70B1245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02A9AA55">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1A728B7A">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4462982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45998178">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7A47DC4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726090D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681F28C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6F60F9C4">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tr w14:paraId="37F7FA30">
        <w:tc>
          <w:tcPr>
            <w:tcW w:w="316" w:type="pct"/>
          </w:tcPr>
          <w:p w14:paraId="2A81EC14">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0AE36D48">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4955714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2B8305F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40C8DE1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1CFCE62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719CCA2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66C97EE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29538D7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1C70CD7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3B7064F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bookmarkEnd w:id="22"/>
    </w:tbl>
    <w:p w14:paraId="192326FB">
      <w:pPr>
        <w:pageBreakBefore w:val="0"/>
        <w:kinsoku/>
        <w:overflowPunct/>
        <w:topLinePunct w:val="0"/>
        <w:bidi w:val="0"/>
        <w:adjustRightInd/>
        <w:spacing w:line="560" w:lineRule="exact"/>
        <w:ind w:left="0" w:leftChars="0" w:firstLine="0" w:firstLineChars="0"/>
        <w:jc w:val="both"/>
        <w:textAlignment w:val="auto"/>
        <w:rPr>
          <w:rFonts w:hint="eastAsia"/>
          <w:lang w:val="en-US" w:eastAsia="zh-CN"/>
        </w:rPr>
        <w:sectPr>
          <w:pgSz w:w="16838" w:h="11906" w:orient="landscape"/>
          <w:pgMar w:top="1361" w:right="1531" w:bottom="1361" w:left="1361" w:header="851" w:footer="992" w:gutter="0"/>
          <w:pgNumType w:fmt="decimal"/>
          <w:cols w:space="0" w:num="1"/>
          <w:rtlGutter w:val="0"/>
          <w:docGrid w:type="linesAndChars" w:linePitch="382" w:charSpace="1433"/>
        </w:sectPr>
      </w:pPr>
    </w:p>
    <w:p w14:paraId="6CAE5E7F">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附表2-1</w:t>
      </w:r>
      <w:r>
        <w:rPr>
          <w:rFonts w:hint="eastAsia" w:ascii="黑体" w:hAnsi="黑体" w:eastAsia="黑体" w:cs="Times New Roman"/>
          <w:kern w:val="2"/>
          <w:sz w:val="32"/>
          <w:szCs w:val="24"/>
          <w:lang w:val="en-US" w:eastAsia="zh-CN" w:bidi="ar-SA"/>
        </w:rPr>
        <w:tab/>
      </w:r>
      <w:r>
        <w:rPr>
          <w:rFonts w:hint="eastAsia" w:ascii="黑体" w:hAnsi="黑体" w:eastAsia="黑体" w:cs="Times New Roman"/>
          <w:kern w:val="2"/>
          <w:sz w:val="32"/>
          <w:szCs w:val="24"/>
          <w:lang w:val="en-US" w:eastAsia="zh-CN" w:bidi="ar-SA"/>
        </w:rPr>
        <w:t>项目经费预算表</w:t>
      </w:r>
    </w:p>
    <w:p w14:paraId="77A6DA47">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360" w:firstLineChars="150"/>
        <w:jc w:val="righ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金额单位：</w:t>
      </w:r>
      <w:r>
        <w:rPr>
          <w:rFonts w:hint="eastAsia" w:ascii="仿宋_GB2312" w:hAnsi="仿宋_GB2312" w:cs="仿宋_GB2312"/>
          <w:sz w:val="24"/>
          <w:szCs w:val="24"/>
          <w:lang w:val="en-US" w:eastAsia="zh-CN"/>
        </w:rPr>
        <w:t>万</w:t>
      </w:r>
      <w:r>
        <w:rPr>
          <w:rFonts w:hint="eastAsia" w:ascii="仿宋_GB2312" w:hAnsi="仿宋_GB2312" w:eastAsia="仿宋_GB2312" w:cs="仿宋_GB2312"/>
          <w:sz w:val="24"/>
          <w:szCs w:val="24"/>
        </w:rPr>
        <w:t>元</w:t>
      </w:r>
    </w:p>
    <w:tbl>
      <w:tblPr>
        <w:tblStyle w:val="18"/>
        <w:tblW w:w="5141"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4761"/>
        <w:gridCol w:w="1130"/>
        <w:gridCol w:w="1091"/>
        <w:gridCol w:w="1168"/>
        <w:gridCol w:w="1299"/>
      </w:tblGrid>
      <w:tr w14:paraId="582EEE3C">
        <w:trPr>
          <w:trHeight w:val="576" w:hRule="atLeast"/>
          <w:jc w:val="center"/>
        </w:trPr>
        <w:tc>
          <w:tcPr>
            <w:tcW w:w="2519" w:type="pct"/>
            <w:shd w:val="clear" w:color="auto" w:fill="auto"/>
            <w:vAlign w:val="center"/>
          </w:tcPr>
          <w:p w14:paraId="20039E6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cs="仿宋_GB2312"/>
                <w:b/>
                <w:bCs/>
                <w:spacing w:val="-6"/>
                <w:sz w:val="24"/>
                <w:szCs w:val="24"/>
                <w:lang w:eastAsia="zh-CN"/>
              </w:rPr>
              <w:t>科目</w:t>
            </w:r>
            <w:r>
              <w:rPr>
                <w:rFonts w:hint="eastAsia" w:ascii="仿宋_GB2312" w:hAnsi="仿宋_GB2312" w:eastAsia="仿宋_GB2312" w:cs="仿宋_GB2312"/>
                <w:b/>
                <w:bCs/>
                <w:spacing w:val="-6"/>
                <w:sz w:val="24"/>
                <w:szCs w:val="24"/>
              </w:rPr>
              <w:t>名称</w:t>
            </w:r>
          </w:p>
        </w:tc>
        <w:tc>
          <w:tcPr>
            <w:tcW w:w="598" w:type="pct"/>
            <w:shd w:val="clear" w:color="auto" w:fill="auto"/>
            <w:vAlign w:val="center"/>
          </w:tcPr>
          <w:p w14:paraId="77ED492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4" w:leftChars="0" w:right="0" w:hanging="4" w:hangingChars="2"/>
              <w:contextualSpacing/>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4"/>
                <w:position w:val="4"/>
                <w:sz w:val="24"/>
                <w:szCs w:val="24"/>
              </w:rPr>
              <w:t>合计</w:t>
            </w:r>
          </w:p>
        </w:tc>
        <w:tc>
          <w:tcPr>
            <w:tcW w:w="577" w:type="pct"/>
            <w:shd w:val="clear" w:color="auto" w:fill="auto"/>
            <w:vAlign w:val="center"/>
          </w:tcPr>
          <w:p w14:paraId="45536E61">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4" w:leftChars="0" w:right="0" w:hanging="4" w:hangingChars="2"/>
              <w:contextualSpacing/>
              <w:jc w:val="center"/>
              <w:textAlignment w:val="auto"/>
              <w:rPr>
                <w:rFonts w:hint="eastAsia" w:ascii="仿宋_GB2312" w:hAnsi="仿宋_GB2312" w:eastAsia="仿宋_GB2312" w:cs="仿宋_GB2312"/>
                <w:b/>
                <w:bCs/>
                <w:spacing w:val="4"/>
                <w:position w:val="4"/>
                <w:sz w:val="24"/>
                <w:szCs w:val="24"/>
              </w:rPr>
            </w:pPr>
            <w:r>
              <w:rPr>
                <w:rFonts w:hint="eastAsia" w:ascii="仿宋_GB2312" w:hAnsi="仿宋_GB2312" w:eastAsia="仿宋_GB2312" w:cs="仿宋_GB2312"/>
                <w:b/>
                <w:bCs/>
                <w:spacing w:val="4"/>
                <w:position w:val="4"/>
                <w:sz w:val="24"/>
                <w:szCs w:val="24"/>
              </w:rPr>
              <w:t>专项资助</w:t>
            </w:r>
          </w:p>
        </w:tc>
        <w:tc>
          <w:tcPr>
            <w:tcW w:w="618" w:type="pct"/>
            <w:tcBorders>
              <w:right w:val="single" w:color="auto" w:sz="4" w:space="0"/>
            </w:tcBorders>
            <w:shd w:val="clear" w:color="auto" w:fill="auto"/>
            <w:vAlign w:val="center"/>
          </w:tcPr>
          <w:p w14:paraId="33659F0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4" w:leftChars="0" w:right="0" w:hanging="4" w:hangingChars="2"/>
              <w:contextualSpacing/>
              <w:jc w:val="center"/>
              <w:textAlignment w:val="auto"/>
              <w:rPr>
                <w:rFonts w:hint="eastAsia" w:ascii="仿宋_GB2312" w:hAnsi="仿宋_GB2312" w:eastAsia="仿宋_GB2312" w:cs="仿宋_GB2312"/>
                <w:b/>
                <w:bCs/>
                <w:spacing w:val="4"/>
                <w:position w:val="4"/>
                <w:sz w:val="24"/>
                <w:szCs w:val="24"/>
              </w:rPr>
            </w:pPr>
            <w:r>
              <w:rPr>
                <w:rFonts w:hint="eastAsia" w:ascii="仿宋_GB2312" w:hAnsi="仿宋_GB2312" w:eastAsia="仿宋_GB2312" w:cs="仿宋_GB2312"/>
                <w:b/>
                <w:bCs/>
                <w:spacing w:val="4"/>
                <w:position w:val="4"/>
                <w:sz w:val="24"/>
                <w:szCs w:val="24"/>
              </w:rPr>
              <w:t xml:space="preserve">自筹费用 </w:t>
            </w:r>
          </w:p>
        </w:tc>
        <w:tc>
          <w:tcPr>
            <w:tcW w:w="687" w:type="pct"/>
            <w:tcBorders>
              <w:left w:val="single" w:color="auto" w:sz="4" w:space="0"/>
            </w:tcBorders>
            <w:shd w:val="clear" w:color="auto" w:fill="auto"/>
            <w:vAlign w:val="center"/>
          </w:tcPr>
          <w:p w14:paraId="07AA3E0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4" w:leftChars="0" w:right="0" w:hanging="4" w:hangingChars="2"/>
              <w:contextualSpacing/>
              <w:jc w:val="center"/>
              <w:textAlignment w:val="auto"/>
              <w:rPr>
                <w:rFonts w:hint="eastAsia" w:ascii="仿宋_GB2312" w:hAnsi="仿宋_GB2312" w:eastAsia="仿宋_GB2312" w:cs="仿宋_GB2312"/>
                <w:b/>
                <w:bCs/>
                <w:spacing w:val="4"/>
                <w:position w:val="4"/>
                <w:sz w:val="24"/>
                <w:szCs w:val="24"/>
              </w:rPr>
            </w:pPr>
            <w:r>
              <w:rPr>
                <w:rFonts w:hint="eastAsia" w:ascii="仿宋_GB2312" w:hAnsi="仿宋_GB2312" w:eastAsia="仿宋_GB2312" w:cs="仿宋_GB2312"/>
                <w:b/>
                <w:bCs/>
                <w:spacing w:val="4"/>
                <w:position w:val="4"/>
                <w:sz w:val="24"/>
                <w:szCs w:val="24"/>
              </w:rPr>
              <w:t>计算依据</w:t>
            </w:r>
          </w:p>
        </w:tc>
      </w:tr>
      <w:tr w14:paraId="55AD6C73">
        <w:trPr>
          <w:trHeight w:val="572" w:hRule="atLeast"/>
          <w:jc w:val="center"/>
        </w:trPr>
        <w:tc>
          <w:tcPr>
            <w:tcW w:w="2519" w:type="pct"/>
            <w:shd w:val="clear" w:color="auto" w:fill="auto"/>
            <w:vAlign w:val="center"/>
          </w:tcPr>
          <w:p w14:paraId="0F42913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4"/>
                <w:sz w:val="24"/>
                <w:szCs w:val="24"/>
              </w:rPr>
              <w:t>收入预算</w:t>
            </w:r>
          </w:p>
        </w:tc>
        <w:tc>
          <w:tcPr>
            <w:tcW w:w="598" w:type="pct"/>
            <w:shd w:val="clear" w:color="auto" w:fill="auto"/>
            <w:vAlign w:val="center"/>
          </w:tcPr>
          <w:p w14:paraId="3CAEC98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16A0D8C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4BEF046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76D3C27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5E200B9B">
        <w:trPr>
          <w:trHeight w:val="571" w:hRule="atLeast"/>
          <w:jc w:val="center"/>
        </w:trPr>
        <w:tc>
          <w:tcPr>
            <w:tcW w:w="2519" w:type="pct"/>
            <w:shd w:val="clear" w:color="auto" w:fill="auto"/>
            <w:vAlign w:val="center"/>
          </w:tcPr>
          <w:p w14:paraId="44D10DD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6"/>
                <w:sz w:val="24"/>
                <w:szCs w:val="24"/>
              </w:rPr>
              <w:t>支出预算</w:t>
            </w:r>
          </w:p>
        </w:tc>
        <w:tc>
          <w:tcPr>
            <w:tcW w:w="598" w:type="pct"/>
            <w:shd w:val="clear" w:color="auto" w:fill="auto"/>
            <w:vAlign w:val="center"/>
          </w:tcPr>
          <w:p w14:paraId="73BD475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30884ED6">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6117EB4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B7EDA5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2DDA8832">
        <w:trPr>
          <w:trHeight w:val="571" w:hRule="atLeast"/>
          <w:jc w:val="center"/>
        </w:trPr>
        <w:tc>
          <w:tcPr>
            <w:tcW w:w="2519" w:type="pct"/>
            <w:shd w:val="clear" w:color="auto" w:fill="auto"/>
            <w:vAlign w:val="center"/>
          </w:tcPr>
          <w:p w14:paraId="3B8D80B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6"/>
                <w:sz w:val="24"/>
                <w:szCs w:val="24"/>
              </w:rPr>
              <w:t>一、间接费用</w:t>
            </w:r>
          </w:p>
        </w:tc>
        <w:tc>
          <w:tcPr>
            <w:tcW w:w="598" w:type="pct"/>
            <w:shd w:val="clear" w:color="auto" w:fill="auto"/>
            <w:vAlign w:val="center"/>
          </w:tcPr>
          <w:p w14:paraId="7CD04E1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3927A8F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3F8D9061">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3462FF36">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75521A9A">
        <w:trPr>
          <w:trHeight w:val="571" w:hRule="atLeast"/>
          <w:jc w:val="center"/>
        </w:trPr>
        <w:tc>
          <w:tcPr>
            <w:tcW w:w="2519" w:type="pct"/>
            <w:shd w:val="clear" w:color="auto" w:fill="auto"/>
            <w:vAlign w:val="center"/>
          </w:tcPr>
          <w:p w14:paraId="6B0851C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6"/>
                <w:sz w:val="24"/>
                <w:szCs w:val="24"/>
              </w:rPr>
              <w:t>二、直接费用</w:t>
            </w:r>
          </w:p>
        </w:tc>
        <w:tc>
          <w:tcPr>
            <w:tcW w:w="598" w:type="pct"/>
            <w:shd w:val="clear" w:color="auto" w:fill="auto"/>
            <w:vAlign w:val="center"/>
          </w:tcPr>
          <w:p w14:paraId="7DFB2E9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6A328C2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2186725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30D2AE69">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76572C89">
        <w:trPr>
          <w:trHeight w:val="572" w:hRule="atLeast"/>
          <w:jc w:val="center"/>
        </w:trPr>
        <w:tc>
          <w:tcPr>
            <w:tcW w:w="2519" w:type="pct"/>
            <w:shd w:val="clear" w:color="auto" w:fill="auto"/>
            <w:vAlign w:val="center"/>
          </w:tcPr>
          <w:p w14:paraId="796EED2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7"/>
                <w:sz w:val="24"/>
                <w:szCs w:val="24"/>
              </w:rPr>
              <w:t>（一）设备费</w:t>
            </w:r>
          </w:p>
        </w:tc>
        <w:tc>
          <w:tcPr>
            <w:tcW w:w="598" w:type="pct"/>
            <w:shd w:val="clear" w:color="auto" w:fill="auto"/>
            <w:vAlign w:val="center"/>
          </w:tcPr>
          <w:p w14:paraId="2D86859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6A761C6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38C5D9B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5654802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6F8205C9">
        <w:trPr>
          <w:trHeight w:val="572" w:hRule="atLeast"/>
          <w:jc w:val="center"/>
        </w:trPr>
        <w:tc>
          <w:tcPr>
            <w:tcW w:w="2519" w:type="pct"/>
            <w:shd w:val="clear" w:color="auto" w:fill="auto"/>
            <w:vAlign w:val="center"/>
          </w:tcPr>
          <w:p w14:paraId="555402A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（1）购置设备费</w:t>
            </w:r>
          </w:p>
        </w:tc>
        <w:tc>
          <w:tcPr>
            <w:tcW w:w="598" w:type="pct"/>
            <w:shd w:val="clear" w:color="auto" w:fill="auto"/>
            <w:vAlign w:val="center"/>
          </w:tcPr>
          <w:p w14:paraId="09F7FDAA">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06E72D4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29E6AB6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0AA238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31932468">
        <w:trPr>
          <w:trHeight w:val="572" w:hRule="atLeast"/>
          <w:jc w:val="center"/>
        </w:trPr>
        <w:tc>
          <w:tcPr>
            <w:tcW w:w="2519" w:type="pct"/>
            <w:shd w:val="clear" w:color="auto" w:fill="auto"/>
            <w:vAlign w:val="center"/>
          </w:tcPr>
          <w:p w14:paraId="7BCD380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（2）试制设备费</w:t>
            </w:r>
          </w:p>
        </w:tc>
        <w:tc>
          <w:tcPr>
            <w:tcW w:w="598" w:type="pct"/>
            <w:shd w:val="clear" w:color="auto" w:fill="auto"/>
            <w:vAlign w:val="center"/>
          </w:tcPr>
          <w:p w14:paraId="3B1C089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2EDA3CE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3BDD6657">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AB2D72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26D89A08">
        <w:trPr>
          <w:trHeight w:val="572" w:hRule="atLeast"/>
          <w:jc w:val="center"/>
        </w:trPr>
        <w:tc>
          <w:tcPr>
            <w:tcW w:w="2519" w:type="pct"/>
            <w:shd w:val="clear" w:color="auto" w:fill="auto"/>
            <w:vAlign w:val="center"/>
          </w:tcPr>
          <w:p w14:paraId="4AE4A6D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（3）设备改造与租赁费</w:t>
            </w:r>
          </w:p>
        </w:tc>
        <w:tc>
          <w:tcPr>
            <w:tcW w:w="598" w:type="pct"/>
            <w:shd w:val="clear" w:color="auto" w:fill="auto"/>
            <w:vAlign w:val="center"/>
          </w:tcPr>
          <w:p w14:paraId="6532B8B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63BF634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2E53D486">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019CB38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04205FC9">
        <w:trPr>
          <w:trHeight w:val="572" w:hRule="atLeast"/>
          <w:jc w:val="center"/>
        </w:trPr>
        <w:tc>
          <w:tcPr>
            <w:tcW w:w="2519" w:type="pct"/>
            <w:shd w:val="clear" w:color="auto" w:fill="auto"/>
            <w:vAlign w:val="center"/>
          </w:tcPr>
          <w:p w14:paraId="5B537AB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7"/>
                <w:sz w:val="24"/>
                <w:szCs w:val="24"/>
              </w:rPr>
              <w:t>（二）业务费</w:t>
            </w:r>
          </w:p>
        </w:tc>
        <w:tc>
          <w:tcPr>
            <w:tcW w:w="598" w:type="pct"/>
            <w:shd w:val="clear" w:color="auto" w:fill="auto"/>
            <w:vAlign w:val="center"/>
          </w:tcPr>
          <w:p w14:paraId="5520F52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0BDE751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12347FD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3936C99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13DCA801">
        <w:trPr>
          <w:trHeight w:val="572" w:hRule="atLeast"/>
          <w:jc w:val="center"/>
        </w:trPr>
        <w:tc>
          <w:tcPr>
            <w:tcW w:w="2519" w:type="pct"/>
            <w:shd w:val="clear" w:color="auto" w:fill="auto"/>
            <w:vAlign w:val="center"/>
          </w:tcPr>
          <w:p w14:paraId="092A714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7"/>
                <w:sz w:val="24"/>
                <w:szCs w:val="24"/>
              </w:rPr>
              <w:t>（1）材料费</w:t>
            </w:r>
          </w:p>
        </w:tc>
        <w:tc>
          <w:tcPr>
            <w:tcW w:w="598" w:type="pct"/>
            <w:shd w:val="clear" w:color="auto" w:fill="auto"/>
            <w:vAlign w:val="center"/>
          </w:tcPr>
          <w:p w14:paraId="4D999AF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1BAE3FE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771966B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50BAC31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06EEB447">
        <w:trPr>
          <w:trHeight w:val="572" w:hRule="atLeast"/>
          <w:jc w:val="center"/>
        </w:trPr>
        <w:tc>
          <w:tcPr>
            <w:tcW w:w="2519" w:type="pct"/>
            <w:shd w:val="clear" w:color="auto" w:fill="auto"/>
            <w:vAlign w:val="center"/>
          </w:tcPr>
          <w:p w14:paraId="2D9779D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（2）测试化验加工费</w:t>
            </w:r>
          </w:p>
        </w:tc>
        <w:tc>
          <w:tcPr>
            <w:tcW w:w="598" w:type="pct"/>
            <w:shd w:val="clear" w:color="auto" w:fill="auto"/>
            <w:vAlign w:val="center"/>
          </w:tcPr>
          <w:p w14:paraId="13F4A81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07AC42F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0F5BC21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4D9C003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5F761AA7">
        <w:trPr>
          <w:trHeight w:val="572" w:hRule="atLeast"/>
          <w:jc w:val="center"/>
        </w:trPr>
        <w:tc>
          <w:tcPr>
            <w:tcW w:w="2519" w:type="pct"/>
            <w:shd w:val="clear" w:color="auto" w:fill="auto"/>
            <w:vAlign w:val="center"/>
          </w:tcPr>
          <w:p w14:paraId="30AF5BA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（3）燃料动力费</w:t>
            </w:r>
          </w:p>
        </w:tc>
        <w:tc>
          <w:tcPr>
            <w:tcW w:w="598" w:type="pct"/>
            <w:shd w:val="clear" w:color="auto" w:fill="auto"/>
            <w:vAlign w:val="center"/>
          </w:tcPr>
          <w:p w14:paraId="0DF9EE7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44BA0841">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37B4F9B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38683699">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556C729A">
        <w:trPr>
          <w:trHeight w:val="572" w:hRule="atLeast"/>
          <w:jc w:val="center"/>
        </w:trPr>
        <w:tc>
          <w:tcPr>
            <w:tcW w:w="2519" w:type="pct"/>
            <w:shd w:val="clear" w:color="auto" w:fill="auto"/>
            <w:vAlign w:val="center"/>
          </w:tcPr>
          <w:p w14:paraId="37D67D9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（4）差旅/会议/国际合作与交流费</w:t>
            </w:r>
          </w:p>
        </w:tc>
        <w:tc>
          <w:tcPr>
            <w:tcW w:w="598" w:type="pct"/>
            <w:shd w:val="clear" w:color="auto" w:fill="auto"/>
            <w:vAlign w:val="center"/>
          </w:tcPr>
          <w:p w14:paraId="526C238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44F08C7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6EBBEEF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6280137A">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3554009A">
        <w:trPr>
          <w:trHeight w:val="572" w:hRule="atLeast"/>
          <w:jc w:val="center"/>
        </w:trPr>
        <w:tc>
          <w:tcPr>
            <w:tcW w:w="2519" w:type="pct"/>
            <w:shd w:val="clear" w:color="auto" w:fill="auto"/>
            <w:vAlign w:val="center"/>
          </w:tcPr>
          <w:p w14:paraId="5EE0F537">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（5）出版/文献/信息传播/知识产权事务费</w:t>
            </w:r>
          </w:p>
        </w:tc>
        <w:tc>
          <w:tcPr>
            <w:tcW w:w="598" w:type="pct"/>
            <w:shd w:val="clear" w:color="auto" w:fill="auto"/>
            <w:vAlign w:val="center"/>
          </w:tcPr>
          <w:p w14:paraId="7E2AA37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4BA0F89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151AC167">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03323A16">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2C6481FA">
        <w:trPr>
          <w:trHeight w:val="572" w:hRule="atLeast"/>
          <w:jc w:val="center"/>
        </w:trPr>
        <w:tc>
          <w:tcPr>
            <w:tcW w:w="2519" w:type="pct"/>
            <w:shd w:val="clear" w:color="auto" w:fill="auto"/>
            <w:vAlign w:val="center"/>
          </w:tcPr>
          <w:p w14:paraId="04F8321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6"/>
                <w:sz w:val="24"/>
                <w:szCs w:val="24"/>
              </w:rPr>
              <w:t>（6）其他费用</w:t>
            </w:r>
          </w:p>
        </w:tc>
        <w:tc>
          <w:tcPr>
            <w:tcW w:w="598" w:type="pct"/>
            <w:shd w:val="clear" w:color="auto" w:fill="auto"/>
            <w:vAlign w:val="center"/>
          </w:tcPr>
          <w:p w14:paraId="531200C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2FBC2E9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0DCD718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2AD89FC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4169A386">
        <w:trPr>
          <w:trHeight w:val="572" w:hRule="atLeast"/>
          <w:jc w:val="center"/>
        </w:trPr>
        <w:tc>
          <w:tcPr>
            <w:tcW w:w="2519" w:type="pct"/>
            <w:shd w:val="clear" w:color="auto" w:fill="auto"/>
            <w:vAlign w:val="center"/>
          </w:tcPr>
          <w:p w14:paraId="37DECAE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7"/>
                <w:sz w:val="24"/>
                <w:szCs w:val="24"/>
              </w:rPr>
              <w:t>（三）劳务费</w:t>
            </w:r>
          </w:p>
        </w:tc>
        <w:tc>
          <w:tcPr>
            <w:tcW w:w="598" w:type="pct"/>
            <w:shd w:val="clear" w:color="auto" w:fill="auto"/>
            <w:vAlign w:val="center"/>
          </w:tcPr>
          <w:p w14:paraId="5540B8FA">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2480A1A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400F6B8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14FAB01">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50F95AF7">
        <w:trPr>
          <w:trHeight w:val="571" w:hRule="atLeast"/>
          <w:jc w:val="center"/>
        </w:trPr>
        <w:tc>
          <w:tcPr>
            <w:tcW w:w="2519" w:type="pct"/>
            <w:shd w:val="clear" w:color="auto" w:fill="auto"/>
            <w:vAlign w:val="center"/>
          </w:tcPr>
          <w:p w14:paraId="4E0EBE79">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7"/>
                <w:sz w:val="24"/>
                <w:szCs w:val="24"/>
              </w:rPr>
              <w:t>（1）劳务性费用</w:t>
            </w:r>
          </w:p>
        </w:tc>
        <w:tc>
          <w:tcPr>
            <w:tcW w:w="598" w:type="pct"/>
            <w:shd w:val="clear" w:color="auto" w:fill="auto"/>
            <w:vAlign w:val="center"/>
          </w:tcPr>
          <w:p w14:paraId="03E5726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3020CCA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7CCCAD1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2BB602D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797B388D">
        <w:trPr>
          <w:trHeight w:val="576" w:hRule="atLeast"/>
          <w:jc w:val="center"/>
        </w:trPr>
        <w:tc>
          <w:tcPr>
            <w:tcW w:w="2519" w:type="pct"/>
            <w:shd w:val="clear" w:color="auto" w:fill="auto"/>
            <w:vAlign w:val="center"/>
          </w:tcPr>
          <w:p w14:paraId="6B590E1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（2）专家咨询费</w:t>
            </w:r>
          </w:p>
        </w:tc>
        <w:tc>
          <w:tcPr>
            <w:tcW w:w="598" w:type="pct"/>
            <w:shd w:val="clear" w:color="auto" w:fill="auto"/>
            <w:vAlign w:val="center"/>
          </w:tcPr>
          <w:p w14:paraId="072DFA9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247C770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548C7E6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A995999">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bl>
    <w:p w14:paraId="0CA78A6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textAlignment w:val="auto"/>
        <w:rPr>
          <w:rFonts w:hint="eastAsia" w:ascii="仿宋_GB2312" w:hAnsi="仿宋_GB2312" w:eastAsia="仿宋_GB2312" w:cs="仿宋_GB2312"/>
          <w:color w:val="2D00C7"/>
          <w:kern w:val="0"/>
          <w:sz w:val="24"/>
          <w:szCs w:val="24"/>
        </w:rPr>
      </w:pPr>
      <w:r>
        <w:rPr>
          <w:rFonts w:hint="eastAsia" w:ascii="仿宋_GB2312" w:hAnsi="仿宋_GB2312" w:eastAsia="仿宋_GB2312" w:cs="仿宋_GB2312"/>
          <w:color w:val="2D00C7"/>
          <w:kern w:val="0"/>
          <w:sz w:val="24"/>
          <w:szCs w:val="24"/>
        </w:rPr>
        <w:t>注：1、与本项目有关的前期研究（包括阶段性成果）支出的各项经费不得列入本预算；</w:t>
      </w:r>
    </w:p>
    <w:p w14:paraId="79FFAB8C">
      <w:pPr>
        <w:keepNext w:val="0"/>
        <w:keepLines w:val="0"/>
        <w:pageBreakBefore w:val="0"/>
        <w:widowControl w:val="0"/>
        <w:numPr>
          <w:ilvl w:val="0"/>
          <w:numId w:val="39"/>
        </w:numPr>
        <w:kinsoku/>
        <w:wordWrap/>
        <w:overflowPunct/>
        <w:topLinePunct w:val="0"/>
        <w:autoSpaceDE/>
        <w:autoSpaceDN/>
        <w:bidi w:val="0"/>
        <w:adjustRightInd/>
        <w:snapToGrid/>
        <w:spacing w:beforeAutospacing="0" w:afterAutospacing="0" w:line="320" w:lineRule="exact"/>
        <w:ind w:left="480" w:leftChars="0" w:right="0" w:firstLine="0" w:firstLineChars="0"/>
        <w:jc w:val="left"/>
        <w:textAlignment w:val="auto"/>
        <w:rPr>
          <w:rFonts w:hint="eastAsia" w:ascii="仿宋_GB2312" w:hAnsi="仿宋_GB2312" w:eastAsia="仿宋_GB2312" w:cs="仿宋_GB2312"/>
          <w:color w:val="2D00C7"/>
          <w:kern w:val="0"/>
          <w:sz w:val="24"/>
          <w:szCs w:val="24"/>
        </w:rPr>
      </w:pPr>
      <w:r>
        <w:rPr>
          <w:rFonts w:hint="eastAsia" w:ascii="仿宋_GB2312" w:hAnsi="仿宋_GB2312" w:eastAsia="仿宋_GB2312" w:cs="仿宋_GB2312"/>
          <w:color w:val="2D00C7"/>
          <w:kern w:val="0"/>
          <w:sz w:val="24"/>
          <w:szCs w:val="24"/>
        </w:rPr>
        <w:t>申请市科委科研计划项目资助经费在20</w:t>
      </w:r>
      <w:r>
        <w:rPr>
          <w:rFonts w:hint="eastAsia" w:ascii="仿宋_GB2312" w:hAnsi="仿宋_GB2312" w:cs="仿宋_GB2312"/>
          <w:color w:val="2D00C7"/>
          <w:kern w:val="0"/>
          <w:sz w:val="24"/>
          <w:szCs w:val="24"/>
          <w:lang w:val="en-US" w:eastAsia="zh-CN"/>
        </w:rPr>
        <w:t>万</w:t>
      </w:r>
      <w:r>
        <w:rPr>
          <w:rFonts w:hint="eastAsia" w:ascii="仿宋_GB2312" w:hAnsi="仿宋_GB2312" w:eastAsia="仿宋_GB2312" w:cs="仿宋_GB2312"/>
          <w:color w:val="2D00C7"/>
          <w:kern w:val="0"/>
          <w:sz w:val="24"/>
          <w:szCs w:val="24"/>
        </w:rPr>
        <w:t>元人民币以下时，请在“计算依据”栏中直接作出有关说明</w:t>
      </w:r>
      <w:r>
        <w:rPr>
          <w:rFonts w:hint="eastAsia" w:ascii="仿宋_GB2312" w:hAnsi="仿宋_GB2312" w:cs="仿宋_GB2312"/>
          <w:color w:val="2D00C7"/>
          <w:kern w:val="0"/>
          <w:sz w:val="24"/>
          <w:szCs w:val="24"/>
          <w:lang w:val="en-US" w:eastAsia="zh-CN"/>
        </w:rPr>
        <w:t>。</w:t>
      </w:r>
    </w:p>
    <w:p w14:paraId="15DE33E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20" w:lineRule="exact"/>
        <w:ind w:left="0" w:leftChars="0" w:right="0"/>
        <w:jc w:val="left"/>
        <w:textAlignment w:val="auto"/>
        <w:rPr>
          <w:rFonts w:hint="eastAsia" w:ascii="仿宋_GB2312" w:hAnsi="仿宋_GB2312" w:eastAsia="仿宋_GB2312" w:cs="仿宋_GB2312"/>
          <w:color w:val="2D00C7"/>
          <w:kern w:val="0"/>
          <w:sz w:val="24"/>
          <w:szCs w:val="24"/>
        </w:rPr>
      </w:pPr>
    </w:p>
    <w:p w14:paraId="6B48FDE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20" w:lineRule="exact"/>
        <w:ind w:left="0" w:leftChars="0" w:right="0"/>
        <w:jc w:val="left"/>
        <w:textAlignment w:val="auto"/>
        <w:rPr>
          <w:rFonts w:hint="eastAsia" w:ascii="仿宋_GB2312" w:hAnsi="仿宋_GB2312" w:eastAsia="仿宋_GB2312" w:cs="仿宋_GB2312"/>
          <w:color w:val="2D00C7"/>
          <w:kern w:val="0"/>
          <w:sz w:val="24"/>
          <w:szCs w:val="24"/>
        </w:rPr>
      </w:pPr>
    </w:p>
    <w:p w14:paraId="5C867E6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20" w:lineRule="exact"/>
        <w:ind w:left="0" w:leftChars="0" w:right="0"/>
        <w:jc w:val="left"/>
        <w:textAlignment w:val="auto"/>
        <w:rPr>
          <w:rFonts w:hint="eastAsia" w:ascii="仿宋_GB2312" w:hAnsi="仿宋_GB2312" w:eastAsia="仿宋_GB2312" w:cs="仿宋_GB2312"/>
          <w:color w:val="2D00C7"/>
          <w:kern w:val="0"/>
          <w:sz w:val="24"/>
          <w:szCs w:val="24"/>
        </w:rPr>
      </w:pPr>
    </w:p>
    <w:p w14:paraId="049FCFDA">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default"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附表2-2</w:t>
      </w:r>
      <w:r>
        <w:rPr>
          <w:rFonts w:hint="eastAsia" w:ascii="黑体" w:hAnsi="黑体" w:eastAsia="黑体" w:cs="Times New Roman"/>
          <w:kern w:val="2"/>
          <w:sz w:val="32"/>
          <w:szCs w:val="24"/>
          <w:lang w:val="en-US" w:eastAsia="zh-CN" w:bidi="ar-SA"/>
        </w:rPr>
        <w:tab/>
      </w:r>
      <w:r>
        <w:rPr>
          <w:rFonts w:hint="eastAsia" w:ascii="黑体" w:hAnsi="黑体" w:eastAsia="黑体" w:cs="Times New Roman"/>
          <w:kern w:val="2"/>
          <w:sz w:val="32"/>
          <w:szCs w:val="24"/>
          <w:lang w:val="en-US" w:eastAsia="zh-CN" w:bidi="ar-SA"/>
        </w:rPr>
        <w:t>预算说明</w:t>
      </w:r>
    </w:p>
    <w:tbl>
      <w:tblPr>
        <w:tblStyle w:val="41"/>
        <w:tblW w:w="8526"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526"/>
      </w:tblGrid>
      <w:tr w14:paraId="2041F925">
        <w:trPr>
          <w:trHeight w:val="2361" w:hRule="atLeast"/>
        </w:trPr>
        <w:tc>
          <w:tcPr>
            <w:tcW w:w="8526" w:type="dxa"/>
            <w:noWrap w:val="0"/>
            <w:vAlign w:val="top"/>
          </w:tcPr>
          <w:p w14:paraId="224680CC">
            <w:pPr>
              <w:keepNext w:val="0"/>
              <w:keepLines w:val="0"/>
              <w:pageBreakBefore w:val="0"/>
              <w:widowControl w:val="0"/>
              <w:kinsoku/>
              <w:wordWrap/>
              <w:overflowPunct/>
              <w:topLinePunct w:val="0"/>
              <w:autoSpaceDE/>
              <w:autoSpaceDN/>
              <w:bidi w:val="0"/>
              <w:adjustRightInd/>
              <w:snapToGrid/>
              <w:spacing w:line="480" w:lineRule="exact"/>
              <w:ind w:left="0" w:leftChars="0" w:right="0" w:firstLine="588" w:firstLineChars="200"/>
              <w:jc w:val="left"/>
              <w:textAlignment w:val="auto"/>
              <w:rPr>
                <w:rFonts w:hint="eastAsia" w:ascii="仿宋_GB2312" w:hAnsi="仿宋_GB2312" w:eastAsia="仿宋_GB2312" w:cs="仿宋_GB2312"/>
                <w:b/>
                <w:bCs/>
                <w:spacing w:val="7"/>
                <w:sz w:val="28"/>
                <w:szCs w:val="28"/>
              </w:rPr>
            </w:pPr>
            <w:r>
              <w:rPr>
                <w:rFonts w:hint="eastAsia" w:ascii="仿宋_GB2312" w:hAnsi="仿宋_GB2312" w:eastAsia="仿宋_GB2312" w:cs="仿宋_GB2312"/>
                <w:b/>
                <w:bCs/>
                <w:spacing w:val="7"/>
                <w:sz w:val="28"/>
                <w:szCs w:val="28"/>
              </w:rPr>
              <w:t>预算的编制要坚持任务相关性、政策相符性和经济合理性，实事求是地对各</w:t>
            </w:r>
            <w:r>
              <w:rPr>
                <w:rFonts w:hint="eastAsia" w:ascii="仿宋_GB2312" w:hAnsi="仿宋_GB2312" w:eastAsia="仿宋_GB2312" w:cs="仿宋_GB2312"/>
                <w:b/>
                <w:bCs/>
                <w:spacing w:val="7"/>
                <w:sz w:val="28"/>
                <w:szCs w:val="28"/>
                <w:lang w:eastAsia="zh-CN"/>
              </w:rPr>
              <w:t>科目</w:t>
            </w:r>
            <w:r>
              <w:rPr>
                <w:rFonts w:hint="eastAsia" w:ascii="仿宋_GB2312" w:hAnsi="仿宋_GB2312" w:eastAsia="仿宋_GB2312" w:cs="仿宋_GB2312"/>
                <w:b/>
                <w:bCs/>
                <w:spacing w:val="7"/>
                <w:sz w:val="28"/>
                <w:szCs w:val="28"/>
              </w:rPr>
              <w:t>支出的主</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b/>
                <w:bCs/>
                <w:spacing w:val="9"/>
                <w:sz w:val="28"/>
                <w:szCs w:val="28"/>
              </w:rPr>
              <w:t>要用途、具体内容及明细支出情况进行分析说</w:t>
            </w:r>
            <w:r>
              <w:rPr>
                <w:rFonts w:hint="eastAsia" w:ascii="仿宋_GB2312" w:hAnsi="仿宋_GB2312" w:eastAsia="仿宋_GB2312" w:cs="仿宋_GB2312"/>
                <w:b/>
                <w:bCs/>
                <w:spacing w:val="8"/>
                <w:sz w:val="28"/>
                <w:szCs w:val="28"/>
              </w:rPr>
              <w:t>明，需明确每项预算支出内容的资金来源，同一</w:t>
            </w:r>
            <w:r>
              <w:rPr>
                <w:rFonts w:hint="eastAsia" w:ascii="仿宋_GB2312" w:hAnsi="仿宋_GB2312" w:eastAsia="仿宋_GB2312" w:cs="仿宋_GB2312"/>
                <w:b/>
                <w:bCs/>
                <w:spacing w:val="7"/>
                <w:sz w:val="28"/>
                <w:szCs w:val="28"/>
              </w:rPr>
              <w:t>支出内容一般不得同时编列不同渠道的资金。</w:t>
            </w:r>
          </w:p>
          <w:p w14:paraId="28F25A57">
            <w:pPr>
              <w:keepNext w:val="0"/>
              <w:keepLines w:val="0"/>
              <w:pageBreakBefore w:val="0"/>
              <w:widowControl w:val="0"/>
              <w:kinsoku/>
              <w:wordWrap/>
              <w:overflowPunct/>
              <w:topLinePunct w:val="0"/>
              <w:autoSpaceDE/>
              <w:autoSpaceDN/>
              <w:bidi w:val="0"/>
              <w:adjustRightInd/>
              <w:snapToGrid/>
              <w:spacing w:line="480" w:lineRule="exact"/>
              <w:ind w:left="0" w:leftChars="0" w:right="0" w:firstLine="584"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一、直接费用</w:t>
            </w:r>
          </w:p>
          <w:p w14:paraId="080339BD">
            <w:pPr>
              <w:keepNext w:val="0"/>
              <w:keepLines w:val="0"/>
              <w:pageBreakBefore w:val="0"/>
              <w:widowControl w:val="0"/>
              <w:kinsoku/>
              <w:wordWrap/>
              <w:overflowPunct/>
              <w:topLinePunct w:val="0"/>
              <w:autoSpaceDE/>
              <w:autoSpaceDN/>
              <w:bidi w:val="0"/>
              <w:adjustRightInd/>
              <w:snapToGrid/>
              <w:spacing w:line="480" w:lineRule="exact"/>
              <w:ind w:left="0" w:leftChars="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（一）设备费</w:t>
            </w:r>
          </w:p>
          <w:p w14:paraId="575DAA61">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编制设备费预算应注意：</w:t>
            </w:r>
          </w:p>
          <w:p w14:paraId="30CB4DC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1.应当严格控制设备购置，鼓励开放共享、自主研制、租赁专用仪器设备以及对现有仪器设备进行升级改造，避免重复购置。</w:t>
            </w:r>
          </w:p>
          <w:p w14:paraId="372202D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 xml:space="preserve">2.应对购置仪器设备重点予以说明，包括设备的主要性能指标、主要技术参数和用途，对 </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研究的作用，购置单台套 50 万元（含）以上的仪器设备，还需重点说明购买的必 要性和数量的合理性等。购置仪器设备的选型应在能够完成</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任务的前提下，选择性价比好的仪器设备。</w:t>
            </w:r>
          </w:p>
          <w:p w14:paraId="119901D9">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购置单台套 10 万元（含）以上的设备，需提供 3 家以上报价单。如果是独家代理或生产</w:t>
            </w:r>
            <w:r>
              <w:rPr>
                <w:rFonts w:hint="eastAsia" w:ascii="仿宋_GB2312" w:hAnsi="仿宋_GB2312" w:eastAsia="仿宋_GB2312" w:cs="仿宋_GB2312"/>
                <w:spacing w:val="6"/>
                <w:sz w:val="28"/>
                <w:szCs w:val="28"/>
                <w:lang w:eastAsia="zh-CN"/>
              </w:rPr>
              <w:t>，</w:t>
            </w:r>
            <w:r>
              <w:rPr>
                <w:rFonts w:hint="eastAsia" w:ascii="仿宋_GB2312" w:hAnsi="仿宋_GB2312" w:eastAsia="仿宋_GB2312" w:cs="仿宋_GB2312"/>
                <w:spacing w:val="6"/>
                <w:sz w:val="28"/>
                <w:szCs w:val="28"/>
              </w:rPr>
              <w:t>可提供 1 家报价单，但应予以说明。</w:t>
            </w:r>
          </w:p>
          <w:p w14:paraId="03452BF1">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3.试制设备费是现有仪器设备无法满足</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检测、实验、验证或示范等研究任务 需要而试制专用仪器设备发生的费用，一般由零部件、材料等成本，以及零部件加工、设备安装调试、燃料动力等费用构成。</w:t>
            </w:r>
          </w:p>
          <w:p w14:paraId="336F2E3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当试制设备为过程产品时（ 即为完成</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任务而研制的零部件或工具性产品）， 试制设备发生的相关成本（含直接相关的小型仪器设备费、材料费、测试加工费、燃料动力费等） 应列入试制设备费</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，试制 10 万元（含）以上仪器设备需提供相应成本清单；当试制设备为  目标产品（即</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主要任务就是研制该设备）时，应当分别在设备费、材料费、测试化验加工费、燃料动力费、劳务费等</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编列测算。</w:t>
            </w:r>
          </w:p>
          <w:p w14:paraId="0BC1C78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4.设备改造费是指因</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任务 目标需要，对现有设备进行局部改造以改善提升性 能而发生的费用，及</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实施过程中相关设备发生损坏需维修而发生的费用，一般由零部件、材料等成本和安装调试等费用构成。</w:t>
            </w:r>
          </w:p>
          <w:p w14:paraId="3396FB19">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因安装使用新增设备而对实验室进行小规模维修改造的费用，可在设备改造费中编列，应提供测算依据和说明。</w:t>
            </w:r>
          </w:p>
          <w:p w14:paraId="7BB62936">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5.设备租赁费是指</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研究过程中需要租用承担单位以外其他单位的设备而发生的费用。租赁费主要包括设备的租金、安装调试费、维修保养费及其他相关费用等。</w:t>
            </w:r>
          </w:p>
          <w:p w14:paraId="2EB4896C">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研究任务相关的科学考察、野外实验勘探等车、船、航空器等交通工的租赁费可在设备租赁费中编列，并提供测算依据和说明。</w:t>
            </w:r>
          </w:p>
          <w:p w14:paraId="46DBD3D9">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不得编列承担单位 自有仪器设备的租赁费用。</w:t>
            </w:r>
          </w:p>
          <w:p w14:paraId="39073E8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原则上，专项经费中不应编列生产性设备的购置费、基建设施的建造费、实验室的常规 维修改造费以及属于承担单位支撑条件的专用仪器设备购置费，并严格控制常规或通用仪器设备的购置。</w:t>
            </w:r>
          </w:p>
          <w:p w14:paraId="2F2702F0">
            <w:pPr>
              <w:keepNext w:val="0"/>
              <w:keepLines w:val="0"/>
              <w:pageBreakBefore w:val="0"/>
              <w:widowControl w:val="0"/>
              <w:kinsoku/>
              <w:wordWrap/>
              <w:overflowPunct/>
              <w:topLinePunct w:val="0"/>
              <w:autoSpaceDE/>
              <w:autoSpaceDN/>
              <w:bidi w:val="0"/>
              <w:adjustRightInd/>
              <w:snapToGrid/>
              <w:spacing w:line="480" w:lineRule="exact"/>
              <w:ind w:left="0" w:leftChars="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（二）业务费</w:t>
            </w:r>
          </w:p>
          <w:p w14:paraId="7CF0C795">
            <w:pPr>
              <w:keepNext w:val="0"/>
              <w:keepLines w:val="0"/>
              <w:pageBreakBefore w:val="0"/>
              <w:widowControl w:val="0"/>
              <w:kinsoku/>
              <w:wordWrap/>
              <w:overflowPunct/>
              <w:topLinePunct w:val="0"/>
              <w:autoSpaceDE/>
              <w:autoSpaceDN/>
              <w:bidi w:val="0"/>
              <w:adjustRightInd/>
              <w:snapToGrid/>
              <w:spacing w:line="480" w:lineRule="exact"/>
              <w:ind w:left="0" w:leftChars="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（1）材料费</w:t>
            </w:r>
          </w:p>
          <w:p w14:paraId="60FD2C2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编制材料费预算应注意：</w:t>
            </w:r>
          </w:p>
          <w:p w14:paraId="1A191DF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实施过程中消耗的主要材料，如某一品种材料预算合计达到 10 万元（含） 以上的大宗原辅材料、贵重材料等，应详细说明其与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任务的相关性、购买的必要性、数量的合理性等。其余辅助材料、低值易耗品可按类别简要说明。</w:t>
            </w:r>
          </w:p>
          <w:p w14:paraId="774B772F">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材料的运输、装卸、整理费用主要是指采购材料时必须发生的物流运输、材料装卸、整理 等费用。编报材料费预算应将材料运输、装卸、整理等费用与材料出厂（供应）价格统一合并测算，无需单独编列测算。</w:t>
            </w:r>
          </w:p>
          <w:p w14:paraId="7051B86C">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应避免与试制设备费中的材料重复编列。</w:t>
            </w:r>
          </w:p>
          <w:p w14:paraId="06540B95">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专项经费中不应编列用于生产经营和基本建设的材料。</w:t>
            </w:r>
          </w:p>
          <w:p w14:paraId="5130DE1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与专用设备同时购置的备品、备件等可纳入设备费预算，单独购置备品、备件等可纳入材料费预算。</w:t>
            </w:r>
          </w:p>
          <w:p w14:paraId="31C1E8EF">
            <w:pPr>
              <w:keepNext w:val="0"/>
              <w:keepLines w:val="0"/>
              <w:pageBreakBefore w:val="0"/>
              <w:widowControl w:val="0"/>
              <w:kinsoku/>
              <w:wordWrap/>
              <w:overflowPunct/>
              <w:topLinePunct w:val="0"/>
              <w:autoSpaceDE/>
              <w:autoSpaceDN/>
              <w:bidi w:val="0"/>
              <w:adjustRightInd/>
              <w:snapToGrid/>
              <w:spacing w:line="480" w:lineRule="exact"/>
              <w:ind w:left="0" w:leftChars="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（2）测试化验加工费</w:t>
            </w:r>
          </w:p>
          <w:p w14:paraId="09D847F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编制测试化验加工费预算应注意：</w:t>
            </w:r>
          </w:p>
          <w:p w14:paraId="1E50967B">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单次或累计费用在 10 万元（含）以上的测试化验加工</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，应详细说明其与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 xml:space="preserve"> 研究任务的相关性、必要性，以及次数、价格等测算依据，并详细说明承接测试化验加工业务的外单位（包括承担单位内部独立经济核算单位）所具备的资质或相应能力。</w:t>
            </w:r>
          </w:p>
          <w:p w14:paraId="167C6620">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如承接方与承担单位存在利益关联关系，应披露双方利益关联情况。</w:t>
            </w:r>
          </w:p>
          <w:p w14:paraId="25C7892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单次或累计费用在 5 万元以下的测试化验加工</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，可结合</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研究任务分类说明。</w:t>
            </w:r>
          </w:p>
          <w:p w14:paraId="0700F2E2">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内部独立经济核算单位是指在单位统一会计制度控制下，单位内部实行独立经济核算的机 构或部门，其承担的测试化验加工任务应按照测试、化验、加工内容发生的实际成本或内部结算价格进行测算。</w:t>
            </w:r>
          </w:p>
          <w:p w14:paraId="3ECB32E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研究任务相关的软件测试、数据加工整理、大型计算机机时等费用可在本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w:t>
            </w:r>
          </w:p>
          <w:p w14:paraId="6AD0F069">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按照研究任务分工，需由承担单位独立完成的测试化验加工任务，相关费用不在本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lang w:val="en-US" w:eastAsia="zh-CN"/>
              </w:rPr>
              <w:t>中</w:t>
            </w:r>
            <w:r>
              <w:rPr>
                <w:rFonts w:hint="eastAsia" w:ascii="仿宋_GB2312" w:hAnsi="仿宋_GB2312" w:eastAsia="仿宋_GB2312" w:cs="仿宋_GB2312"/>
                <w:spacing w:val="6"/>
                <w:sz w:val="28"/>
                <w:szCs w:val="28"/>
              </w:rPr>
              <w:t>核算，应在材料费、燃料动力费和劳务费等预算</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w:t>
            </w:r>
          </w:p>
          <w:p w14:paraId="79AB5656">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应由承担单位完成的研究任务，不得以测试化验加工费的名义分包。</w:t>
            </w:r>
          </w:p>
          <w:p w14:paraId="0EC9DFAC">
            <w:pPr>
              <w:keepNext w:val="0"/>
              <w:keepLines w:val="0"/>
              <w:pageBreakBefore w:val="0"/>
              <w:widowControl w:val="0"/>
              <w:kinsoku/>
              <w:wordWrap/>
              <w:overflowPunct/>
              <w:topLinePunct w:val="0"/>
              <w:autoSpaceDE/>
              <w:autoSpaceDN/>
              <w:bidi w:val="0"/>
              <w:adjustRightInd/>
              <w:snapToGrid/>
              <w:spacing w:line="480" w:lineRule="exact"/>
              <w:ind w:left="0" w:leftChars="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（3）燃料动力费</w:t>
            </w:r>
          </w:p>
          <w:p w14:paraId="01385F96">
            <w:pPr>
              <w:keepNext w:val="0"/>
              <w:keepLines w:val="0"/>
              <w:pageBreakBefore w:val="0"/>
              <w:widowControl w:val="0"/>
              <w:kinsoku/>
              <w:wordWrap/>
              <w:overflowPunct/>
              <w:topLinePunct w:val="0"/>
              <w:autoSpaceDE/>
              <w:autoSpaceDN/>
              <w:bidi w:val="0"/>
              <w:adjustRightInd/>
              <w:snapToGrid/>
              <w:spacing w:line="480" w:lineRule="exact"/>
              <w:ind w:left="0" w:leftChars="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编制燃料动力费预算应注意：</w:t>
            </w:r>
          </w:p>
          <w:p w14:paraId="0C1B5D8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right="0" w:firstLine="592" w:firstLineChars="200"/>
              <w:jc w:val="left"/>
              <w:textAlignment w:val="auto"/>
              <w:rPr>
                <w:rFonts w:hint="eastAsia" w:ascii="仿宋_GB2312" w:hAnsi="仿宋_GB2312" w:eastAsia="仿宋_GB2312" w:cs="仿宋_GB2312"/>
                <w:spacing w:val="8"/>
                <w:sz w:val="28"/>
                <w:szCs w:val="28"/>
              </w:rPr>
            </w:pPr>
            <w:r>
              <w:rPr>
                <w:rFonts w:hint="eastAsia" w:ascii="仿宋_GB2312" w:hAnsi="仿宋_GB2312" w:eastAsia="仿宋_GB2312" w:cs="仿宋_GB2312"/>
                <w:spacing w:val="8"/>
                <w:sz w:val="28"/>
                <w:szCs w:val="28"/>
              </w:rPr>
              <w:t>详细说明直接使用的相关仪器设备、科学装置等在</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研究任务中的作用。</w:t>
            </w:r>
          </w:p>
          <w:p w14:paraId="5B263807">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7"/>
                <w:position w:val="14"/>
                <w:sz w:val="28"/>
                <w:szCs w:val="28"/>
              </w:rPr>
              <w:t>应按照相关仪器、科学装置等预计运行时间和所消耗的水、电、气、</w:t>
            </w:r>
            <w:r>
              <w:rPr>
                <w:rFonts w:hint="eastAsia" w:ascii="仿宋_GB2312" w:hAnsi="仿宋_GB2312" w:eastAsia="仿宋_GB2312" w:cs="仿宋_GB2312"/>
                <w:spacing w:val="6"/>
                <w:sz w:val="28"/>
                <w:szCs w:val="28"/>
              </w:rPr>
              <w:t>燃料等即期（预算编报时）价格测算，在测算过程中还应提供各参数来源或分摊依据、测算方法等。</w:t>
            </w:r>
          </w:p>
          <w:p w14:paraId="10787728">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承担单位的 日常水、电、气、暖消耗等费用不应在此</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编列，应在间接费用中解决。</w:t>
            </w:r>
          </w:p>
          <w:p w14:paraId="4756A85F">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研究任务相关的科学考察、野外实验勘探等发生的车、船、航空器的燃油费用可在燃料动力费中编列。</w:t>
            </w:r>
          </w:p>
          <w:p w14:paraId="541EAB50">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（4）差旅/会议/国际合作与交流费</w:t>
            </w:r>
          </w:p>
          <w:p w14:paraId="02BD06F4">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编制会议/差旅/国际合作交流费预算应注意：</w:t>
            </w:r>
          </w:p>
          <w:p w14:paraId="52343E4E">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1.本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预算不超过直接费用预算 10%的，不需要对预算内容和资金安排进行说明，更不需要提供测算依据。</w:t>
            </w:r>
          </w:p>
          <w:p w14:paraId="205A27A2">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2.本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预算超过直接费用 10%的，应对会议费、差旅费、国际合作交流费分类分别进行测算。</w:t>
            </w:r>
          </w:p>
          <w:p w14:paraId="148FA40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会议费：是指在</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实施过程中承担单位为组织开展学术研讨、咨询以及协调项目等活动而发生的会议费用。</w:t>
            </w:r>
          </w:p>
          <w:p w14:paraId="20FC1605">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会议费可按照会议类别（如学术交流研讨、咨询座谈、验收等）对会议次数、规模、开支标准等进行说明，无需对每次会议做单独的测算和说明。</w:t>
            </w:r>
          </w:p>
          <w:p w14:paraId="00261A12">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会议次数、天数、人数以及会议费开支范围、标准等，高校、科研院所应按照其内部制定 的管理办法测算，并提供管理办法作为附件。除高校、科研院所外，其他单位应参照本市关于会议费的相关开支标准进行测算。</w:t>
            </w:r>
          </w:p>
          <w:p w14:paraId="15E46EF4">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差旅费：是指在项目实施过程中开展科学实验（试验）、科学考察、业务调研、学术交流等所发生的外埠差旅费、市内交通费用等。</w:t>
            </w:r>
          </w:p>
          <w:p w14:paraId="7500AD9B">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差旅费可按照差旅类别（ 如科学实验/试验、科学考察、业务调研、学术交流等）对出差次数、人数、人均出差费用等进行分类说明，无需对每一次出差事项做单独的测算和说明。</w:t>
            </w:r>
          </w:p>
          <w:p w14:paraId="05C6780B">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预算中若涉及到乘坐交通工具等级和住宿费标准等，高校、科研院所应按照其内部制定的 管理办法测算，并提供管理办法作为附件。除高校、科研院所外，其他单位应参照国家关于差旅费的相关开支标准进行测算。</w:t>
            </w:r>
          </w:p>
          <w:p w14:paraId="35D9B4EE">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国际合作交流费：是指项目实施过程中课题研究人员出国（境）及外国专家来华的费用。</w:t>
            </w:r>
          </w:p>
          <w:p w14:paraId="629E7990">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国际合作交流费应根据国际合作交流的类型，如项目</w:t>
            </w:r>
            <w:r>
              <w:rPr>
                <w:rFonts w:hint="eastAsia" w:ascii="仿宋_GB2312" w:hAnsi="仿宋_GB2312" w:eastAsia="仿宋_GB2312" w:cs="仿宋_GB2312"/>
                <w:spacing w:val="5"/>
                <w:sz w:val="28"/>
                <w:szCs w:val="28"/>
              </w:rPr>
              <w:t>研究人员出国（境）进行的</w:t>
            </w:r>
            <w:r>
              <w:rPr>
                <w:rFonts w:hint="eastAsia" w:ascii="仿宋_GB2312" w:hAnsi="仿宋_GB2312" w:eastAsia="仿宋_GB2312" w:cs="仿宋_GB2312"/>
                <w:spacing w:val="6"/>
                <w:sz w:val="28"/>
                <w:szCs w:val="28"/>
              </w:rPr>
              <w:t>学术交流、考察调研等，海外专家来华进行的技术培训、业务指导等，分别说明相关活动与项目</w:t>
            </w:r>
            <w:r>
              <w:rPr>
                <w:rFonts w:hint="eastAsia" w:ascii="仿宋_GB2312" w:hAnsi="仿宋_GB2312" w:eastAsia="仿宋_GB2312" w:cs="仿宋_GB2312"/>
                <w:spacing w:val="8"/>
                <w:sz w:val="28"/>
                <w:szCs w:val="28"/>
              </w:rPr>
              <w:t>研究任务的相关性、必要性。</w:t>
            </w:r>
          </w:p>
          <w:p w14:paraId="3EF8E3E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课题研究人员出国（境）和外国专家来华应与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研究任务相关，在编报预算时</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应合理考虑出国（</w:t>
            </w:r>
            <w:r>
              <w:rPr>
                <w:rFonts w:hint="eastAsia" w:ascii="仿宋_GB2312" w:hAnsi="仿宋_GB2312" w:eastAsia="仿宋_GB2312" w:cs="仿宋_GB2312"/>
                <w:spacing w:val="-47"/>
                <w:sz w:val="28"/>
                <w:szCs w:val="28"/>
              </w:rPr>
              <w:t xml:space="preserve"> </w:t>
            </w:r>
            <w:r>
              <w:rPr>
                <w:rFonts w:hint="eastAsia" w:ascii="仿宋_GB2312" w:hAnsi="仿宋_GB2312" w:eastAsia="仿宋_GB2312" w:cs="仿宋_GB2312"/>
                <w:spacing w:val="7"/>
                <w:sz w:val="28"/>
                <w:szCs w:val="28"/>
              </w:rPr>
              <w:t>境）</w:t>
            </w:r>
            <w:r>
              <w:rPr>
                <w:rFonts w:hint="eastAsia" w:ascii="仿宋_GB2312" w:hAnsi="仿宋_GB2312" w:eastAsia="仿宋_GB2312" w:cs="仿宋_GB2312"/>
                <w:spacing w:val="-44"/>
                <w:sz w:val="28"/>
                <w:szCs w:val="28"/>
              </w:rPr>
              <w:t xml:space="preserve"> </w:t>
            </w:r>
            <w:r>
              <w:rPr>
                <w:rFonts w:hint="eastAsia" w:ascii="仿宋_GB2312" w:hAnsi="仿宋_GB2312" w:eastAsia="仿宋_GB2312" w:cs="仿宋_GB2312"/>
                <w:spacing w:val="7"/>
                <w:sz w:val="28"/>
                <w:szCs w:val="28"/>
              </w:rPr>
              <w:t>目的地、外国专家主要工作</w:t>
            </w:r>
            <w:r>
              <w:rPr>
                <w:rFonts w:hint="eastAsia" w:ascii="仿宋_GB2312" w:hAnsi="仿宋_GB2312" w:eastAsia="仿宋_GB2312" w:cs="仿宋_GB2312"/>
                <w:spacing w:val="6"/>
                <w:sz w:val="28"/>
                <w:szCs w:val="28"/>
              </w:rPr>
              <w:t>内容、出国（境）或来华的天数、出国（境）批次数和出国（境）团组人数等。</w:t>
            </w:r>
          </w:p>
          <w:p w14:paraId="7100BC40">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出国（境）费用应按照国家的相关规定测算。外国专家来华工作发生的住宿费、差旅费，应参考国内同行专家的标准编报。</w:t>
            </w:r>
          </w:p>
          <w:p w14:paraId="3AE49296">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5"/>
                <w:sz w:val="28"/>
                <w:szCs w:val="28"/>
              </w:rPr>
              <w:t>参加与</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5"/>
                <w:sz w:val="28"/>
                <w:szCs w:val="28"/>
              </w:rPr>
              <w:t>研究任务相关的国内和国际学术交流会议的注册费，以及因</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4"/>
                <w:sz w:val="28"/>
                <w:szCs w:val="28"/>
              </w:rPr>
              <w:t>（课</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9"/>
                <w:sz w:val="28"/>
                <w:szCs w:val="28"/>
              </w:rPr>
              <w:t>题）研究任务需要，邀请国内外专家、学者和有关人员参加会议，对确需负担的城市间交通费、</w:t>
            </w:r>
            <w:r>
              <w:rPr>
                <w:rFonts w:hint="eastAsia" w:ascii="仿宋_GB2312" w:hAnsi="仿宋_GB2312" w:eastAsia="仿宋_GB2312" w:cs="仿宋_GB2312"/>
                <w:spacing w:val="7"/>
                <w:sz w:val="28"/>
                <w:szCs w:val="28"/>
              </w:rPr>
              <w:t>国际旅费、签证费等可列入会议/差旅/国际合作交</w:t>
            </w:r>
            <w:r>
              <w:rPr>
                <w:rFonts w:hint="eastAsia" w:ascii="仿宋_GB2312" w:hAnsi="仿宋_GB2312" w:eastAsia="仿宋_GB2312" w:cs="仿宋_GB2312"/>
                <w:spacing w:val="6"/>
                <w:sz w:val="28"/>
                <w:szCs w:val="28"/>
              </w:rPr>
              <w:t>流费</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w:t>
            </w:r>
          </w:p>
          <w:p w14:paraId="46C3C805">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（5）出版/文献/信息传播/知识产权事务费</w:t>
            </w:r>
          </w:p>
          <w:p w14:paraId="4053BEEA">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编制出版/文献/信息传播/知识产权事务费预算应注意：</w:t>
            </w:r>
          </w:p>
          <w:p w14:paraId="115766BC">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7"/>
                <w:sz w:val="28"/>
                <w:szCs w:val="28"/>
              </w:rPr>
              <w:t>出版费：主要包括</w:t>
            </w: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pacing w:val="7"/>
                <w:sz w:val="28"/>
                <w:szCs w:val="28"/>
              </w:rPr>
              <w:t>（</w:t>
            </w:r>
            <w:r>
              <w:rPr>
                <w:rFonts w:hint="eastAsia" w:ascii="仿宋_GB2312" w:hAnsi="仿宋_GB2312" w:eastAsia="仿宋_GB2312" w:cs="仿宋_GB2312"/>
                <w:spacing w:val="-57"/>
                <w:sz w:val="28"/>
                <w:szCs w:val="28"/>
              </w:rPr>
              <w:t xml:space="preserve"> </w:t>
            </w:r>
            <w:r>
              <w:rPr>
                <w:rFonts w:hint="eastAsia" w:ascii="仿宋_GB2312" w:hAnsi="仿宋_GB2312" w:eastAsia="仿宋_GB2312" w:cs="仿宋_GB2312"/>
                <w:spacing w:val="7"/>
                <w:sz w:val="28"/>
                <w:szCs w:val="28"/>
              </w:rPr>
              <w:t>课题）研究任务产生的论文、专著、标准、图</w:t>
            </w:r>
            <w:r>
              <w:rPr>
                <w:rFonts w:hint="eastAsia" w:ascii="仿宋_GB2312" w:hAnsi="仿宋_GB2312" w:eastAsia="仿宋_GB2312" w:cs="仿宋_GB2312"/>
                <w:spacing w:val="6"/>
                <w:sz w:val="28"/>
                <w:szCs w:val="28"/>
              </w:rPr>
              <w:t>集等出版费用。</w:t>
            </w:r>
          </w:p>
          <w:p w14:paraId="0A191DF6">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资料费：主要包括</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w:t>
            </w:r>
            <w:r>
              <w:rPr>
                <w:rFonts w:hint="eastAsia" w:ascii="仿宋_GB2312" w:hAnsi="仿宋_GB2312" w:eastAsia="仿宋_GB2312" w:cs="仿宋_GB2312"/>
                <w:spacing w:val="-57"/>
                <w:sz w:val="28"/>
                <w:szCs w:val="28"/>
              </w:rPr>
              <w:t xml:space="preserve"> </w:t>
            </w:r>
            <w:r>
              <w:rPr>
                <w:rFonts w:hint="eastAsia" w:ascii="仿宋_GB2312" w:hAnsi="仿宋_GB2312" w:eastAsia="仿宋_GB2312" w:cs="仿宋_GB2312"/>
                <w:spacing w:val="6"/>
                <w:sz w:val="28"/>
                <w:szCs w:val="28"/>
              </w:rPr>
              <w:t>课题）研究任务必需的图书、学术资料、数据资源等购买费用，</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以及与</w:t>
            </w: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pacing w:val="7"/>
                <w:sz w:val="28"/>
                <w:szCs w:val="28"/>
              </w:rPr>
              <w:t>任务相关的资料翻译、打印、复印、装订等费用。对于</w:t>
            </w:r>
            <w:r>
              <w:rPr>
                <w:rFonts w:hint="eastAsia" w:ascii="仿宋_GB2312" w:hAnsi="仿宋_GB2312" w:eastAsia="仿宋_GB2312" w:cs="仿宋_GB2312"/>
                <w:spacing w:val="6"/>
                <w:sz w:val="28"/>
                <w:szCs w:val="28"/>
              </w:rPr>
              <w:t>单价</w:t>
            </w:r>
            <w:r>
              <w:rPr>
                <w:rFonts w:hint="eastAsia" w:ascii="仿宋_GB2312" w:hAnsi="仿宋_GB2312" w:eastAsia="仿宋_GB2312" w:cs="仿宋_GB2312"/>
                <w:spacing w:val="-21"/>
                <w:sz w:val="28"/>
                <w:szCs w:val="28"/>
              </w:rPr>
              <w:t xml:space="preserve"> </w:t>
            </w:r>
            <w:r>
              <w:rPr>
                <w:rFonts w:hint="eastAsia" w:ascii="仿宋_GB2312" w:hAnsi="仿宋_GB2312" w:eastAsia="仿宋_GB2312" w:cs="仿宋_GB2312"/>
                <w:spacing w:val="6"/>
                <w:sz w:val="28"/>
                <w:szCs w:val="28"/>
              </w:rPr>
              <w:t>10</w:t>
            </w:r>
            <w:r>
              <w:rPr>
                <w:rFonts w:hint="eastAsia" w:ascii="仿宋_GB2312" w:hAnsi="仿宋_GB2312" w:eastAsia="仿宋_GB2312" w:cs="仿宋_GB2312"/>
                <w:spacing w:val="-31"/>
                <w:sz w:val="28"/>
                <w:szCs w:val="28"/>
              </w:rPr>
              <w:t xml:space="preserve"> </w:t>
            </w:r>
            <w:r>
              <w:rPr>
                <w:rFonts w:hint="eastAsia" w:ascii="仿宋_GB2312" w:hAnsi="仿宋_GB2312" w:eastAsia="仿宋_GB2312" w:cs="仿宋_GB2312"/>
                <w:spacing w:val="6"/>
                <w:sz w:val="28"/>
                <w:szCs w:val="28"/>
              </w:rPr>
              <w:t>万元（含）</w:t>
            </w:r>
            <w:r>
              <w:rPr>
                <w:rFonts w:hint="eastAsia" w:ascii="仿宋_GB2312" w:hAnsi="仿宋_GB2312" w:eastAsia="仿宋_GB2312" w:cs="仿宋_GB2312"/>
                <w:spacing w:val="8"/>
                <w:sz w:val="28"/>
                <w:szCs w:val="28"/>
              </w:rPr>
              <w:t>以上的资料购买费用，应说明其购买的必要性和数量的合理性等。</w:t>
            </w:r>
          </w:p>
          <w:p w14:paraId="4DDBC25A">
            <w:pPr>
              <w:keepNext w:val="0"/>
              <w:keepLines w:val="0"/>
              <w:pageBreakBefore w:val="0"/>
              <w:widowControl w:val="0"/>
              <w:kinsoku/>
              <w:wordWrap/>
              <w:overflowPunct/>
              <w:topLinePunct w:val="0"/>
              <w:autoSpaceDE/>
              <w:autoSpaceDN/>
              <w:bidi w:val="0"/>
              <w:adjustRightInd/>
              <w:snapToGrid/>
              <w:spacing w:line="480" w:lineRule="exact"/>
              <w:ind w:left="0" w:right="0" w:firstLine="596"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9"/>
                <w:sz w:val="28"/>
                <w:szCs w:val="28"/>
              </w:rPr>
              <w:t>购买单价在</w:t>
            </w:r>
            <w:r>
              <w:rPr>
                <w:rFonts w:hint="eastAsia" w:ascii="仿宋_GB2312" w:hAnsi="仿宋_GB2312" w:eastAsia="仿宋_GB2312" w:cs="仿宋_GB2312"/>
                <w:spacing w:val="-22"/>
                <w:sz w:val="28"/>
                <w:szCs w:val="28"/>
              </w:rPr>
              <w:t xml:space="preserve"> </w:t>
            </w:r>
            <w:r>
              <w:rPr>
                <w:rFonts w:hint="eastAsia" w:ascii="仿宋_GB2312" w:hAnsi="仿宋_GB2312" w:eastAsia="仿宋_GB2312" w:cs="仿宋_GB2312"/>
                <w:spacing w:val="9"/>
                <w:sz w:val="28"/>
                <w:szCs w:val="28"/>
              </w:rPr>
              <w:t>10</w:t>
            </w:r>
            <w:r>
              <w:rPr>
                <w:rFonts w:hint="eastAsia" w:ascii="仿宋_GB2312" w:hAnsi="仿宋_GB2312" w:eastAsia="仿宋_GB2312" w:cs="仿宋_GB2312"/>
                <w:spacing w:val="-31"/>
                <w:sz w:val="28"/>
                <w:szCs w:val="28"/>
              </w:rPr>
              <w:t xml:space="preserve"> </w:t>
            </w:r>
            <w:r>
              <w:rPr>
                <w:rFonts w:hint="eastAsia" w:ascii="仿宋_GB2312" w:hAnsi="仿宋_GB2312" w:eastAsia="仿宋_GB2312" w:cs="仿宋_GB2312"/>
                <w:spacing w:val="9"/>
                <w:sz w:val="28"/>
                <w:szCs w:val="28"/>
              </w:rPr>
              <w:t>万元（含）以上的专用软件，应说明</w:t>
            </w:r>
            <w:r>
              <w:rPr>
                <w:rFonts w:hint="eastAsia" w:ascii="仿宋_GB2312" w:hAnsi="仿宋_GB2312" w:eastAsia="仿宋_GB2312" w:cs="仿宋_GB2312"/>
                <w:spacing w:val="8"/>
                <w:sz w:val="28"/>
                <w:szCs w:val="28"/>
              </w:rPr>
              <w:t>专用软件的主要技术指标和用途，购</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买的必要性和数量的合理性等，并需提供</w:t>
            </w:r>
            <w:r>
              <w:rPr>
                <w:rFonts w:hint="eastAsia" w:ascii="仿宋_GB2312" w:hAnsi="仿宋_GB2312" w:eastAsia="仿宋_GB2312" w:cs="仿宋_GB2312"/>
                <w:spacing w:val="-33"/>
                <w:sz w:val="28"/>
                <w:szCs w:val="28"/>
              </w:rPr>
              <w:t xml:space="preserve"> </w:t>
            </w:r>
            <w:r>
              <w:rPr>
                <w:rFonts w:hint="eastAsia" w:ascii="仿宋_GB2312" w:hAnsi="仿宋_GB2312" w:eastAsia="仿宋_GB2312" w:cs="仿宋_GB2312"/>
                <w:spacing w:val="7"/>
                <w:sz w:val="28"/>
                <w:szCs w:val="28"/>
              </w:rPr>
              <w:t>3</w:t>
            </w:r>
            <w:r>
              <w:rPr>
                <w:rFonts w:hint="eastAsia" w:ascii="仿宋_GB2312" w:hAnsi="仿宋_GB2312" w:eastAsia="仿宋_GB2312" w:cs="仿宋_GB2312"/>
                <w:spacing w:val="-34"/>
                <w:sz w:val="28"/>
                <w:szCs w:val="28"/>
              </w:rPr>
              <w:t xml:space="preserve"> </w:t>
            </w:r>
            <w:r>
              <w:rPr>
                <w:rFonts w:hint="eastAsia" w:ascii="仿宋_GB2312" w:hAnsi="仿宋_GB2312" w:eastAsia="仿宋_GB2312" w:cs="仿宋_GB2312"/>
                <w:spacing w:val="7"/>
                <w:sz w:val="28"/>
                <w:szCs w:val="28"/>
              </w:rPr>
              <w:t>家以上报价单。如</w:t>
            </w:r>
            <w:r>
              <w:rPr>
                <w:rFonts w:hint="eastAsia" w:ascii="仿宋_GB2312" w:hAnsi="仿宋_GB2312" w:eastAsia="仿宋_GB2312" w:cs="仿宋_GB2312"/>
                <w:spacing w:val="6"/>
                <w:sz w:val="28"/>
                <w:szCs w:val="28"/>
              </w:rPr>
              <w:t>果专用软件为独家代理或生产，可提供</w:t>
            </w:r>
            <w:r>
              <w:rPr>
                <w:rFonts w:hint="eastAsia" w:ascii="仿宋_GB2312" w:hAnsi="仿宋_GB2312" w:eastAsia="仿宋_GB2312" w:cs="仿宋_GB2312"/>
                <w:spacing w:val="-22"/>
                <w:sz w:val="28"/>
                <w:szCs w:val="28"/>
              </w:rPr>
              <w:t xml:space="preserve"> </w:t>
            </w:r>
            <w:r>
              <w:rPr>
                <w:rFonts w:hint="eastAsia" w:ascii="仿宋_GB2312" w:hAnsi="仿宋_GB2312" w:eastAsia="仿宋_GB2312" w:cs="仿宋_GB2312"/>
                <w:spacing w:val="6"/>
                <w:sz w:val="28"/>
                <w:szCs w:val="28"/>
              </w:rPr>
              <w:t>1</w:t>
            </w:r>
            <w:r>
              <w:rPr>
                <w:rFonts w:hint="eastAsia" w:ascii="仿宋_GB2312" w:hAnsi="仿宋_GB2312" w:eastAsia="仿宋_GB2312" w:cs="仿宋_GB2312"/>
                <w:spacing w:val="-34"/>
                <w:sz w:val="28"/>
                <w:szCs w:val="28"/>
              </w:rPr>
              <w:t xml:space="preserve"> </w:t>
            </w:r>
            <w:r>
              <w:rPr>
                <w:rFonts w:hint="eastAsia" w:ascii="仿宋_GB2312" w:hAnsi="仿宋_GB2312" w:eastAsia="仿宋_GB2312" w:cs="仿宋_GB2312"/>
                <w:spacing w:val="6"/>
                <w:sz w:val="28"/>
                <w:szCs w:val="28"/>
              </w:rPr>
              <w:t>家报价单，但应予以说明。</w:t>
            </w:r>
          </w:p>
          <w:p w14:paraId="38E06C19">
            <w:pPr>
              <w:keepNext w:val="0"/>
              <w:keepLines w:val="0"/>
              <w:pageBreakBefore w:val="0"/>
              <w:widowControl w:val="0"/>
              <w:kinsoku/>
              <w:wordWrap/>
              <w:overflowPunct/>
              <w:topLinePunct w:val="0"/>
              <w:autoSpaceDE/>
              <w:autoSpaceDN/>
              <w:bidi w:val="0"/>
              <w:adjustRightInd/>
              <w:snapToGrid/>
              <w:spacing w:line="480" w:lineRule="exact"/>
              <w:ind w:left="0" w:right="0" w:firstLine="596"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9"/>
                <w:sz w:val="28"/>
                <w:szCs w:val="28"/>
              </w:rPr>
              <w:t>专项经费中不应编列通用性操作系统、办公软件等非专用软件的购置费。</w:t>
            </w:r>
          </w:p>
          <w:p w14:paraId="3D94D559">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pacing w:val="7"/>
                <w:sz w:val="28"/>
                <w:szCs w:val="28"/>
              </w:rPr>
            </w:pPr>
            <w:r>
              <w:rPr>
                <w:rFonts w:hint="eastAsia" w:ascii="仿宋_GB2312" w:hAnsi="仿宋_GB2312" w:eastAsia="仿宋_GB2312" w:cs="仿宋_GB2312"/>
                <w:spacing w:val="7"/>
                <w:sz w:val="28"/>
                <w:szCs w:val="28"/>
              </w:rPr>
              <w:t>委托外单位开发的单价在 10 万元（含）以上的定制软件，应说明定制软件的用途，定制的必要性、数量的合理性等。</w:t>
            </w:r>
          </w:p>
          <w:p w14:paraId="511B34CB">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pacing w:val="7"/>
                <w:sz w:val="28"/>
                <w:szCs w:val="28"/>
              </w:rPr>
            </w:pPr>
            <w:r>
              <w:rPr>
                <w:rFonts w:hint="eastAsia" w:ascii="仿宋_GB2312" w:hAnsi="仿宋_GB2312" w:eastAsia="仿宋_GB2312" w:cs="仿宋_GB2312"/>
                <w:spacing w:val="7"/>
                <w:sz w:val="28"/>
                <w:szCs w:val="28"/>
              </w:rPr>
              <w:t>如项目主要任务目标为软件开发，不应将课题研究的主要任务通过定制软件的方式外包，其研发软件发生的费用应计入相应</w:t>
            </w:r>
            <w:r>
              <w:rPr>
                <w:rFonts w:hint="eastAsia" w:ascii="仿宋_GB2312" w:hAnsi="仿宋_GB2312" w:eastAsia="仿宋_GB2312" w:cs="仿宋_GB2312"/>
                <w:spacing w:val="7"/>
                <w:sz w:val="28"/>
                <w:szCs w:val="28"/>
                <w:lang w:eastAsia="zh-CN"/>
              </w:rPr>
              <w:t>科目</w:t>
            </w:r>
            <w:r>
              <w:rPr>
                <w:rFonts w:hint="eastAsia" w:ascii="仿宋_GB2312" w:hAnsi="仿宋_GB2312" w:eastAsia="仿宋_GB2312" w:cs="仿宋_GB2312"/>
                <w:spacing w:val="7"/>
                <w:sz w:val="28"/>
                <w:szCs w:val="28"/>
              </w:rPr>
              <w:t>中，不计入本科目。</w:t>
            </w:r>
          </w:p>
          <w:p w14:paraId="6BE3AD25">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pacing w:val="7"/>
                <w:sz w:val="28"/>
                <w:szCs w:val="28"/>
              </w:rPr>
            </w:pPr>
            <w:r>
              <w:rPr>
                <w:rFonts w:hint="eastAsia" w:ascii="仿宋_GB2312" w:hAnsi="仿宋_GB2312" w:eastAsia="仿宋_GB2312" w:cs="仿宋_GB2312"/>
                <w:spacing w:val="7"/>
                <w:sz w:val="28"/>
                <w:szCs w:val="28"/>
              </w:rPr>
              <w:t>专项经费中不应编列日常手机和办公固定电话的通讯费、日常办公网络费和电话充值卡费用等。</w:t>
            </w:r>
          </w:p>
          <w:p w14:paraId="41B9B5E9">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5"/>
                <w:sz w:val="28"/>
                <w:szCs w:val="28"/>
              </w:rPr>
              <w:t>专利申请及其他知识产权事务费用：为完成本</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5"/>
                <w:sz w:val="28"/>
                <w:szCs w:val="28"/>
              </w:rPr>
              <w:t>（</w:t>
            </w:r>
            <w:r>
              <w:rPr>
                <w:rFonts w:hint="eastAsia" w:ascii="仿宋_GB2312" w:hAnsi="仿宋_GB2312" w:eastAsia="仿宋_GB2312" w:cs="仿宋_GB2312"/>
                <w:spacing w:val="-56"/>
                <w:sz w:val="28"/>
                <w:szCs w:val="28"/>
              </w:rPr>
              <w:t xml:space="preserve"> </w:t>
            </w:r>
            <w:r>
              <w:rPr>
                <w:rFonts w:hint="eastAsia" w:ascii="仿宋_GB2312" w:hAnsi="仿宋_GB2312" w:eastAsia="仿宋_GB2312" w:cs="仿宋_GB2312"/>
                <w:spacing w:val="5"/>
                <w:sz w:val="28"/>
                <w:szCs w:val="28"/>
              </w:rPr>
              <w:t>课题）研究</w:t>
            </w:r>
            <w:r>
              <w:rPr>
                <w:rFonts w:hint="eastAsia" w:ascii="仿宋_GB2312" w:hAnsi="仿宋_GB2312" w:eastAsia="仿宋_GB2312" w:cs="仿宋_GB2312"/>
                <w:spacing w:val="-49"/>
                <w:sz w:val="28"/>
                <w:szCs w:val="28"/>
              </w:rPr>
              <w:t xml:space="preserve"> </w:t>
            </w:r>
            <w:r>
              <w:rPr>
                <w:rFonts w:hint="eastAsia" w:ascii="仿宋_GB2312" w:hAnsi="仿宋_GB2312" w:eastAsia="仿宋_GB2312" w:cs="仿宋_GB2312"/>
                <w:spacing w:val="5"/>
                <w:sz w:val="28"/>
                <w:szCs w:val="28"/>
              </w:rPr>
              <w:t>目标而申请专利的费用，</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以及该专利在</w:t>
            </w: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pacing w:val="7"/>
                <w:sz w:val="28"/>
                <w:szCs w:val="28"/>
              </w:rPr>
              <w:t>实施周期内发生的维护费用，和办理其他知识产权事务发生的费用，</w:t>
            </w:r>
            <w:r>
              <w:rPr>
                <w:rFonts w:hint="eastAsia" w:ascii="仿宋_GB2312" w:hAnsi="仿宋_GB2312" w:eastAsia="仿宋_GB2312" w:cs="仿宋_GB2312"/>
                <w:spacing w:val="9"/>
                <w:sz w:val="28"/>
                <w:szCs w:val="28"/>
              </w:rPr>
              <w:t>如计算机软件著作权、集成电路布图设计权、临床批件、新药证书等。</w:t>
            </w:r>
          </w:p>
          <w:p w14:paraId="0A7B5194">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5"/>
                <w:sz w:val="28"/>
                <w:szCs w:val="28"/>
              </w:rPr>
              <w:t>（6）其他费用</w:t>
            </w:r>
          </w:p>
          <w:p w14:paraId="2ABBCCA8">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编制其他支出预算时应该注意：</w:t>
            </w:r>
          </w:p>
          <w:p w14:paraId="3A972E18">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5"/>
                <w:sz w:val="28"/>
                <w:szCs w:val="28"/>
              </w:rPr>
              <w:t>对</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5"/>
                <w:sz w:val="28"/>
                <w:szCs w:val="28"/>
              </w:rPr>
              <w:t>研究过程中必须发生但不包含在上述</w:t>
            </w:r>
            <w:r>
              <w:rPr>
                <w:rFonts w:hint="eastAsia" w:ascii="仿宋_GB2312" w:hAnsi="仿宋_GB2312" w:eastAsia="仿宋_GB2312" w:cs="仿宋_GB2312"/>
                <w:spacing w:val="5"/>
                <w:sz w:val="28"/>
                <w:szCs w:val="28"/>
                <w:lang w:eastAsia="zh-CN"/>
              </w:rPr>
              <w:t>科目</w:t>
            </w:r>
            <w:r>
              <w:rPr>
                <w:rFonts w:hint="eastAsia" w:ascii="仿宋_GB2312" w:hAnsi="仿宋_GB2312" w:eastAsia="仿宋_GB2312" w:cs="仿宋_GB2312"/>
                <w:spacing w:val="5"/>
                <w:sz w:val="28"/>
                <w:szCs w:val="28"/>
              </w:rPr>
              <w:t>中的支出，如综合绩效评</w:t>
            </w:r>
            <w:r>
              <w:rPr>
                <w:rFonts w:hint="eastAsia" w:ascii="仿宋_GB2312" w:hAnsi="仿宋_GB2312" w:eastAsia="仿宋_GB2312" w:cs="仿宋_GB2312"/>
                <w:spacing w:val="4"/>
                <w:sz w:val="28"/>
                <w:szCs w:val="28"/>
              </w:rPr>
              <w:t>价审计</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费用、在农业、林业等领域发生的土地租赁费及青苗补偿费、在人</w:t>
            </w:r>
            <w:r>
              <w:rPr>
                <w:rFonts w:hint="eastAsia" w:ascii="仿宋_GB2312" w:hAnsi="仿宋_GB2312" w:eastAsia="仿宋_GB2312" w:cs="仿宋_GB2312"/>
                <w:spacing w:val="-41"/>
                <w:sz w:val="28"/>
                <w:szCs w:val="28"/>
              </w:rPr>
              <w:t xml:space="preserve"> </w:t>
            </w:r>
            <w:r>
              <w:rPr>
                <w:rFonts w:hint="eastAsia" w:ascii="仿宋_GB2312" w:hAnsi="仿宋_GB2312" w:eastAsia="仿宋_GB2312" w:cs="仿宋_GB2312"/>
                <w:spacing w:val="6"/>
                <w:sz w:val="28"/>
                <w:szCs w:val="28"/>
              </w:rPr>
              <w:t>口与健康领域发生的临床试验</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费等，可在其他支出中编列，应详细说明该支出与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研究任务的相关性和必要性，并</w:t>
            </w:r>
            <w:r>
              <w:rPr>
                <w:rFonts w:hint="eastAsia" w:ascii="仿宋_GB2312" w:hAnsi="仿宋_GB2312" w:eastAsia="仿宋_GB2312" w:cs="仿宋_GB2312"/>
                <w:spacing w:val="7"/>
                <w:sz w:val="28"/>
                <w:szCs w:val="28"/>
              </w:rPr>
              <w:t>详细列示测算依据。</w:t>
            </w:r>
          </w:p>
          <w:p w14:paraId="796F3CA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对于列支的综合绩效评价审计费用，应本着经济合理的原则进行编制，不得列支财务咨询业务发生的费用。</w:t>
            </w:r>
          </w:p>
          <w:p w14:paraId="5F641C04">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（三）劳务费</w:t>
            </w:r>
          </w:p>
          <w:p w14:paraId="6258D8D8">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5"/>
                <w:sz w:val="28"/>
                <w:szCs w:val="28"/>
              </w:rPr>
              <w:t>（1）劳务性费用</w:t>
            </w:r>
          </w:p>
          <w:p w14:paraId="667B5E7D">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编制劳务费预算应注意：</w:t>
            </w:r>
          </w:p>
          <w:p w14:paraId="517C5FF5">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劳务费预算不设比例限制，应根据科研人员以及相关人员参与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的全时工作时间、承担的任务等因素据实编制并进行说明。</w:t>
            </w:r>
          </w:p>
          <w:p w14:paraId="505CA8F1">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承担单位应有健全的劳务费管理办法，对访问学者、</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聘用研究人员应有细化 的管理要求。在单位的相关管理规定中应明确访问学者的资格认定、审批或备案程序、归 口管理部门及公开公示等内容，并制定岗位设立、工作协议、 日常管理、发放标准等方面的具体规定。</w:t>
            </w:r>
          </w:p>
          <w:p w14:paraId="19839B6F">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编列研究生、博士后等人员的劳务费，应综合考虑参与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研究的人月数、本单</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9"/>
                <w:sz w:val="28"/>
                <w:szCs w:val="28"/>
              </w:rPr>
              <w:t>位研究生、博士后的科研劳务费发放管理制度规定，并结合本地区和本领域科研单位的研究生、</w:t>
            </w:r>
            <w:r>
              <w:rPr>
                <w:rFonts w:hint="eastAsia" w:ascii="仿宋_GB2312" w:hAnsi="仿宋_GB2312" w:eastAsia="仿宋_GB2312" w:cs="仿宋_GB2312"/>
                <w:spacing w:val="8"/>
                <w:sz w:val="28"/>
                <w:szCs w:val="28"/>
              </w:rPr>
              <w:t>博士后平均发放水平据实测算。</w:t>
            </w:r>
          </w:p>
          <w:p w14:paraId="192DCBA9">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7"/>
                <w:sz w:val="28"/>
                <w:szCs w:val="28"/>
              </w:rPr>
              <w:t>编列访问学者劳务费用时，应对其承担研究任务的必要性、投入工作时间的合理性以及费</w:t>
            </w:r>
            <w:r>
              <w:rPr>
                <w:rFonts w:hint="eastAsia" w:ascii="仿宋_GB2312" w:hAnsi="仿宋_GB2312" w:eastAsia="仿宋_GB2312" w:cs="仿宋_GB2312"/>
                <w:spacing w:val="10"/>
                <w:sz w:val="28"/>
                <w:szCs w:val="28"/>
              </w:rPr>
              <w:t xml:space="preserve"> </w:t>
            </w:r>
            <w:r>
              <w:rPr>
                <w:rFonts w:hint="eastAsia" w:ascii="仿宋_GB2312" w:hAnsi="仿宋_GB2312" w:eastAsia="仿宋_GB2312" w:cs="仿宋_GB2312"/>
                <w:spacing w:val="8"/>
                <w:sz w:val="28"/>
                <w:szCs w:val="28"/>
              </w:rPr>
              <w:t>用标准予以重点说明。访问学者的资格应符合</w:t>
            </w:r>
            <w:r>
              <w:rPr>
                <w:rFonts w:hint="eastAsia" w:ascii="仿宋_GB2312" w:hAnsi="仿宋_GB2312" w:eastAsia="仿宋_GB2312" w:cs="仿宋_GB2312"/>
                <w:spacing w:val="7"/>
                <w:sz w:val="28"/>
                <w:szCs w:val="28"/>
              </w:rPr>
              <w:t>承担单位制订的相关管理规定，并经承担单位审批或备案程序确认。</w:t>
            </w:r>
          </w:p>
          <w:p w14:paraId="4F0EB7C3">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课题组成员不得以访问学者名义在</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下各课</w:t>
            </w:r>
            <w:r>
              <w:rPr>
                <w:rFonts w:hint="eastAsia" w:ascii="仿宋_GB2312" w:hAnsi="仿宋_GB2312" w:eastAsia="仿宋_GB2312" w:cs="仿宋_GB2312"/>
                <w:spacing w:val="7"/>
                <w:sz w:val="28"/>
                <w:szCs w:val="28"/>
              </w:rPr>
              <w:t>题中编列劳务费。</w:t>
            </w:r>
          </w:p>
          <w:p w14:paraId="76402E86">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编列</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聘用研究人员劳务费时，应对其承担研究任务的必要性、投入工作时间</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的合理性等予以重点说明。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聘用研究人员应当为承担单位通过劳务派遣方式或者签订劳动合同、聘用协议等方式为</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w:t>
            </w:r>
            <w:r>
              <w:rPr>
                <w:rFonts w:hint="eastAsia" w:ascii="仿宋_GB2312" w:hAnsi="仿宋_GB2312" w:eastAsia="仿宋_GB2312" w:cs="仿宋_GB2312"/>
                <w:spacing w:val="-56"/>
                <w:sz w:val="28"/>
                <w:szCs w:val="28"/>
              </w:rPr>
              <w:t xml:space="preserve"> </w:t>
            </w:r>
            <w:r>
              <w:rPr>
                <w:rFonts w:hint="eastAsia" w:ascii="仿宋_GB2312" w:hAnsi="仿宋_GB2312" w:eastAsia="仿宋_GB2312" w:cs="仿宋_GB2312"/>
                <w:spacing w:val="6"/>
                <w:sz w:val="28"/>
                <w:szCs w:val="28"/>
              </w:rPr>
              <w:t>课题）聘用的研究人员。</w:t>
            </w:r>
          </w:p>
          <w:p w14:paraId="3BA8BEB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编列</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聘用的科研辅助人员劳务费时，应对参与相关工作的必要性、投入的工</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5"/>
                <w:sz w:val="28"/>
                <w:szCs w:val="28"/>
              </w:rPr>
              <w:t>作时间、工作量等进行测算说明。</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5"/>
                <w:sz w:val="28"/>
                <w:szCs w:val="28"/>
              </w:rPr>
              <w:t>聘用的科研辅助人员包括：与项目科研</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工作相关的操作员、实验员等辅助工作人员；项目组因研究任务需要临时聘用人员，如</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科学考察、野外实验勘探等临时用工、农业季节性用工等；以及为项目组提供服务的科</w:t>
            </w:r>
            <w:r>
              <w:rPr>
                <w:rFonts w:hint="eastAsia" w:ascii="仿宋_GB2312" w:hAnsi="仿宋_GB2312" w:eastAsia="仿宋_GB2312" w:cs="仿宋_GB2312"/>
                <w:spacing w:val="8"/>
                <w:sz w:val="28"/>
                <w:szCs w:val="28"/>
              </w:rPr>
              <w:t>研助理、科研财务助理等。</w:t>
            </w:r>
          </w:p>
          <w:p w14:paraId="499AA63A">
            <w:pPr>
              <w:keepNext w:val="0"/>
              <w:keepLines w:val="0"/>
              <w:pageBreakBefore w:val="0"/>
              <w:widowControl w:val="0"/>
              <w:kinsoku/>
              <w:wordWrap/>
              <w:overflowPunct/>
              <w:topLinePunct w:val="0"/>
              <w:autoSpaceDE/>
              <w:autoSpaceDN/>
              <w:bidi w:val="0"/>
              <w:adjustRightInd/>
              <w:snapToGrid/>
              <w:spacing w:line="480" w:lineRule="exact"/>
              <w:ind w:left="0" w:right="0" w:firstLine="57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3"/>
                <w:sz w:val="28"/>
                <w:szCs w:val="28"/>
              </w:rPr>
              <w:t>承担单位为事业单位的，在编人员不得编列劳务费；承担单位为企业的，除为</w:t>
            </w:r>
            <w:r>
              <w:rPr>
                <w:rFonts w:hint="eastAsia" w:ascii="仿宋_GB2312" w:hAnsi="仿宋_GB2312" w:eastAsia="仿宋_GB2312" w:cs="仿宋_GB2312"/>
                <w:spacing w:val="3"/>
                <w:sz w:val="28"/>
                <w:szCs w:val="28"/>
                <w:lang w:eastAsia="zh-CN"/>
              </w:rPr>
              <w:t>项目</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实施专门聘用的人员外，其他人员不得编列劳务费。上述人员可在</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间接费用的绩效支出中列支。</w:t>
            </w:r>
          </w:p>
          <w:p w14:paraId="3ED707BA">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pacing w:val="7"/>
                <w:sz w:val="28"/>
                <w:szCs w:val="28"/>
              </w:rPr>
              <w:t>聘用的研究人员及科研辅助人员劳务费开支标准，可结合其在</w:t>
            </w: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8"/>
                <w:sz w:val="28"/>
                <w:szCs w:val="28"/>
              </w:rPr>
              <w:t>研究中的工作情况，参照当地科学研究和技术服务业从</w:t>
            </w:r>
            <w:r>
              <w:rPr>
                <w:rFonts w:hint="eastAsia" w:ascii="仿宋_GB2312" w:hAnsi="仿宋_GB2312" w:eastAsia="仿宋_GB2312" w:cs="仿宋_GB2312"/>
                <w:spacing w:val="7"/>
                <w:sz w:val="28"/>
                <w:szCs w:val="28"/>
              </w:rPr>
              <w:t>业人员平均工资水平以及当地相应的社会</w:t>
            </w:r>
            <w:r>
              <w:rPr>
                <w:rFonts w:hint="eastAsia" w:ascii="仿宋_GB2312" w:hAnsi="仿宋_GB2312" w:eastAsia="仿宋_GB2312" w:cs="仿宋_GB2312"/>
                <w:spacing w:val="8"/>
                <w:sz w:val="28"/>
                <w:szCs w:val="28"/>
              </w:rPr>
              <w:t>保险补助编列，从业人员平均工资水平具体可参考国家统计局上一年度发布的《</w:t>
            </w:r>
            <w:r>
              <w:rPr>
                <w:rFonts w:hint="eastAsia" w:ascii="仿宋_GB2312" w:hAnsi="仿宋_GB2312" w:eastAsia="仿宋_GB2312" w:cs="仿宋_GB2312"/>
                <w:spacing w:val="-33"/>
                <w:sz w:val="28"/>
                <w:szCs w:val="28"/>
              </w:rPr>
              <w:t xml:space="preserve"> </w:t>
            </w:r>
            <w:r>
              <w:rPr>
                <w:rFonts w:hint="eastAsia" w:ascii="仿宋_GB2312" w:hAnsi="仿宋_GB2312" w:eastAsia="仿宋_GB2312" w:cs="仿宋_GB2312"/>
                <w:spacing w:val="8"/>
                <w:sz w:val="28"/>
                <w:szCs w:val="28"/>
              </w:rPr>
              <w:t>中国统计年鉴》</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中关于从事“科学研究和技术服务业</w:t>
            </w:r>
            <w:r>
              <w:rPr>
                <w:rFonts w:hint="eastAsia" w:ascii="仿宋_GB2312" w:hAnsi="仿宋_GB2312" w:eastAsia="仿宋_GB2312" w:cs="仿宋_GB2312"/>
                <w:spacing w:val="-69"/>
                <w:sz w:val="28"/>
                <w:szCs w:val="28"/>
              </w:rPr>
              <w:t xml:space="preserve"> </w:t>
            </w:r>
            <w:r>
              <w:rPr>
                <w:rFonts w:hint="eastAsia" w:ascii="仿宋_GB2312" w:hAnsi="仿宋_GB2312" w:eastAsia="仿宋_GB2312" w:cs="仿宋_GB2312"/>
                <w:spacing w:val="7"/>
                <w:sz w:val="28"/>
                <w:szCs w:val="28"/>
              </w:rPr>
              <w:t>”相关地区城镇单位人员平均工资统计数据，社会保</w:t>
            </w:r>
            <w:r>
              <w:rPr>
                <w:rFonts w:hint="eastAsia" w:ascii="仿宋_GB2312" w:hAnsi="仿宋_GB2312" w:eastAsia="仿宋_GB2312" w:cs="仿宋_GB2312"/>
                <w:spacing w:val="6"/>
                <w:sz w:val="28"/>
                <w:szCs w:val="28"/>
              </w:rPr>
              <w:t>险补助</w:t>
            </w:r>
            <w:r>
              <w:rPr>
                <w:rFonts w:hint="eastAsia" w:ascii="仿宋_GB2312" w:hAnsi="仿宋_GB2312" w:eastAsia="仿宋_GB2312" w:cs="仿宋_GB2312"/>
                <w:spacing w:val="9"/>
                <w:sz w:val="28"/>
                <w:szCs w:val="28"/>
              </w:rPr>
              <w:t>包括养老保险、医疗保险、失业保险、工伤保险、生育保险。</w:t>
            </w:r>
          </w:p>
          <w:p w14:paraId="7C7312D6">
            <w:pPr>
              <w:keepNext w:val="0"/>
              <w:keepLines w:val="0"/>
              <w:pageBreakBefore w:val="0"/>
              <w:widowControl w:val="0"/>
              <w:kinsoku/>
              <w:wordWrap/>
              <w:overflowPunct/>
              <w:topLinePunct w:val="0"/>
              <w:autoSpaceDE/>
              <w:autoSpaceDN/>
              <w:bidi w:val="0"/>
              <w:adjustRightInd/>
              <w:snapToGrid/>
              <w:spacing w:line="480" w:lineRule="exact"/>
              <w:ind w:left="0" w:right="0" w:firstLine="596"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9"/>
                <w:sz w:val="28"/>
                <w:szCs w:val="28"/>
              </w:rPr>
              <w:t>劳务费的发放应符合本单位统一的薪酬体系规定，不得重复发放。</w:t>
            </w:r>
          </w:p>
          <w:p w14:paraId="049B729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（2）专家咨询费</w:t>
            </w:r>
          </w:p>
          <w:p w14:paraId="1B58B549">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专家咨询费：是指在</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实施过程中支付给临时聘请的咨询专家的费用。</w:t>
            </w:r>
          </w:p>
          <w:p w14:paraId="7E7E3A2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咨询专家是指承担单位在</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实施过程中，临时聘请为</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研发活动提供咨询意见的专业人员。包括高级专业技术职称人员和其他专业人员。</w:t>
            </w:r>
          </w:p>
          <w:p w14:paraId="13570BDB">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专家咨询费应按照财政部关于中央财政科研</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专家咨询费管理的有关规定编列。</w:t>
            </w:r>
          </w:p>
          <w:p w14:paraId="1A3EE3A1">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专家咨询费的发放应当按照国家有关规定由单位代扣代缴个人所得税。编列专家咨询费预算时，可将代扣代缴的个人所得税编列在内。</w:t>
            </w:r>
          </w:p>
          <w:p w14:paraId="1E022AC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5"/>
                <w:sz w:val="28"/>
                <w:szCs w:val="28"/>
              </w:rPr>
            </w:pPr>
            <w:r>
              <w:rPr>
                <w:rFonts w:hint="eastAsia" w:ascii="仿宋_GB2312" w:hAnsi="仿宋_GB2312" w:eastAsia="仿宋_GB2312" w:cs="仿宋_GB2312"/>
                <w:spacing w:val="6"/>
                <w:sz w:val="28"/>
                <w:szCs w:val="28"/>
              </w:rPr>
              <w:t>访问学者和</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w:t>
            </w:r>
            <w:r>
              <w:rPr>
                <w:rFonts w:hint="eastAsia" w:ascii="仿宋_GB2312" w:hAnsi="仿宋_GB2312" w:eastAsia="仿宋_GB2312" w:cs="仿宋_GB2312"/>
                <w:spacing w:val="-57"/>
                <w:sz w:val="28"/>
                <w:szCs w:val="28"/>
              </w:rPr>
              <w:t xml:space="preserve"> </w:t>
            </w:r>
            <w:r>
              <w:rPr>
                <w:rFonts w:hint="eastAsia" w:ascii="仿宋_GB2312" w:hAnsi="仿宋_GB2312" w:eastAsia="仿宋_GB2312" w:cs="仿宋_GB2312"/>
                <w:spacing w:val="6"/>
                <w:sz w:val="28"/>
                <w:szCs w:val="28"/>
              </w:rPr>
              <w:t>课题）聘用的研究人员应在劳务费中编列，不应在本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中编</w:t>
            </w:r>
            <w:r>
              <w:rPr>
                <w:rFonts w:hint="eastAsia" w:ascii="仿宋_GB2312" w:hAnsi="仿宋_GB2312" w:eastAsia="仿宋_GB2312" w:cs="仿宋_GB2312"/>
                <w:spacing w:val="5"/>
                <w:sz w:val="28"/>
                <w:szCs w:val="28"/>
              </w:rPr>
              <w:t>列。</w:t>
            </w:r>
          </w:p>
          <w:p w14:paraId="08939FF7">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专家咨询费不得支付给参与</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研究及其管</w:t>
            </w:r>
            <w:r>
              <w:rPr>
                <w:rFonts w:hint="eastAsia" w:ascii="仿宋_GB2312" w:hAnsi="仿宋_GB2312" w:eastAsia="仿宋_GB2312" w:cs="仿宋_GB2312"/>
                <w:spacing w:val="7"/>
                <w:sz w:val="28"/>
                <w:szCs w:val="28"/>
              </w:rPr>
              <w:t>理的相关人员。</w:t>
            </w:r>
          </w:p>
          <w:p w14:paraId="7A3B0D69">
            <w:pPr>
              <w:keepNext w:val="0"/>
              <w:keepLines w:val="0"/>
              <w:pageBreakBefore w:val="0"/>
              <w:widowControl w:val="0"/>
              <w:kinsoku/>
              <w:wordWrap/>
              <w:overflowPunct/>
              <w:topLinePunct w:val="0"/>
              <w:autoSpaceDE/>
              <w:autoSpaceDN/>
              <w:bidi w:val="0"/>
              <w:adjustRightInd/>
              <w:snapToGrid/>
              <w:spacing w:line="480" w:lineRule="exact"/>
              <w:ind w:left="0" w:right="0" w:firstLine="560" w:firstLineChars="200"/>
              <w:jc w:val="left"/>
              <w:textAlignment w:val="auto"/>
              <w:rPr>
                <w:rFonts w:hint="eastAsia" w:ascii="仿宋_GB2312" w:hAnsi="仿宋_GB2312" w:eastAsia="仿宋_GB2312" w:cs="仿宋_GB2312"/>
                <w:sz w:val="28"/>
                <w:szCs w:val="28"/>
              </w:rPr>
            </w:pPr>
          </w:p>
          <w:p w14:paraId="39C7B554">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（二）间接费用</w:t>
            </w:r>
          </w:p>
          <w:p w14:paraId="511F9B42">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间接费用实行总额控制，按照不超过</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直接费用扣除设备购置费</w:t>
            </w:r>
            <w:r>
              <w:rPr>
                <w:rFonts w:hint="eastAsia" w:ascii="仿宋_GB2312" w:hAnsi="仿宋_GB2312" w:eastAsia="仿宋_GB2312" w:cs="仿宋_GB2312"/>
                <w:spacing w:val="5"/>
                <w:sz w:val="28"/>
                <w:szCs w:val="28"/>
              </w:rPr>
              <w:t>后的一定比例核定。软</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件开发、软科学研究、基础研究类</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，间接费用比例不超过</w:t>
            </w:r>
            <w:r>
              <w:rPr>
                <w:rFonts w:hint="eastAsia" w:ascii="仿宋_GB2312" w:hAnsi="仿宋_GB2312" w:eastAsia="仿宋_GB2312" w:cs="仿宋_GB2312"/>
                <w:spacing w:val="-35"/>
                <w:sz w:val="28"/>
                <w:szCs w:val="28"/>
              </w:rPr>
              <w:t xml:space="preserve"> </w:t>
            </w:r>
            <w:r>
              <w:rPr>
                <w:rFonts w:hint="eastAsia" w:ascii="仿宋_GB2312" w:hAnsi="仿宋_GB2312" w:eastAsia="仿宋_GB2312" w:cs="仿宋_GB2312"/>
                <w:spacing w:val="6"/>
                <w:sz w:val="28"/>
                <w:szCs w:val="28"/>
              </w:rPr>
              <w:t>60%；其他</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间接费用比例不超</w:t>
            </w:r>
            <w:r>
              <w:rPr>
                <w:rFonts w:hint="eastAsia" w:ascii="仿宋_GB2312" w:hAnsi="仿宋_GB2312" w:eastAsia="仿宋_GB2312" w:cs="仿宋_GB2312"/>
                <w:spacing w:val="1"/>
                <w:sz w:val="28"/>
                <w:szCs w:val="28"/>
              </w:rPr>
              <w:t>过</w:t>
            </w:r>
            <w:r>
              <w:rPr>
                <w:rFonts w:hint="eastAsia" w:ascii="仿宋_GB2312" w:hAnsi="仿宋_GB2312" w:eastAsia="仿宋_GB2312" w:cs="仿宋_GB2312"/>
                <w:spacing w:val="-34"/>
                <w:sz w:val="28"/>
                <w:szCs w:val="28"/>
              </w:rPr>
              <w:t xml:space="preserve"> </w:t>
            </w:r>
            <w:r>
              <w:rPr>
                <w:rFonts w:hint="eastAsia" w:ascii="仿宋_GB2312" w:hAnsi="仿宋_GB2312" w:eastAsia="仿宋_GB2312" w:cs="仿宋_GB2312"/>
                <w:spacing w:val="1"/>
                <w:sz w:val="28"/>
                <w:szCs w:val="28"/>
              </w:rPr>
              <w:t>40%。</w:t>
            </w:r>
          </w:p>
          <w:p w14:paraId="56F3876E">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单位</w:t>
            </w:r>
            <w:r>
              <w:rPr>
                <w:rFonts w:hint="eastAsia" w:ascii="仿宋_GB2312" w:hAnsi="仿宋_GB2312" w:eastAsia="仿宋_GB2312" w:cs="仿宋_GB2312"/>
                <w:spacing w:val="-52"/>
                <w:sz w:val="28"/>
                <w:szCs w:val="28"/>
              </w:rPr>
              <w:t xml:space="preserve"> </w:t>
            </w:r>
            <w:r>
              <w:rPr>
                <w:rFonts w:hint="eastAsia" w:ascii="仿宋_GB2312" w:hAnsi="仿宋_GB2312" w:eastAsia="仿宋_GB2312" w:cs="仿宋_GB2312"/>
                <w:spacing w:val="6"/>
                <w:sz w:val="28"/>
                <w:szCs w:val="28"/>
              </w:rPr>
              <w:t>自筹资金中不得列支间接费用。</w:t>
            </w:r>
          </w:p>
          <w:p w14:paraId="0F87F783">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p>
        </w:tc>
      </w:tr>
    </w:tbl>
    <w:p w14:paraId="7A695448">
      <w:pPr>
        <w:spacing w:line="14" w:lineRule="auto"/>
        <w:rPr>
          <w:rFonts w:ascii="Arial"/>
          <w:sz w:val="2"/>
        </w:rPr>
      </w:pPr>
    </w:p>
    <w:p w14:paraId="7089DAD7">
      <w:pPr>
        <w:widowControl/>
        <w:jc w:val="both"/>
        <w:rPr>
          <w:rFonts w:hint="eastAsia"/>
        </w:rPr>
      </w:pPr>
    </w:p>
    <w:p w14:paraId="7C8EEF4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20" w:lineRule="exact"/>
        <w:ind w:left="0" w:leftChars="0" w:right="0"/>
        <w:jc w:val="left"/>
        <w:textAlignment w:val="auto"/>
        <w:rPr>
          <w:rFonts w:hint="eastAsia" w:ascii="仿宋_GB2312" w:hAnsi="仿宋_GB2312" w:eastAsia="仿宋_GB2312" w:cs="仿宋_GB2312"/>
          <w:color w:val="2D00C7"/>
          <w:kern w:val="0"/>
          <w:sz w:val="24"/>
          <w:szCs w:val="24"/>
        </w:rPr>
        <w:sectPr>
          <w:pgSz w:w="11906" w:h="16838"/>
          <w:pgMar w:top="1531" w:right="1361" w:bottom="1361" w:left="1361" w:header="851" w:footer="992" w:gutter="0"/>
          <w:pgNumType w:fmt="decimal"/>
          <w:cols w:space="720" w:num="1"/>
          <w:docGrid w:type="linesAndChars" w:linePitch="312" w:charSpace="0"/>
        </w:sectPr>
      </w:pPr>
    </w:p>
    <w:p w14:paraId="3694D2D5">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附表3  设备费——购置/试制设备预算明细表</w:t>
      </w:r>
    </w:p>
    <w:p w14:paraId="36D0EC94">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黑体" w:hAnsi="黑体" w:eastAsia="黑体" w:cs="Times New Roman"/>
          <w:sz w:val="21"/>
          <w:szCs w:val="21"/>
          <w:lang w:eastAsia="zh-CN"/>
        </w:rPr>
      </w:pPr>
      <w:r>
        <w:rPr>
          <w:rFonts w:cs="Times New Roman"/>
          <w:sz w:val="20"/>
        </w:rPr>
        <w:tab/>
      </w:r>
      <w:r>
        <w:rPr>
          <w:rFonts w:cs="Times New Roman"/>
          <w:sz w:val="20"/>
        </w:rPr>
        <w:t xml:space="preserve"> </w:t>
      </w:r>
      <w:r>
        <w:rPr>
          <w:rFonts w:cs="Times New Roman"/>
          <w:sz w:val="20"/>
        </w:rPr>
        <w:tab/>
      </w:r>
      <w:r>
        <w:rPr>
          <w:rFonts w:hint="eastAsia" w:cs="Times New Roman"/>
          <w:sz w:val="20"/>
        </w:rPr>
        <w:t xml:space="preserve">　　　　                                                                                                         </w:t>
      </w:r>
      <w:r>
        <w:rPr>
          <w:rFonts w:hint="eastAsia" w:ascii="黑体" w:hAnsi="黑体" w:eastAsia="黑体" w:cs="Times New Roman"/>
          <w:sz w:val="21"/>
          <w:szCs w:val="21"/>
          <w:lang w:eastAsia="zh-CN"/>
        </w:rPr>
        <w:t>金额单位：万元</w:t>
      </w:r>
    </w:p>
    <w:tbl>
      <w:tblPr>
        <w:tblStyle w:val="18"/>
        <w:tblW w:w="15569"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30" w:type="dxa"/>
          <w:bottom w:w="0" w:type="dxa"/>
          <w:right w:w="30" w:type="dxa"/>
        </w:tblCellMar>
      </w:tblPr>
      <w:tblGrid>
        <w:gridCol w:w="452"/>
        <w:gridCol w:w="2658"/>
        <w:gridCol w:w="567"/>
        <w:gridCol w:w="1318"/>
        <w:gridCol w:w="1087"/>
        <w:gridCol w:w="637"/>
        <w:gridCol w:w="758"/>
        <w:gridCol w:w="1328"/>
        <w:gridCol w:w="1604"/>
        <w:gridCol w:w="1134"/>
        <w:gridCol w:w="2126"/>
        <w:gridCol w:w="993"/>
        <w:gridCol w:w="907"/>
      </w:tblGrid>
      <w:tr w14:paraId="5FF797C9">
        <w:trPr>
          <w:cantSplit/>
          <w:trHeight w:val="397" w:hRule="atLeast"/>
          <w:jc w:val="center"/>
        </w:trPr>
        <w:tc>
          <w:tcPr>
            <w:tcW w:w="15569" w:type="dxa"/>
            <w:gridSpan w:val="13"/>
          </w:tcPr>
          <w:p w14:paraId="085DD331">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bCs/>
                <w:color w:val="2D00C7"/>
                <w:sz w:val="24"/>
                <w:szCs w:val="24"/>
              </w:rPr>
              <w:t>填表说明：</w:t>
            </w:r>
            <w:r>
              <w:rPr>
                <w:rFonts w:hint="eastAsia" w:ascii="仿宋_GB2312" w:hAnsi="仿宋_GB2312" w:eastAsia="仿宋_GB2312" w:cs="仿宋_GB2312"/>
                <w:color w:val="2D00C7"/>
                <w:sz w:val="24"/>
                <w:szCs w:val="24"/>
              </w:rPr>
              <w:t>1.设备分类：A.购置、B.试制；</w:t>
            </w:r>
          </w:p>
          <w:p w14:paraId="05384CCE">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2.试制设备不需填列本表（7）列、（8）列；</w:t>
            </w:r>
          </w:p>
          <w:p w14:paraId="7AC99A76">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3.单价≥10万元的设备需填写明细；</w:t>
            </w:r>
          </w:p>
          <w:p w14:paraId="163B0F95">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440" w:firstLineChars="6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单价≥30万元的购置/试制设备需提交单独的“大型科学仪器设备基本信息表”</w:t>
            </w:r>
            <w:r>
              <w:rPr>
                <w:rFonts w:hint="eastAsia" w:ascii="仿宋_GB2312" w:hAnsi="仿宋_GB2312" w:cs="仿宋_GB2312"/>
                <w:color w:val="2D00C7"/>
                <w:sz w:val="24"/>
                <w:szCs w:val="24"/>
                <w:lang w:eastAsia="zh-CN"/>
              </w:rPr>
              <w:t>，</w:t>
            </w:r>
            <w:r>
              <w:rPr>
                <w:rFonts w:hint="eastAsia" w:ascii="仿宋_GB2312" w:hAnsi="仿宋_GB2312" w:eastAsia="仿宋_GB2312" w:cs="仿宋_GB2312"/>
                <w:color w:val="2D00C7"/>
                <w:sz w:val="24"/>
                <w:szCs w:val="24"/>
              </w:rPr>
              <w:t>试制设备需提交设备试制方案和成本分析；</w:t>
            </w:r>
          </w:p>
          <w:p w14:paraId="6400B384">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440" w:firstLineChars="6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申请专项经费资助购置设备单价≥50万元，市科委将另行组织评议，确定是否予以购置；</w:t>
            </w:r>
          </w:p>
          <w:p w14:paraId="767E3B0B">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4.资金来源：A.专项经费、B.自筹经费；</w:t>
            </w:r>
          </w:p>
          <w:p w14:paraId="44477E36">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color w:val="2D00C7"/>
                <w:sz w:val="24"/>
                <w:szCs w:val="24"/>
              </w:rPr>
              <w:t>5.申请专项经费在20万元及以下时，毋须填写本表。</w:t>
            </w:r>
          </w:p>
        </w:tc>
      </w:tr>
      <w:tr w14:paraId="1AA92215">
        <w:trPr>
          <w:cantSplit/>
          <w:trHeight w:val="599" w:hRule="atLeast"/>
          <w:jc w:val="center"/>
        </w:trPr>
        <w:tc>
          <w:tcPr>
            <w:tcW w:w="452" w:type="dxa"/>
            <w:vAlign w:val="center"/>
          </w:tcPr>
          <w:p w14:paraId="4A8C4B9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序号</w:t>
            </w:r>
          </w:p>
        </w:tc>
        <w:tc>
          <w:tcPr>
            <w:tcW w:w="2658" w:type="dxa"/>
            <w:vAlign w:val="center"/>
          </w:tcPr>
          <w:p w14:paraId="0F1CAD0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设备名称</w:t>
            </w:r>
          </w:p>
        </w:tc>
        <w:tc>
          <w:tcPr>
            <w:tcW w:w="567" w:type="dxa"/>
            <w:vAlign w:val="center"/>
          </w:tcPr>
          <w:p w14:paraId="7481608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设备</w:t>
            </w:r>
          </w:p>
          <w:p w14:paraId="0F2188E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分类</w:t>
            </w:r>
          </w:p>
        </w:tc>
        <w:tc>
          <w:tcPr>
            <w:tcW w:w="1318" w:type="dxa"/>
            <w:vAlign w:val="center"/>
          </w:tcPr>
          <w:p w14:paraId="00AFD73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 xml:space="preserve">单价             </w:t>
            </w:r>
            <w:r>
              <w:rPr>
                <w:rFonts w:hint="eastAsia" w:ascii="仿宋_GB2312" w:hAnsi="仿宋_GB2312" w:cs="仿宋_GB2312"/>
                <w:bCs/>
                <w:sz w:val="24"/>
                <w:szCs w:val="24"/>
                <w:lang w:eastAsia="zh-CN"/>
              </w:rPr>
              <w:t>（</w:t>
            </w:r>
            <w:r>
              <w:rPr>
                <w:rFonts w:hint="eastAsia" w:ascii="仿宋_GB2312" w:hAnsi="仿宋_GB2312" w:eastAsia="仿宋_GB2312" w:cs="仿宋_GB2312"/>
                <w:bCs/>
                <w:sz w:val="24"/>
                <w:szCs w:val="24"/>
              </w:rPr>
              <w:t>元/台件</w:t>
            </w:r>
            <w:r>
              <w:rPr>
                <w:rFonts w:hint="eastAsia" w:ascii="仿宋_GB2312" w:hAnsi="仿宋_GB2312" w:cs="仿宋_GB2312"/>
                <w:bCs/>
                <w:sz w:val="24"/>
                <w:szCs w:val="24"/>
                <w:lang w:eastAsia="zh-CN"/>
              </w:rPr>
              <w:t>）</w:t>
            </w:r>
          </w:p>
        </w:tc>
        <w:tc>
          <w:tcPr>
            <w:tcW w:w="1087" w:type="dxa"/>
            <w:vAlign w:val="center"/>
          </w:tcPr>
          <w:p w14:paraId="41AD3E7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数量</w:t>
            </w:r>
          </w:p>
          <w:p w14:paraId="4C2FB68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（台件）</w:t>
            </w:r>
          </w:p>
        </w:tc>
        <w:tc>
          <w:tcPr>
            <w:tcW w:w="637" w:type="dxa"/>
            <w:vAlign w:val="center"/>
          </w:tcPr>
          <w:p w14:paraId="7A1D0C8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金额</w:t>
            </w:r>
          </w:p>
        </w:tc>
        <w:tc>
          <w:tcPr>
            <w:tcW w:w="758" w:type="dxa"/>
            <w:vAlign w:val="center"/>
          </w:tcPr>
          <w:p w14:paraId="0995B9B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设备类别</w:t>
            </w:r>
          </w:p>
        </w:tc>
        <w:tc>
          <w:tcPr>
            <w:tcW w:w="1328" w:type="dxa"/>
            <w:vAlign w:val="center"/>
          </w:tcPr>
          <w:p w14:paraId="4AAEE03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购置设备</w:t>
            </w:r>
          </w:p>
          <w:p w14:paraId="4770034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型号</w:t>
            </w:r>
          </w:p>
        </w:tc>
        <w:tc>
          <w:tcPr>
            <w:tcW w:w="1604" w:type="dxa"/>
            <w:vAlign w:val="center"/>
          </w:tcPr>
          <w:p w14:paraId="1116D21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购置设备生产</w:t>
            </w:r>
          </w:p>
          <w:p w14:paraId="3C74F06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国别与地区</w:t>
            </w:r>
          </w:p>
        </w:tc>
        <w:tc>
          <w:tcPr>
            <w:tcW w:w="1134" w:type="dxa"/>
            <w:tcBorders>
              <w:right w:val="single" w:color="auto" w:sz="4" w:space="0"/>
            </w:tcBorders>
            <w:vAlign w:val="center"/>
          </w:tcPr>
          <w:p w14:paraId="239E0FB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主要技术</w:t>
            </w:r>
          </w:p>
          <w:p w14:paraId="4E06F7F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性能指标</w:t>
            </w:r>
          </w:p>
        </w:tc>
        <w:tc>
          <w:tcPr>
            <w:tcW w:w="2126" w:type="dxa"/>
            <w:tcBorders>
              <w:left w:val="single" w:color="auto" w:sz="4" w:space="0"/>
              <w:right w:val="single" w:color="auto" w:sz="4" w:space="0"/>
            </w:tcBorders>
            <w:vAlign w:val="center"/>
          </w:tcPr>
          <w:p w14:paraId="58F2160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用途（与研究任务的关系）</w:t>
            </w:r>
          </w:p>
        </w:tc>
        <w:tc>
          <w:tcPr>
            <w:tcW w:w="993" w:type="dxa"/>
            <w:tcBorders>
              <w:left w:val="single" w:color="auto" w:sz="4" w:space="0"/>
              <w:right w:val="single" w:color="auto" w:sz="4" w:space="0"/>
            </w:tcBorders>
            <w:vAlign w:val="center"/>
          </w:tcPr>
          <w:p w14:paraId="1D68A60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资金来源</w:t>
            </w:r>
          </w:p>
        </w:tc>
        <w:tc>
          <w:tcPr>
            <w:tcW w:w="907" w:type="dxa"/>
            <w:tcBorders>
              <w:left w:val="single" w:color="auto" w:sz="4" w:space="0"/>
            </w:tcBorders>
            <w:vAlign w:val="center"/>
          </w:tcPr>
          <w:p w14:paraId="6B22192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计算依据</w:t>
            </w:r>
          </w:p>
        </w:tc>
      </w:tr>
      <w:tr w14:paraId="412A523C">
        <w:trPr>
          <w:cantSplit/>
          <w:trHeight w:val="397" w:hRule="atLeast"/>
          <w:jc w:val="center"/>
        </w:trPr>
        <w:tc>
          <w:tcPr>
            <w:tcW w:w="452" w:type="dxa"/>
            <w:vAlign w:val="center"/>
          </w:tcPr>
          <w:p w14:paraId="1FD4DAF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b/>
                <w:bCs/>
                <w:sz w:val="24"/>
                <w:szCs w:val="24"/>
              </w:rPr>
            </w:pPr>
          </w:p>
        </w:tc>
        <w:tc>
          <w:tcPr>
            <w:tcW w:w="2658" w:type="dxa"/>
            <w:vAlign w:val="center"/>
          </w:tcPr>
          <w:p w14:paraId="163F428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(1)</w:t>
            </w:r>
          </w:p>
        </w:tc>
        <w:tc>
          <w:tcPr>
            <w:tcW w:w="567" w:type="dxa"/>
            <w:vAlign w:val="center"/>
          </w:tcPr>
          <w:p w14:paraId="6B2444D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(2)</w:t>
            </w:r>
          </w:p>
        </w:tc>
        <w:tc>
          <w:tcPr>
            <w:tcW w:w="1318" w:type="dxa"/>
            <w:vAlign w:val="center"/>
          </w:tcPr>
          <w:p w14:paraId="363AFEC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(3)</w:t>
            </w:r>
          </w:p>
        </w:tc>
        <w:tc>
          <w:tcPr>
            <w:tcW w:w="1087" w:type="dxa"/>
            <w:vAlign w:val="center"/>
          </w:tcPr>
          <w:p w14:paraId="0F1F80A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(4)</w:t>
            </w:r>
          </w:p>
        </w:tc>
        <w:tc>
          <w:tcPr>
            <w:tcW w:w="637" w:type="dxa"/>
            <w:vAlign w:val="center"/>
          </w:tcPr>
          <w:p w14:paraId="5A1C488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(5)</w:t>
            </w:r>
          </w:p>
        </w:tc>
        <w:tc>
          <w:tcPr>
            <w:tcW w:w="758" w:type="dxa"/>
            <w:vAlign w:val="center"/>
          </w:tcPr>
          <w:p w14:paraId="30C3791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(6)</w:t>
            </w:r>
          </w:p>
        </w:tc>
        <w:tc>
          <w:tcPr>
            <w:tcW w:w="1328" w:type="dxa"/>
            <w:vAlign w:val="center"/>
          </w:tcPr>
          <w:p w14:paraId="5E77140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(7)</w:t>
            </w:r>
          </w:p>
        </w:tc>
        <w:tc>
          <w:tcPr>
            <w:tcW w:w="1604" w:type="dxa"/>
            <w:vAlign w:val="center"/>
          </w:tcPr>
          <w:p w14:paraId="72B2A60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(8)</w:t>
            </w:r>
          </w:p>
        </w:tc>
        <w:tc>
          <w:tcPr>
            <w:tcW w:w="1134" w:type="dxa"/>
            <w:tcBorders>
              <w:right w:val="single" w:color="auto" w:sz="4" w:space="0"/>
            </w:tcBorders>
            <w:vAlign w:val="center"/>
          </w:tcPr>
          <w:p w14:paraId="3C45E93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(9)</w:t>
            </w:r>
          </w:p>
        </w:tc>
        <w:tc>
          <w:tcPr>
            <w:tcW w:w="2126" w:type="dxa"/>
            <w:tcBorders>
              <w:left w:val="single" w:color="auto" w:sz="4" w:space="0"/>
              <w:right w:val="single" w:color="auto" w:sz="4" w:space="0"/>
            </w:tcBorders>
            <w:vAlign w:val="center"/>
          </w:tcPr>
          <w:p w14:paraId="7DEBB6E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(10)</w:t>
            </w:r>
          </w:p>
        </w:tc>
        <w:tc>
          <w:tcPr>
            <w:tcW w:w="993" w:type="dxa"/>
            <w:tcBorders>
              <w:left w:val="single" w:color="auto" w:sz="4" w:space="0"/>
              <w:right w:val="single" w:color="auto" w:sz="4" w:space="0"/>
            </w:tcBorders>
            <w:vAlign w:val="center"/>
          </w:tcPr>
          <w:p w14:paraId="78CF0C8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(11)</w:t>
            </w:r>
          </w:p>
        </w:tc>
        <w:tc>
          <w:tcPr>
            <w:tcW w:w="907" w:type="dxa"/>
            <w:tcBorders>
              <w:left w:val="single" w:color="auto" w:sz="4" w:space="0"/>
            </w:tcBorders>
            <w:vAlign w:val="center"/>
          </w:tcPr>
          <w:p w14:paraId="74A0E34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(12)</w:t>
            </w:r>
          </w:p>
        </w:tc>
      </w:tr>
      <w:tr w14:paraId="14A03515">
        <w:trPr>
          <w:cantSplit/>
          <w:trHeight w:val="397" w:hRule="atLeast"/>
          <w:jc w:val="center"/>
        </w:trPr>
        <w:tc>
          <w:tcPr>
            <w:tcW w:w="452" w:type="dxa"/>
            <w:vAlign w:val="center"/>
          </w:tcPr>
          <w:p w14:paraId="37C192D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2658" w:type="dxa"/>
            <w:vAlign w:val="center"/>
          </w:tcPr>
          <w:p w14:paraId="0D31EED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单价10万元以下购置设备</w:t>
            </w:r>
          </w:p>
        </w:tc>
        <w:tc>
          <w:tcPr>
            <w:tcW w:w="567" w:type="dxa"/>
            <w:vAlign w:val="center"/>
          </w:tcPr>
          <w:p w14:paraId="7F2CBBB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519D5DF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5BBB6A1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7132BEB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3593362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7557956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0C4BC3A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108C782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050CBEF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93" w:type="dxa"/>
            <w:tcBorders>
              <w:left w:val="single" w:color="auto" w:sz="4" w:space="0"/>
              <w:right w:val="single" w:color="auto" w:sz="4" w:space="0"/>
            </w:tcBorders>
            <w:vAlign w:val="center"/>
          </w:tcPr>
          <w:p w14:paraId="77718AF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color w:val="000000"/>
                <w:sz w:val="24"/>
                <w:szCs w:val="24"/>
              </w:rPr>
              <w:t>专项经费</w:t>
            </w:r>
          </w:p>
        </w:tc>
        <w:tc>
          <w:tcPr>
            <w:tcW w:w="907" w:type="dxa"/>
            <w:tcBorders>
              <w:left w:val="single" w:color="auto" w:sz="4" w:space="0"/>
            </w:tcBorders>
            <w:vAlign w:val="center"/>
          </w:tcPr>
          <w:p w14:paraId="4A6D5E7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169446E6">
        <w:trPr>
          <w:cantSplit/>
          <w:trHeight w:val="397" w:hRule="atLeast"/>
          <w:jc w:val="center"/>
        </w:trPr>
        <w:tc>
          <w:tcPr>
            <w:tcW w:w="452" w:type="dxa"/>
            <w:vAlign w:val="center"/>
          </w:tcPr>
          <w:p w14:paraId="5028813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2658" w:type="dxa"/>
            <w:vAlign w:val="center"/>
          </w:tcPr>
          <w:p w14:paraId="67FEF0D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单价10万元以下购置设备</w:t>
            </w:r>
          </w:p>
        </w:tc>
        <w:tc>
          <w:tcPr>
            <w:tcW w:w="567" w:type="dxa"/>
            <w:vAlign w:val="center"/>
          </w:tcPr>
          <w:p w14:paraId="0040D2A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77E563D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19B1043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7481FAF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4A5900A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7D0F7F7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4F340C9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7F8D472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43D54A0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93" w:type="dxa"/>
            <w:tcBorders>
              <w:left w:val="single" w:color="auto" w:sz="4" w:space="0"/>
              <w:right w:val="single" w:color="auto" w:sz="4" w:space="0"/>
            </w:tcBorders>
            <w:vAlign w:val="center"/>
          </w:tcPr>
          <w:p w14:paraId="5450222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color w:val="000000"/>
                <w:sz w:val="24"/>
                <w:szCs w:val="24"/>
              </w:rPr>
              <w:t>自筹经费</w:t>
            </w:r>
          </w:p>
        </w:tc>
        <w:tc>
          <w:tcPr>
            <w:tcW w:w="907" w:type="dxa"/>
            <w:tcBorders>
              <w:left w:val="single" w:color="auto" w:sz="4" w:space="0"/>
            </w:tcBorders>
            <w:vAlign w:val="center"/>
          </w:tcPr>
          <w:p w14:paraId="367E806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3D9593B3">
        <w:trPr>
          <w:cantSplit/>
          <w:trHeight w:val="397" w:hRule="atLeast"/>
          <w:jc w:val="center"/>
        </w:trPr>
        <w:tc>
          <w:tcPr>
            <w:tcW w:w="452" w:type="dxa"/>
            <w:vAlign w:val="center"/>
          </w:tcPr>
          <w:p w14:paraId="4F86DF3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lang w:val="en-US" w:eastAsia="zh-CN"/>
              </w:rPr>
            </w:pPr>
            <w:r>
              <w:rPr>
                <w:rFonts w:hint="eastAsia" w:ascii="仿宋_GB2312" w:hAnsi="仿宋_GB2312" w:cs="仿宋_GB2312"/>
                <w:sz w:val="24"/>
                <w:szCs w:val="24"/>
                <w:lang w:val="en-US" w:eastAsia="zh-CN"/>
              </w:rPr>
              <w:t>1</w:t>
            </w:r>
          </w:p>
        </w:tc>
        <w:tc>
          <w:tcPr>
            <w:tcW w:w="2658" w:type="dxa"/>
            <w:vAlign w:val="center"/>
          </w:tcPr>
          <w:p w14:paraId="3303BE0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567" w:type="dxa"/>
            <w:vAlign w:val="center"/>
          </w:tcPr>
          <w:p w14:paraId="2656063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318" w:type="dxa"/>
            <w:vAlign w:val="center"/>
          </w:tcPr>
          <w:p w14:paraId="5940B06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087" w:type="dxa"/>
            <w:vAlign w:val="center"/>
          </w:tcPr>
          <w:p w14:paraId="6728323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1BC2A46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6B10D61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328" w:type="dxa"/>
            <w:vAlign w:val="center"/>
          </w:tcPr>
          <w:p w14:paraId="7EBCA20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604" w:type="dxa"/>
            <w:vAlign w:val="center"/>
          </w:tcPr>
          <w:p w14:paraId="1FADE5D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134" w:type="dxa"/>
            <w:tcBorders>
              <w:right w:val="single" w:color="auto" w:sz="4" w:space="0"/>
            </w:tcBorders>
            <w:vAlign w:val="center"/>
          </w:tcPr>
          <w:p w14:paraId="64853F0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2126" w:type="dxa"/>
            <w:tcBorders>
              <w:left w:val="single" w:color="auto" w:sz="4" w:space="0"/>
              <w:right w:val="single" w:color="auto" w:sz="4" w:space="0"/>
            </w:tcBorders>
            <w:vAlign w:val="center"/>
          </w:tcPr>
          <w:p w14:paraId="250F255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93" w:type="dxa"/>
            <w:tcBorders>
              <w:left w:val="single" w:color="auto" w:sz="4" w:space="0"/>
              <w:right w:val="single" w:color="auto" w:sz="4" w:space="0"/>
            </w:tcBorders>
            <w:vAlign w:val="center"/>
          </w:tcPr>
          <w:p w14:paraId="4CFA898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000000"/>
                <w:sz w:val="24"/>
                <w:szCs w:val="24"/>
              </w:rPr>
            </w:pPr>
          </w:p>
        </w:tc>
        <w:tc>
          <w:tcPr>
            <w:tcW w:w="907" w:type="dxa"/>
            <w:tcBorders>
              <w:left w:val="single" w:color="auto" w:sz="4" w:space="0"/>
            </w:tcBorders>
            <w:vAlign w:val="center"/>
          </w:tcPr>
          <w:p w14:paraId="076C9DC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002AF99E">
        <w:trPr>
          <w:cantSplit/>
          <w:trHeight w:val="397" w:hRule="atLeast"/>
          <w:jc w:val="center"/>
        </w:trPr>
        <w:tc>
          <w:tcPr>
            <w:tcW w:w="3110" w:type="dxa"/>
            <w:gridSpan w:val="2"/>
            <w:vAlign w:val="center"/>
          </w:tcPr>
          <w:p w14:paraId="0A8C0DD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单价10万元及以上购置设备合计</w:t>
            </w:r>
          </w:p>
        </w:tc>
        <w:tc>
          <w:tcPr>
            <w:tcW w:w="567" w:type="dxa"/>
            <w:vAlign w:val="center"/>
          </w:tcPr>
          <w:p w14:paraId="4836279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17B0027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50E942B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02D3253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01FA12E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3EDB7E9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04C6FBE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514B1D9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01D5D14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539A5DA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6552A88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526EDFE2">
        <w:trPr>
          <w:cantSplit/>
          <w:trHeight w:val="397" w:hRule="atLeast"/>
          <w:jc w:val="center"/>
        </w:trPr>
        <w:tc>
          <w:tcPr>
            <w:tcW w:w="3110" w:type="dxa"/>
            <w:gridSpan w:val="2"/>
            <w:vAlign w:val="center"/>
          </w:tcPr>
          <w:p w14:paraId="02DFADE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单价10万元及以上试制设备合计</w:t>
            </w:r>
          </w:p>
        </w:tc>
        <w:tc>
          <w:tcPr>
            <w:tcW w:w="567" w:type="dxa"/>
            <w:vAlign w:val="center"/>
          </w:tcPr>
          <w:p w14:paraId="63CA415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158CC13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48CAC45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755B0E4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06FA481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257B8DF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7AD1399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5E92C54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494F3AA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32EFC47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3F08426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7B9FF34F">
        <w:trPr>
          <w:cantSplit/>
          <w:trHeight w:val="397" w:hRule="atLeast"/>
          <w:jc w:val="center"/>
        </w:trPr>
        <w:tc>
          <w:tcPr>
            <w:tcW w:w="3110" w:type="dxa"/>
            <w:gridSpan w:val="2"/>
            <w:vAlign w:val="center"/>
          </w:tcPr>
          <w:p w14:paraId="31E66B6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单价10万元以下购置设备</w:t>
            </w:r>
          </w:p>
        </w:tc>
        <w:tc>
          <w:tcPr>
            <w:tcW w:w="567" w:type="dxa"/>
            <w:vAlign w:val="center"/>
          </w:tcPr>
          <w:p w14:paraId="3CDBD95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522EDEB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7BEB2AE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68934B7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3F5A45F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53EEB06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030E61B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6F441C9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2C77FB0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45259ED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5067FA1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1832C809">
        <w:trPr>
          <w:cantSplit/>
          <w:trHeight w:val="397" w:hRule="atLeast"/>
          <w:jc w:val="center"/>
        </w:trPr>
        <w:tc>
          <w:tcPr>
            <w:tcW w:w="3110" w:type="dxa"/>
            <w:gridSpan w:val="2"/>
            <w:vAlign w:val="center"/>
          </w:tcPr>
          <w:p w14:paraId="6AB25A1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单价10万元以下试制设备</w:t>
            </w:r>
          </w:p>
        </w:tc>
        <w:tc>
          <w:tcPr>
            <w:tcW w:w="567" w:type="dxa"/>
            <w:vAlign w:val="center"/>
          </w:tcPr>
          <w:p w14:paraId="6D78060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326B23E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74FAD96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3257117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7E29DC8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45F6E5A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2F75F46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1B1C868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1ECE98C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4EFE7A0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1C84172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74877697">
        <w:trPr>
          <w:cantSplit/>
          <w:trHeight w:val="397" w:hRule="atLeast"/>
          <w:jc w:val="center"/>
        </w:trPr>
        <w:tc>
          <w:tcPr>
            <w:tcW w:w="3110" w:type="dxa"/>
            <w:gridSpan w:val="2"/>
            <w:vAlign w:val="center"/>
          </w:tcPr>
          <w:p w14:paraId="6B5A719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累计</w:t>
            </w:r>
          </w:p>
        </w:tc>
        <w:tc>
          <w:tcPr>
            <w:tcW w:w="567" w:type="dxa"/>
            <w:vAlign w:val="center"/>
          </w:tcPr>
          <w:p w14:paraId="2068CBF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2BDB08A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7F3DB65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2694515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5613B2B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5B5E77C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19EC8A6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2688052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02B0CAE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646A70B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437BE91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bl>
    <w:p w14:paraId="2798ED24">
      <w:pPr>
        <w:pageBreakBefore w:val="0"/>
        <w:kinsoku/>
        <w:overflowPunct/>
        <w:topLinePunct w:val="0"/>
        <w:autoSpaceDE w:val="0"/>
        <w:autoSpaceDN w:val="0"/>
        <w:bidi w:val="0"/>
        <w:adjustRightInd/>
        <w:spacing w:beforeAutospacing="0" w:afterAutospacing="0" w:line="560" w:lineRule="exact"/>
        <w:ind w:left="0" w:leftChars="0" w:right="0"/>
        <w:textAlignment w:val="auto"/>
        <w:rPr>
          <w:sz w:val="18"/>
        </w:rPr>
        <w:sectPr>
          <w:pgSz w:w="16838" w:h="11906" w:orient="landscape"/>
          <w:pgMar w:top="1531" w:right="1361" w:bottom="1361" w:left="1361" w:header="851" w:footer="992" w:gutter="0"/>
          <w:pgNumType w:fmt="decimal"/>
          <w:cols w:space="720" w:num="1"/>
          <w:docGrid w:type="linesAndChars" w:linePitch="312" w:charSpace="0"/>
        </w:sectPr>
      </w:pPr>
    </w:p>
    <w:p w14:paraId="2F8A886C">
      <w:pPr>
        <w:pageBreakBefore w:val="0"/>
        <w:widowControl w:val="0"/>
        <w:kinsoku/>
        <w:overflowPunct/>
        <w:topLinePunct w:val="0"/>
        <w:autoSpaceDE w:val="0"/>
        <w:autoSpaceDN w:val="0"/>
        <w:bidi w:val="0"/>
        <w:adjustRightInd/>
        <w:spacing w:line="560" w:lineRule="exact"/>
        <w:ind w:left="0" w:firstLine="640" w:firstLineChars="200"/>
        <w:jc w:val="both"/>
        <w:textAlignment w:val="auto"/>
        <w:outlineLvl w:val="0"/>
        <w:rPr>
          <w:rFonts w:hint="eastAsia"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附表4 设备改造与租赁费预算明细表</w:t>
      </w:r>
    </w:p>
    <w:tbl>
      <w:tblPr>
        <w:tblStyle w:val="18"/>
        <w:tblW w:w="15791" w:type="dxa"/>
        <w:jc w:val="center"/>
        <w:tblLayout w:type="fixed"/>
        <w:tblCellMar>
          <w:top w:w="0" w:type="dxa"/>
          <w:left w:w="108" w:type="dxa"/>
          <w:bottom w:w="0" w:type="dxa"/>
          <w:right w:w="108" w:type="dxa"/>
        </w:tblCellMar>
      </w:tblPr>
      <w:tblGrid>
        <w:gridCol w:w="719"/>
        <w:gridCol w:w="2238"/>
        <w:gridCol w:w="1661"/>
        <w:gridCol w:w="2194"/>
        <w:gridCol w:w="1693"/>
        <w:gridCol w:w="1290"/>
        <w:gridCol w:w="553"/>
        <w:gridCol w:w="1124"/>
        <w:gridCol w:w="1750"/>
        <w:gridCol w:w="1326"/>
        <w:gridCol w:w="1243"/>
      </w:tblGrid>
      <w:tr w14:paraId="2BE7FEC8">
        <w:trPr>
          <w:trHeight w:val="305" w:hRule="atLeast"/>
          <w:jc w:val="center"/>
        </w:trPr>
        <w:tc>
          <w:tcPr>
            <w:tcW w:w="2957" w:type="dxa"/>
            <w:gridSpan w:val="2"/>
            <w:tcBorders>
              <w:top w:val="nil"/>
              <w:left w:val="nil"/>
              <w:bottom w:val="single" w:color="auto" w:sz="4" w:space="0"/>
              <w:right w:val="nil"/>
            </w:tcBorders>
            <w:shd w:val="clear" w:color="auto" w:fill="auto"/>
            <w:noWrap/>
            <w:vAlign w:val="center"/>
          </w:tcPr>
          <w:p w14:paraId="4F0896C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4" w:space="0"/>
              <w:right w:val="nil"/>
            </w:tcBorders>
            <w:shd w:val="clear" w:color="auto" w:fill="auto"/>
            <w:noWrap/>
            <w:vAlign w:val="center"/>
          </w:tcPr>
          <w:p w14:paraId="34733034">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194" w:type="dxa"/>
            <w:tcBorders>
              <w:top w:val="nil"/>
              <w:left w:val="nil"/>
              <w:bottom w:val="single" w:color="auto" w:sz="4" w:space="0"/>
              <w:right w:val="nil"/>
            </w:tcBorders>
            <w:shd w:val="clear" w:color="auto" w:fill="auto"/>
            <w:noWrap/>
            <w:vAlign w:val="center"/>
          </w:tcPr>
          <w:p w14:paraId="7948060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1693" w:type="dxa"/>
            <w:tcBorders>
              <w:top w:val="nil"/>
              <w:left w:val="nil"/>
              <w:bottom w:val="single" w:color="auto" w:sz="4" w:space="0"/>
              <w:right w:val="nil"/>
            </w:tcBorders>
            <w:shd w:val="clear" w:color="auto" w:fill="auto"/>
            <w:noWrap/>
            <w:vAlign w:val="center"/>
          </w:tcPr>
          <w:p w14:paraId="6325868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1290" w:type="dxa"/>
            <w:tcBorders>
              <w:top w:val="nil"/>
              <w:left w:val="nil"/>
              <w:bottom w:val="single" w:color="auto" w:sz="4" w:space="0"/>
              <w:right w:val="nil"/>
            </w:tcBorders>
            <w:shd w:val="clear" w:color="auto" w:fill="auto"/>
            <w:noWrap/>
            <w:vAlign w:val="center"/>
          </w:tcPr>
          <w:p w14:paraId="6A305C7B">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1677" w:type="dxa"/>
            <w:gridSpan w:val="2"/>
            <w:tcBorders>
              <w:top w:val="nil"/>
              <w:left w:val="nil"/>
              <w:bottom w:val="single" w:color="auto" w:sz="4" w:space="0"/>
              <w:right w:val="nil"/>
            </w:tcBorders>
            <w:shd w:val="clear" w:color="auto" w:fill="auto"/>
            <w:noWrap/>
            <w:vAlign w:val="center"/>
          </w:tcPr>
          <w:p w14:paraId="6819192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1750" w:type="dxa"/>
            <w:tcBorders>
              <w:top w:val="nil"/>
              <w:left w:val="nil"/>
              <w:bottom w:val="single" w:color="auto" w:sz="4" w:space="0"/>
              <w:right w:val="nil"/>
            </w:tcBorders>
            <w:shd w:val="clear" w:color="auto" w:fill="auto"/>
            <w:noWrap/>
            <w:vAlign w:val="center"/>
          </w:tcPr>
          <w:p w14:paraId="18AA70F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569" w:type="dxa"/>
            <w:gridSpan w:val="2"/>
            <w:tcBorders>
              <w:top w:val="nil"/>
              <w:left w:val="nil"/>
              <w:bottom w:val="single" w:color="auto" w:sz="4" w:space="0"/>
              <w:right w:val="nil"/>
            </w:tcBorders>
            <w:shd w:val="clear" w:color="auto" w:fill="auto"/>
            <w:noWrap/>
            <w:vAlign w:val="center"/>
          </w:tcPr>
          <w:p w14:paraId="284F19A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lang w:eastAsia="zh-CN"/>
              </w:rPr>
            </w:pPr>
            <w:r>
              <w:rPr>
                <w:rFonts w:hint="eastAsia" w:ascii="仿宋_GB2312" w:hAnsi="仿宋_GB2312" w:cs="仿宋_GB2312"/>
                <w:kern w:val="0"/>
                <w:sz w:val="24"/>
                <w:szCs w:val="24"/>
                <w:lang w:eastAsia="zh-CN"/>
              </w:rPr>
              <w:t>金额单位：万元</w:t>
            </w:r>
          </w:p>
        </w:tc>
      </w:tr>
      <w:tr w14:paraId="4DAF669D">
        <w:trPr>
          <w:trHeight w:val="687" w:hRule="atLeast"/>
          <w:jc w:val="center"/>
        </w:trPr>
        <w:tc>
          <w:tcPr>
            <w:tcW w:w="15791" w:type="dxa"/>
            <w:gridSpan w:val="11"/>
            <w:tcBorders>
              <w:top w:val="single" w:color="auto" w:sz="4" w:space="0"/>
              <w:left w:val="single" w:color="auto" w:sz="8" w:space="0"/>
              <w:bottom w:val="single" w:color="auto" w:sz="4" w:space="0"/>
              <w:right w:val="single" w:color="auto" w:sz="8" w:space="0"/>
            </w:tcBorders>
            <w:shd w:val="clear" w:color="auto" w:fill="auto"/>
            <w:vAlign w:val="center"/>
          </w:tcPr>
          <w:p w14:paraId="39D762BD">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right="0" w:firstLine="0" w:firstLineChars="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填表说明：1.设备改造与</w:t>
            </w:r>
            <w:r>
              <w:rPr>
                <w:rFonts w:hint="eastAsia" w:ascii="仿宋_GB2312" w:hAnsi="仿宋_GB2312" w:cs="仿宋_GB2312"/>
                <w:color w:val="2D00C7"/>
                <w:sz w:val="24"/>
                <w:szCs w:val="24"/>
                <w:lang w:eastAsia="zh-CN"/>
              </w:rPr>
              <w:t>租赁费</w:t>
            </w:r>
            <w:r>
              <w:rPr>
                <w:rFonts w:hint="eastAsia" w:ascii="仿宋_GB2312" w:hAnsi="仿宋_GB2312" w:eastAsia="仿宋_GB2312" w:cs="仿宋_GB2312"/>
                <w:color w:val="2D00C7"/>
                <w:sz w:val="24"/>
                <w:szCs w:val="24"/>
              </w:rPr>
              <w:t>需填写明细；</w:t>
            </w:r>
          </w:p>
          <w:p w14:paraId="334E71EF">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2.资金来源：A.专项经费、B.自筹经费；</w:t>
            </w:r>
          </w:p>
          <w:p w14:paraId="4A36B0AC">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color w:val="2D00C7"/>
                <w:sz w:val="24"/>
                <w:szCs w:val="24"/>
              </w:rPr>
              <w:t>3.申请专项经费在20万元及以下时，毋须填写本表。</w:t>
            </w:r>
          </w:p>
        </w:tc>
      </w:tr>
      <w:tr w14:paraId="2594A770">
        <w:trPr>
          <w:trHeight w:val="687" w:hRule="atLeast"/>
          <w:jc w:val="center"/>
        </w:trPr>
        <w:tc>
          <w:tcPr>
            <w:tcW w:w="719" w:type="dxa"/>
            <w:vMerge w:val="restart"/>
            <w:tcBorders>
              <w:top w:val="single" w:color="auto" w:sz="4" w:space="0"/>
              <w:left w:val="single" w:color="auto" w:sz="8" w:space="0"/>
              <w:bottom w:val="single" w:color="000000" w:sz="8" w:space="0"/>
              <w:right w:val="single" w:color="auto" w:sz="4" w:space="0"/>
            </w:tcBorders>
            <w:shd w:val="clear" w:color="auto" w:fill="auto"/>
            <w:vAlign w:val="center"/>
          </w:tcPr>
          <w:p w14:paraId="3333328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序号</w:t>
            </w:r>
          </w:p>
        </w:tc>
        <w:tc>
          <w:tcPr>
            <w:tcW w:w="2238" w:type="dxa"/>
            <w:tcBorders>
              <w:top w:val="nil"/>
              <w:left w:val="nil"/>
              <w:bottom w:val="single" w:color="auto" w:sz="4" w:space="0"/>
              <w:right w:val="single" w:color="auto" w:sz="4" w:space="0"/>
            </w:tcBorders>
            <w:shd w:val="clear" w:color="auto" w:fill="auto"/>
            <w:vAlign w:val="center"/>
          </w:tcPr>
          <w:p w14:paraId="21F9AC1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设备名称</w:t>
            </w:r>
          </w:p>
        </w:tc>
        <w:tc>
          <w:tcPr>
            <w:tcW w:w="1661" w:type="dxa"/>
            <w:tcBorders>
              <w:top w:val="single" w:color="auto" w:sz="8" w:space="0"/>
              <w:left w:val="nil"/>
              <w:bottom w:val="single" w:color="auto" w:sz="4" w:space="0"/>
              <w:right w:val="single" w:color="auto" w:sz="4" w:space="0"/>
            </w:tcBorders>
            <w:shd w:val="clear" w:color="auto" w:fill="auto"/>
            <w:vAlign w:val="center"/>
          </w:tcPr>
          <w:p w14:paraId="0D32BDF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设备型号</w:t>
            </w:r>
          </w:p>
        </w:tc>
        <w:tc>
          <w:tcPr>
            <w:tcW w:w="2194" w:type="dxa"/>
            <w:tcBorders>
              <w:top w:val="single" w:color="auto" w:sz="8" w:space="0"/>
              <w:left w:val="nil"/>
              <w:bottom w:val="single" w:color="auto" w:sz="4" w:space="0"/>
              <w:right w:val="single" w:color="auto" w:sz="4" w:space="0"/>
            </w:tcBorders>
            <w:shd w:val="clear" w:color="auto" w:fill="auto"/>
            <w:vAlign w:val="center"/>
          </w:tcPr>
          <w:p w14:paraId="19B89BB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隶属单位</w:t>
            </w:r>
          </w:p>
        </w:tc>
        <w:tc>
          <w:tcPr>
            <w:tcW w:w="1693" w:type="dxa"/>
            <w:tcBorders>
              <w:top w:val="single" w:color="auto" w:sz="8" w:space="0"/>
              <w:left w:val="nil"/>
              <w:bottom w:val="single" w:color="auto" w:sz="4" w:space="0"/>
              <w:right w:val="single" w:color="auto" w:sz="4" w:space="0"/>
            </w:tcBorders>
            <w:shd w:val="clear" w:color="auto" w:fill="auto"/>
            <w:vAlign w:val="center"/>
          </w:tcPr>
          <w:p w14:paraId="7E776840">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单价</w:t>
            </w:r>
          </w:p>
          <w:p w14:paraId="791E1D8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（元/台件）</w:t>
            </w:r>
          </w:p>
        </w:tc>
        <w:tc>
          <w:tcPr>
            <w:tcW w:w="1843" w:type="dxa"/>
            <w:gridSpan w:val="2"/>
            <w:tcBorders>
              <w:top w:val="single" w:color="auto" w:sz="8" w:space="0"/>
              <w:left w:val="nil"/>
              <w:bottom w:val="single" w:color="auto" w:sz="4" w:space="0"/>
              <w:right w:val="single" w:color="auto" w:sz="4" w:space="0"/>
            </w:tcBorders>
            <w:shd w:val="clear" w:color="auto" w:fill="auto"/>
            <w:vAlign w:val="center"/>
          </w:tcPr>
          <w:p w14:paraId="23C14ED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数量</w:t>
            </w:r>
          </w:p>
          <w:p w14:paraId="3B146E8D">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（台件）</w:t>
            </w:r>
          </w:p>
        </w:tc>
        <w:tc>
          <w:tcPr>
            <w:tcW w:w="2874" w:type="dxa"/>
            <w:gridSpan w:val="2"/>
            <w:tcBorders>
              <w:top w:val="single" w:color="auto" w:sz="8" w:space="0"/>
              <w:left w:val="nil"/>
              <w:bottom w:val="single" w:color="auto" w:sz="4" w:space="0"/>
              <w:right w:val="single" w:color="auto" w:sz="4" w:space="0"/>
            </w:tcBorders>
            <w:shd w:val="clear" w:color="auto" w:fill="auto"/>
            <w:vAlign w:val="center"/>
          </w:tcPr>
          <w:p w14:paraId="330D554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设备改造（租赁）费</w:t>
            </w:r>
          </w:p>
        </w:tc>
        <w:tc>
          <w:tcPr>
            <w:tcW w:w="1326" w:type="dxa"/>
            <w:tcBorders>
              <w:top w:val="single" w:color="auto" w:sz="8" w:space="0"/>
              <w:left w:val="nil"/>
              <w:bottom w:val="single" w:color="auto" w:sz="4" w:space="0"/>
              <w:right w:val="single" w:color="auto" w:sz="4" w:space="0"/>
            </w:tcBorders>
            <w:shd w:val="clear" w:color="auto" w:fill="auto"/>
            <w:vAlign w:val="center"/>
          </w:tcPr>
          <w:p w14:paraId="2475D66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资金来源</w:t>
            </w:r>
          </w:p>
        </w:tc>
        <w:tc>
          <w:tcPr>
            <w:tcW w:w="1243" w:type="dxa"/>
            <w:tcBorders>
              <w:top w:val="single" w:color="auto" w:sz="8" w:space="0"/>
              <w:left w:val="single" w:color="auto" w:sz="4" w:space="0"/>
              <w:bottom w:val="single" w:color="auto" w:sz="4" w:space="0"/>
              <w:right w:val="single" w:color="auto" w:sz="8" w:space="0"/>
            </w:tcBorders>
            <w:shd w:val="clear" w:color="auto" w:fill="auto"/>
            <w:vAlign w:val="center"/>
          </w:tcPr>
          <w:p w14:paraId="5CE71A4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计算依据</w:t>
            </w:r>
          </w:p>
        </w:tc>
      </w:tr>
      <w:tr w14:paraId="3D50869B">
        <w:trPr>
          <w:trHeight w:val="672" w:hRule="atLeast"/>
          <w:jc w:val="center"/>
        </w:trPr>
        <w:tc>
          <w:tcPr>
            <w:tcW w:w="719" w:type="dxa"/>
            <w:vMerge w:val="continue"/>
            <w:tcBorders>
              <w:top w:val="nil"/>
              <w:left w:val="single" w:color="auto" w:sz="8" w:space="0"/>
              <w:bottom w:val="single" w:color="000000" w:sz="8" w:space="0"/>
              <w:right w:val="single" w:color="auto" w:sz="4" w:space="0"/>
            </w:tcBorders>
            <w:shd w:val="clear" w:color="auto" w:fill="auto"/>
            <w:vAlign w:val="center"/>
          </w:tcPr>
          <w:p w14:paraId="547783BB">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238" w:type="dxa"/>
            <w:tcBorders>
              <w:top w:val="nil"/>
              <w:left w:val="nil"/>
              <w:bottom w:val="single" w:color="auto" w:sz="8" w:space="0"/>
              <w:right w:val="single" w:color="auto" w:sz="4" w:space="0"/>
            </w:tcBorders>
            <w:shd w:val="clear" w:color="auto" w:fill="auto"/>
            <w:vAlign w:val="center"/>
          </w:tcPr>
          <w:p w14:paraId="3A3C7AED">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（1）</w:t>
            </w:r>
          </w:p>
        </w:tc>
        <w:tc>
          <w:tcPr>
            <w:tcW w:w="1661" w:type="dxa"/>
            <w:tcBorders>
              <w:top w:val="nil"/>
              <w:left w:val="nil"/>
              <w:bottom w:val="single" w:color="auto" w:sz="8" w:space="0"/>
              <w:right w:val="single" w:color="auto" w:sz="4" w:space="0"/>
            </w:tcBorders>
            <w:shd w:val="clear" w:color="auto" w:fill="auto"/>
            <w:vAlign w:val="center"/>
          </w:tcPr>
          <w:p w14:paraId="67F3CD8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（2）</w:t>
            </w:r>
          </w:p>
        </w:tc>
        <w:tc>
          <w:tcPr>
            <w:tcW w:w="2194" w:type="dxa"/>
            <w:tcBorders>
              <w:top w:val="nil"/>
              <w:left w:val="nil"/>
              <w:bottom w:val="single" w:color="auto" w:sz="8" w:space="0"/>
              <w:right w:val="single" w:color="auto" w:sz="4" w:space="0"/>
            </w:tcBorders>
            <w:shd w:val="clear" w:color="auto" w:fill="auto"/>
            <w:vAlign w:val="center"/>
          </w:tcPr>
          <w:p w14:paraId="5160B49F">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（3）</w:t>
            </w:r>
          </w:p>
        </w:tc>
        <w:tc>
          <w:tcPr>
            <w:tcW w:w="1693" w:type="dxa"/>
            <w:tcBorders>
              <w:top w:val="nil"/>
              <w:left w:val="nil"/>
              <w:bottom w:val="single" w:color="auto" w:sz="8" w:space="0"/>
              <w:right w:val="single" w:color="auto" w:sz="4" w:space="0"/>
            </w:tcBorders>
            <w:shd w:val="clear" w:color="auto" w:fill="auto"/>
            <w:vAlign w:val="center"/>
          </w:tcPr>
          <w:p w14:paraId="030544B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（4）</w:t>
            </w:r>
          </w:p>
        </w:tc>
        <w:tc>
          <w:tcPr>
            <w:tcW w:w="1843" w:type="dxa"/>
            <w:gridSpan w:val="2"/>
            <w:tcBorders>
              <w:top w:val="nil"/>
              <w:left w:val="nil"/>
              <w:bottom w:val="single" w:color="auto" w:sz="8" w:space="0"/>
              <w:right w:val="single" w:color="auto" w:sz="4" w:space="0"/>
            </w:tcBorders>
            <w:shd w:val="clear" w:color="auto" w:fill="auto"/>
            <w:vAlign w:val="center"/>
          </w:tcPr>
          <w:p w14:paraId="41405156">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（5）</w:t>
            </w:r>
          </w:p>
        </w:tc>
        <w:tc>
          <w:tcPr>
            <w:tcW w:w="2874" w:type="dxa"/>
            <w:gridSpan w:val="2"/>
            <w:tcBorders>
              <w:top w:val="nil"/>
              <w:left w:val="nil"/>
              <w:bottom w:val="single" w:color="auto" w:sz="8" w:space="0"/>
              <w:right w:val="single" w:color="auto" w:sz="4" w:space="0"/>
            </w:tcBorders>
            <w:shd w:val="clear" w:color="auto" w:fill="auto"/>
            <w:vAlign w:val="center"/>
          </w:tcPr>
          <w:p w14:paraId="51CC1B2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（6）=（4）×（5）/1000</w:t>
            </w:r>
          </w:p>
        </w:tc>
        <w:tc>
          <w:tcPr>
            <w:tcW w:w="1326" w:type="dxa"/>
            <w:tcBorders>
              <w:top w:val="nil"/>
              <w:left w:val="nil"/>
              <w:bottom w:val="single" w:color="auto" w:sz="8" w:space="0"/>
              <w:right w:val="single" w:color="auto" w:sz="4" w:space="0"/>
            </w:tcBorders>
            <w:shd w:val="clear" w:color="auto" w:fill="auto"/>
            <w:vAlign w:val="center"/>
          </w:tcPr>
          <w:p w14:paraId="5300950F">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（7）</w:t>
            </w:r>
          </w:p>
        </w:tc>
        <w:tc>
          <w:tcPr>
            <w:tcW w:w="1243" w:type="dxa"/>
            <w:tcBorders>
              <w:top w:val="nil"/>
              <w:left w:val="single" w:color="auto" w:sz="4" w:space="0"/>
              <w:bottom w:val="single" w:color="auto" w:sz="8" w:space="0"/>
              <w:right w:val="single" w:color="auto" w:sz="8" w:space="0"/>
            </w:tcBorders>
            <w:shd w:val="clear" w:color="auto" w:fill="auto"/>
            <w:vAlign w:val="center"/>
          </w:tcPr>
          <w:p w14:paraId="11C28E5B">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（8）</w:t>
            </w:r>
          </w:p>
        </w:tc>
      </w:tr>
      <w:tr w14:paraId="7C136B01">
        <w:trPr>
          <w:trHeight w:val="531" w:hRule="atLeast"/>
          <w:jc w:val="center"/>
        </w:trPr>
        <w:tc>
          <w:tcPr>
            <w:tcW w:w="719" w:type="dxa"/>
            <w:tcBorders>
              <w:top w:val="nil"/>
              <w:left w:val="single" w:color="auto" w:sz="8" w:space="0"/>
              <w:bottom w:val="single" w:color="auto" w:sz="4" w:space="0"/>
              <w:right w:val="single" w:color="auto" w:sz="4" w:space="0"/>
            </w:tcBorders>
            <w:shd w:val="clear" w:color="auto" w:fill="auto"/>
            <w:vAlign w:val="center"/>
          </w:tcPr>
          <w:p w14:paraId="114E84DE">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238" w:type="dxa"/>
            <w:tcBorders>
              <w:top w:val="nil"/>
              <w:left w:val="nil"/>
              <w:bottom w:val="single" w:color="auto" w:sz="4" w:space="0"/>
              <w:right w:val="single" w:color="auto" w:sz="4" w:space="0"/>
            </w:tcBorders>
            <w:shd w:val="clear" w:color="auto" w:fill="auto"/>
            <w:vAlign w:val="center"/>
          </w:tcPr>
          <w:p w14:paraId="00124BE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4" w:space="0"/>
              <w:right w:val="single" w:color="auto" w:sz="4" w:space="0"/>
            </w:tcBorders>
            <w:shd w:val="clear" w:color="auto" w:fill="auto"/>
            <w:vAlign w:val="center"/>
          </w:tcPr>
          <w:p w14:paraId="5E13D911">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194" w:type="dxa"/>
            <w:tcBorders>
              <w:top w:val="nil"/>
              <w:left w:val="nil"/>
              <w:bottom w:val="single" w:color="auto" w:sz="4" w:space="0"/>
              <w:right w:val="single" w:color="auto" w:sz="4" w:space="0"/>
            </w:tcBorders>
            <w:shd w:val="clear" w:color="auto" w:fill="auto"/>
            <w:vAlign w:val="center"/>
          </w:tcPr>
          <w:p w14:paraId="5E3392D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93" w:type="dxa"/>
            <w:tcBorders>
              <w:top w:val="nil"/>
              <w:left w:val="nil"/>
              <w:bottom w:val="single" w:color="auto" w:sz="4" w:space="0"/>
              <w:right w:val="single" w:color="auto" w:sz="4" w:space="0"/>
            </w:tcBorders>
            <w:shd w:val="clear" w:color="auto" w:fill="auto"/>
            <w:vAlign w:val="center"/>
          </w:tcPr>
          <w:p w14:paraId="2FAAE26E">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843" w:type="dxa"/>
            <w:gridSpan w:val="2"/>
            <w:tcBorders>
              <w:top w:val="nil"/>
              <w:left w:val="nil"/>
              <w:bottom w:val="single" w:color="auto" w:sz="4" w:space="0"/>
              <w:right w:val="single" w:color="auto" w:sz="4" w:space="0"/>
            </w:tcBorders>
            <w:shd w:val="clear" w:color="auto" w:fill="auto"/>
            <w:vAlign w:val="center"/>
          </w:tcPr>
          <w:p w14:paraId="7A3A6076">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874" w:type="dxa"/>
            <w:gridSpan w:val="2"/>
            <w:tcBorders>
              <w:top w:val="nil"/>
              <w:left w:val="nil"/>
              <w:bottom w:val="single" w:color="auto" w:sz="4" w:space="0"/>
              <w:right w:val="single" w:color="auto" w:sz="4" w:space="0"/>
            </w:tcBorders>
            <w:shd w:val="clear" w:color="auto" w:fill="auto"/>
            <w:vAlign w:val="center"/>
          </w:tcPr>
          <w:p w14:paraId="1666ADCD">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326" w:type="dxa"/>
            <w:tcBorders>
              <w:top w:val="nil"/>
              <w:left w:val="nil"/>
              <w:bottom w:val="single" w:color="auto" w:sz="4" w:space="0"/>
              <w:right w:val="single" w:color="auto" w:sz="4" w:space="0"/>
            </w:tcBorders>
            <w:shd w:val="clear" w:color="auto" w:fill="auto"/>
            <w:vAlign w:val="center"/>
          </w:tcPr>
          <w:p w14:paraId="6032275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single" w:color="auto" w:sz="4" w:space="0"/>
              <w:bottom w:val="single" w:color="auto" w:sz="4" w:space="0"/>
              <w:right w:val="single" w:color="auto" w:sz="8" w:space="0"/>
            </w:tcBorders>
            <w:shd w:val="clear" w:color="auto" w:fill="auto"/>
            <w:vAlign w:val="center"/>
          </w:tcPr>
          <w:p w14:paraId="13792D3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r>
      <w:tr w14:paraId="18E639A7">
        <w:trPr>
          <w:trHeight w:val="531" w:hRule="atLeast"/>
          <w:jc w:val="center"/>
        </w:trPr>
        <w:tc>
          <w:tcPr>
            <w:tcW w:w="719" w:type="dxa"/>
            <w:tcBorders>
              <w:top w:val="nil"/>
              <w:left w:val="single" w:color="auto" w:sz="8" w:space="0"/>
              <w:bottom w:val="single" w:color="auto" w:sz="4" w:space="0"/>
              <w:right w:val="single" w:color="auto" w:sz="4" w:space="0"/>
            </w:tcBorders>
            <w:shd w:val="clear" w:color="auto" w:fill="auto"/>
            <w:vAlign w:val="center"/>
          </w:tcPr>
          <w:p w14:paraId="5CEB468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238" w:type="dxa"/>
            <w:tcBorders>
              <w:top w:val="nil"/>
              <w:left w:val="nil"/>
              <w:bottom w:val="single" w:color="auto" w:sz="4" w:space="0"/>
              <w:right w:val="single" w:color="auto" w:sz="4" w:space="0"/>
            </w:tcBorders>
            <w:shd w:val="clear" w:color="auto" w:fill="auto"/>
            <w:vAlign w:val="center"/>
          </w:tcPr>
          <w:p w14:paraId="2F2EA9C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4" w:space="0"/>
              <w:right w:val="single" w:color="auto" w:sz="4" w:space="0"/>
            </w:tcBorders>
            <w:shd w:val="clear" w:color="auto" w:fill="auto"/>
            <w:vAlign w:val="center"/>
          </w:tcPr>
          <w:p w14:paraId="5FD953F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194" w:type="dxa"/>
            <w:tcBorders>
              <w:top w:val="nil"/>
              <w:left w:val="nil"/>
              <w:bottom w:val="single" w:color="auto" w:sz="4" w:space="0"/>
              <w:right w:val="single" w:color="auto" w:sz="4" w:space="0"/>
            </w:tcBorders>
            <w:shd w:val="clear" w:color="auto" w:fill="auto"/>
            <w:vAlign w:val="center"/>
          </w:tcPr>
          <w:p w14:paraId="63987CCE">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93" w:type="dxa"/>
            <w:tcBorders>
              <w:top w:val="nil"/>
              <w:left w:val="nil"/>
              <w:bottom w:val="single" w:color="auto" w:sz="4" w:space="0"/>
              <w:right w:val="single" w:color="auto" w:sz="4" w:space="0"/>
            </w:tcBorders>
            <w:shd w:val="clear" w:color="auto" w:fill="auto"/>
            <w:vAlign w:val="center"/>
          </w:tcPr>
          <w:p w14:paraId="6F8B28B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843" w:type="dxa"/>
            <w:gridSpan w:val="2"/>
            <w:tcBorders>
              <w:top w:val="nil"/>
              <w:left w:val="nil"/>
              <w:bottom w:val="single" w:color="auto" w:sz="4" w:space="0"/>
              <w:right w:val="single" w:color="auto" w:sz="4" w:space="0"/>
            </w:tcBorders>
            <w:shd w:val="clear" w:color="auto" w:fill="auto"/>
            <w:vAlign w:val="center"/>
          </w:tcPr>
          <w:p w14:paraId="4C57CF9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874" w:type="dxa"/>
            <w:gridSpan w:val="2"/>
            <w:tcBorders>
              <w:top w:val="nil"/>
              <w:left w:val="nil"/>
              <w:bottom w:val="single" w:color="auto" w:sz="4" w:space="0"/>
              <w:right w:val="single" w:color="auto" w:sz="4" w:space="0"/>
            </w:tcBorders>
            <w:shd w:val="clear" w:color="auto" w:fill="auto"/>
            <w:vAlign w:val="center"/>
          </w:tcPr>
          <w:p w14:paraId="72D39CA0">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326" w:type="dxa"/>
            <w:tcBorders>
              <w:top w:val="nil"/>
              <w:left w:val="nil"/>
              <w:bottom w:val="single" w:color="auto" w:sz="4" w:space="0"/>
              <w:right w:val="single" w:color="auto" w:sz="4" w:space="0"/>
            </w:tcBorders>
            <w:shd w:val="clear" w:color="auto" w:fill="auto"/>
            <w:vAlign w:val="center"/>
          </w:tcPr>
          <w:p w14:paraId="2A7F3EFF">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single" w:color="auto" w:sz="4" w:space="0"/>
              <w:bottom w:val="single" w:color="auto" w:sz="4" w:space="0"/>
              <w:right w:val="single" w:color="auto" w:sz="8" w:space="0"/>
            </w:tcBorders>
            <w:shd w:val="clear" w:color="auto" w:fill="auto"/>
            <w:vAlign w:val="center"/>
          </w:tcPr>
          <w:p w14:paraId="66AC8A6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r>
      <w:tr w14:paraId="3B924AB8">
        <w:trPr>
          <w:trHeight w:val="531" w:hRule="atLeast"/>
          <w:jc w:val="center"/>
        </w:trPr>
        <w:tc>
          <w:tcPr>
            <w:tcW w:w="719" w:type="dxa"/>
            <w:tcBorders>
              <w:top w:val="nil"/>
              <w:left w:val="single" w:color="auto" w:sz="8" w:space="0"/>
              <w:bottom w:val="single" w:color="auto" w:sz="4" w:space="0"/>
              <w:right w:val="single" w:color="auto" w:sz="4" w:space="0"/>
            </w:tcBorders>
            <w:shd w:val="clear" w:color="auto" w:fill="auto"/>
            <w:vAlign w:val="center"/>
          </w:tcPr>
          <w:p w14:paraId="4B7314E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238" w:type="dxa"/>
            <w:tcBorders>
              <w:top w:val="nil"/>
              <w:left w:val="nil"/>
              <w:bottom w:val="single" w:color="auto" w:sz="4" w:space="0"/>
              <w:right w:val="single" w:color="auto" w:sz="4" w:space="0"/>
            </w:tcBorders>
            <w:shd w:val="clear" w:color="auto" w:fill="auto"/>
            <w:vAlign w:val="center"/>
          </w:tcPr>
          <w:p w14:paraId="57AE82C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4" w:space="0"/>
              <w:right w:val="single" w:color="auto" w:sz="4" w:space="0"/>
            </w:tcBorders>
            <w:shd w:val="clear" w:color="auto" w:fill="auto"/>
            <w:vAlign w:val="center"/>
          </w:tcPr>
          <w:p w14:paraId="6C1431D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194" w:type="dxa"/>
            <w:tcBorders>
              <w:top w:val="nil"/>
              <w:left w:val="nil"/>
              <w:bottom w:val="single" w:color="auto" w:sz="4" w:space="0"/>
              <w:right w:val="single" w:color="auto" w:sz="4" w:space="0"/>
            </w:tcBorders>
            <w:shd w:val="clear" w:color="auto" w:fill="auto"/>
            <w:vAlign w:val="center"/>
          </w:tcPr>
          <w:p w14:paraId="2896E251">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93" w:type="dxa"/>
            <w:tcBorders>
              <w:top w:val="nil"/>
              <w:left w:val="nil"/>
              <w:bottom w:val="single" w:color="auto" w:sz="4" w:space="0"/>
              <w:right w:val="single" w:color="auto" w:sz="4" w:space="0"/>
            </w:tcBorders>
            <w:shd w:val="clear" w:color="auto" w:fill="auto"/>
            <w:vAlign w:val="center"/>
          </w:tcPr>
          <w:p w14:paraId="316A0D7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843" w:type="dxa"/>
            <w:gridSpan w:val="2"/>
            <w:tcBorders>
              <w:top w:val="nil"/>
              <w:left w:val="nil"/>
              <w:bottom w:val="single" w:color="auto" w:sz="4" w:space="0"/>
              <w:right w:val="single" w:color="auto" w:sz="4" w:space="0"/>
            </w:tcBorders>
            <w:shd w:val="clear" w:color="auto" w:fill="auto"/>
            <w:vAlign w:val="center"/>
          </w:tcPr>
          <w:p w14:paraId="45F98DB4">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874" w:type="dxa"/>
            <w:gridSpan w:val="2"/>
            <w:tcBorders>
              <w:top w:val="nil"/>
              <w:left w:val="nil"/>
              <w:bottom w:val="single" w:color="auto" w:sz="4" w:space="0"/>
              <w:right w:val="single" w:color="auto" w:sz="4" w:space="0"/>
            </w:tcBorders>
            <w:shd w:val="clear" w:color="auto" w:fill="auto"/>
            <w:vAlign w:val="center"/>
          </w:tcPr>
          <w:p w14:paraId="650150B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326" w:type="dxa"/>
            <w:tcBorders>
              <w:top w:val="nil"/>
              <w:left w:val="nil"/>
              <w:bottom w:val="single" w:color="auto" w:sz="4" w:space="0"/>
              <w:right w:val="single" w:color="auto" w:sz="4" w:space="0"/>
            </w:tcBorders>
            <w:shd w:val="clear" w:color="auto" w:fill="auto"/>
            <w:vAlign w:val="center"/>
          </w:tcPr>
          <w:p w14:paraId="3BFC82E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single" w:color="auto" w:sz="4" w:space="0"/>
              <w:bottom w:val="single" w:color="auto" w:sz="4" w:space="0"/>
              <w:right w:val="single" w:color="auto" w:sz="8" w:space="0"/>
            </w:tcBorders>
            <w:shd w:val="clear" w:color="auto" w:fill="auto"/>
            <w:vAlign w:val="center"/>
          </w:tcPr>
          <w:p w14:paraId="68A1201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r>
      <w:tr w14:paraId="74B41528">
        <w:trPr>
          <w:trHeight w:val="531" w:hRule="atLeast"/>
          <w:jc w:val="center"/>
        </w:trPr>
        <w:tc>
          <w:tcPr>
            <w:tcW w:w="719" w:type="dxa"/>
            <w:tcBorders>
              <w:top w:val="nil"/>
              <w:left w:val="single" w:color="auto" w:sz="8" w:space="0"/>
              <w:bottom w:val="single" w:color="auto" w:sz="8" w:space="0"/>
              <w:right w:val="single" w:color="auto" w:sz="4" w:space="0"/>
            </w:tcBorders>
            <w:shd w:val="clear" w:color="auto" w:fill="auto"/>
            <w:vAlign w:val="center"/>
          </w:tcPr>
          <w:p w14:paraId="07E4481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238" w:type="dxa"/>
            <w:tcBorders>
              <w:top w:val="nil"/>
              <w:left w:val="nil"/>
              <w:bottom w:val="single" w:color="auto" w:sz="8" w:space="0"/>
              <w:right w:val="single" w:color="auto" w:sz="4" w:space="0"/>
            </w:tcBorders>
            <w:shd w:val="clear" w:color="auto" w:fill="auto"/>
            <w:vAlign w:val="center"/>
          </w:tcPr>
          <w:p w14:paraId="378E70BF">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8" w:space="0"/>
              <w:right w:val="single" w:color="auto" w:sz="4" w:space="0"/>
            </w:tcBorders>
            <w:shd w:val="clear" w:color="auto" w:fill="auto"/>
            <w:vAlign w:val="center"/>
          </w:tcPr>
          <w:p w14:paraId="640CE417">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194" w:type="dxa"/>
            <w:tcBorders>
              <w:top w:val="nil"/>
              <w:left w:val="nil"/>
              <w:bottom w:val="single" w:color="auto" w:sz="8" w:space="0"/>
              <w:right w:val="single" w:color="auto" w:sz="4" w:space="0"/>
            </w:tcBorders>
            <w:shd w:val="clear" w:color="auto" w:fill="auto"/>
            <w:vAlign w:val="center"/>
          </w:tcPr>
          <w:p w14:paraId="65912A0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93" w:type="dxa"/>
            <w:tcBorders>
              <w:top w:val="nil"/>
              <w:left w:val="nil"/>
              <w:bottom w:val="single" w:color="auto" w:sz="8" w:space="0"/>
              <w:right w:val="single" w:color="auto" w:sz="4" w:space="0"/>
            </w:tcBorders>
            <w:shd w:val="clear" w:color="auto" w:fill="auto"/>
            <w:vAlign w:val="center"/>
          </w:tcPr>
          <w:p w14:paraId="2C81790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843" w:type="dxa"/>
            <w:gridSpan w:val="2"/>
            <w:tcBorders>
              <w:top w:val="nil"/>
              <w:left w:val="nil"/>
              <w:bottom w:val="single" w:color="auto" w:sz="8" w:space="0"/>
              <w:right w:val="single" w:color="auto" w:sz="4" w:space="0"/>
            </w:tcBorders>
            <w:shd w:val="clear" w:color="auto" w:fill="auto"/>
            <w:vAlign w:val="center"/>
          </w:tcPr>
          <w:p w14:paraId="2162498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874" w:type="dxa"/>
            <w:gridSpan w:val="2"/>
            <w:tcBorders>
              <w:top w:val="nil"/>
              <w:left w:val="nil"/>
              <w:bottom w:val="single" w:color="auto" w:sz="8" w:space="0"/>
              <w:right w:val="single" w:color="auto" w:sz="4" w:space="0"/>
            </w:tcBorders>
            <w:shd w:val="clear" w:color="auto" w:fill="auto"/>
            <w:vAlign w:val="center"/>
          </w:tcPr>
          <w:p w14:paraId="573595E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326" w:type="dxa"/>
            <w:tcBorders>
              <w:top w:val="nil"/>
              <w:left w:val="nil"/>
              <w:bottom w:val="single" w:color="auto" w:sz="8" w:space="0"/>
              <w:right w:val="single" w:color="auto" w:sz="4" w:space="0"/>
            </w:tcBorders>
            <w:shd w:val="clear" w:color="auto" w:fill="auto"/>
            <w:vAlign w:val="center"/>
          </w:tcPr>
          <w:p w14:paraId="41DC6CD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single" w:color="auto" w:sz="4" w:space="0"/>
              <w:bottom w:val="single" w:color="auto" w:sz="8" w:space="0"/>
              <w:right w:val="single" w:color="auto" w:sz="8" w:space="0"/>
            </w:tcBorders>
            <w:shd w:val="clear" w:color="auto" w:fill="auto"/>
            <w:vAlign w:val="center"/>
          </w:tcPr>
          <w:p w14:paraId="67FA34B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r>
      <w:tr w14:paraId="495DAD8A">
        <w:trPr>
          <w:trHeight w:val="531" w:hRule="atLeast"/>
          <w:jc w:val="center"/>
        </w:trPr>
        <w:tc>
          <w:tcPr>
            <w:tcW w:w="10348" w:type="dxa"/>
            <w:gridSpan w:val="7"/>
            <w:tcBorders>
              <w:top w:val="nil"/>
              <w:left w:val="single" w:color="auto" w:sz="8" w:space="0"/>
              <w:bottom w:val="single" w:color="auto" w:sz="8" w:space="0"/>
              <w:right w:val="single" w:color="auto" w:sz="4" w:space="0"/>
            </w:tcBorders>
            <w:shd w:val="clear" w:color="auto" w:fill="auto"/>
            <w:vAlign w:val="center"/>
          </w:tcPr>
          <w:p w14:paraId="350C5CAE">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累计</w:t>
            </w:r>
          </w:p>
        </w:tc>
        <w:tc>
          <w:tcPr>
            <w:tcW w:w="2874" w:type="dxa"/>
            <w:gridSpan w:val="2"/>
            <w:tcBorders>
              <w:top w:val="nil"/>
              <w:left w:val="nil"/>
              <w:bottom w:val="single" w:color="auto" w:sz="8" w:space="0"/>
              <w:right w:val="single" w:color="auto" w:sz="4" w:space="0"/>
            </w:tcBorders>
            <w:shd w:val="clear" w:color="auto" w:fill="auto"/>
            <w:vAlign w:val="center"/>
          </w:tcPr>
          <w:p w14:paraId="1F4864E1">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326" w:type="dxa"/>
            <w:tcBorders>
              <w:top w:val="nil"/>
              <w:left w:val="nil"/>
              <w:bottom w:val="single" w:color="auto" w:sz="8" w:space="0"/>
              <w:right w:val="single" w:color="auto" w:sz="4" w:space="0"/>
            </w:tcBorders>
            <w:shd w:val="clear" w:color="auto" w:fill="auto"/>
            <w:vAlign w:val="center"/>
          </w:tcPr>
          <w:p w14:paraId="6628813B">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8" w:space="0"/>
              <w:right w:val="single" w:color="auto" w:sz="4" w:space="0"/>
            </w:tcBorders>
            <w:shd w:val="clear" w:color="auto" w:fill="auto"/>
            <w:vAlign w:val="center"/>
          </w:tcPr>
          <w:p w14:paraId="2791225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bl>
    <w:p w14:paraId="24D0E77D">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r>
        <w:rPr>
          <w:rFonts w:hint="eastAsia" w:cs="Times New Roman"/>
        </w:rPr>
        <w:br w:type="page"/>
      </w:r>
    </w:p>
    <w:p w14:paraId="502D11D3">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eastAsia"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附表5 材料费预算明细表</w:t>
      </w:r>
    </w:p>
    <w:tbl>
      <w:tblPr>
        <w:tblStyle w:val="18"/>
        <w:tblW w:w="14880" w:type="dxa"/>
        <w:jc w:val="center"/>
        <w:tblLayout w:type="fixed"/>
        <w:tblCellMar>
          <w:top w:w="0" w:type="dxa"/>
          <w:left w:w="108" w:type="dxa"/>
          <w:bottom w:w="0" w:type="dxa"/>
          <w:right w:w="108" w:type="dxa"/>
        </w:tblCellMar>
      </w:tblPr>
      <w:tblGrid>
        <w:gridCol w:w="710"/>
        <w:gridCol w:w="3437"/>
        <w:gridCol w:w="1264"/>
        <w:gridCol w:w="1243"/>
        <w:gridCol w:w="2353"/>
        <w:gridCol w:w="2556"/>
        <w:gridCol w:w="1667"/>
        <w:gridCol w:w="1650"/>
      </w:tblGrid>
      <w:tr w14:paraId="7639A934">
        <w:trPr>
          <w:trHeight w:val="305" w:hRule="atLeast"/>
          <w:jc w:val="center"/>
        </w:trPr>
        <w:tc>
          <w:tcPr>
            <w:tcW w:w="5411" w:type="dxa"/>
            <w:gridSpan w:val="3"/>
            <w:tcBorders>
              <w:top w:val="nil"/>
              <w:left w:val="nil"/>
              <w:bottom w:val="single" w:color="auto" w:sz="8" w:space="0"/>
              <w:right w:val="nil"/>
            </w:tcBorders>
            <w:shd w:val="clear" w:color="auto" w:fill="auto"/>
            <w:noWrap/>
            <w:vAlign w:val="center"/>
          </w:tcPr>
          <w:p w14:paraId="017DC46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43" w:type="dxa"/>
            <w:tcBorders>
              <w:top w:val="nil"/>
              <w:left w:val="nil"/>
              <w:bottom w:val="nil"/>
              <w:right w:val="nil"/>
            </w:tcBorders>
            <w:shd w:val="clear" w:color="auto" w:fill="auto"/>
            <w:noWrap/>
            <w:vAlign w:val="center"/>
          </w:tcPr>
          <w:p w14:paraId="56BE66F6">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353" w:type="dxa"/>
            <w:tcBorders>
              <w:top w:val="nil"/>
              <w:left w:val="nil"/>
              <w:bottom w:val="nil"/>
              <w:right w:val="nil"/>
            </w:tcBorders>
            <w:shd w:val="clear" w:color="auto" w:fill="auto"/>
            <w:noWrap/>
            <w:vAlign w:val="center"/>
          </w:tcPr>
          <w:p w14:paraId="679FB54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556" w:type="dxa"/>
            <w:tcBorders>
              <w:top w:val="nil"/>
              <w:left w:val="nil"/>
              <w:bottom w:val="nil"/>
              <w:right w:val="nil"/>
            </w:tcBorders>
            <w:shd w:val="clear" w:color="auto" w:fill="auto"/>
            <w:noWrap/>
            <w:vAlign w:val="center"/>
          </w:tcPr>
          <w:p w14:paraId="0F51F19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3317" w:type="dxa"/>
            <w:gridSpan w:val="2"/>
            <w:tcBorders>
              <w:top w:val="nil"/>
              <w:left w:val="nil"/>
              <w:bottom w:val="nil"/>
              <w:right w:val="nil"/>
            </w:tcBorders>
            <w:shd w:val="clear" w:color="auto" w:fill="auto"/>
            <w:noWrap/>
            <w:vAlign w:val="center"/>
          </w:tcPr>
          <w:p w14:paraId="3BAF54CA">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lang w:eastAsia="zh-CN"/>
              </w:rPr>
            </w:pPr>
            <w:r>
              <w:rPr>
                <w:rFonts w:hint="eastAsia" w:ascii="仿宋_GB2312" w:hAnsi="仿宋_GB2312" w:cs="仿宋_GB2312"/>
                <w:kern w:val="0"/>
                <w:sz w:val="24"/>
                <w:szCs w:val="24"/>
                <w:lang w:eastAsia="zh-CN"/>
              </w:rPr>
              <w:t>金额单位：万元</w:t>
            </w:r>
          </w:p>
        </w:tc>
      </w:tr>
      <w:tr w14:paraId="17418B73">
        <w:trPr>
          <w:trHeight w:val="443" w:hRule="atLeast"/>
          <w:jc w:val="center"/>
        </w:trPr>
        <w:tc>
          <w:tcPr>
            <w:tcW w:w="14880" w:type="dxa"/>
            <w:gridSpan w:val="8"/>
            <w:tcBorders>
              <w:top w:val="single" w:color="auto" w:sz="4" w:space="0"/>
              <w:left w:val="single" w:color="auto" w:sz="4" w:space="0"/>
              <w:bottom w:val="single" w:color="auto" w:sz="4" w:space="0"/>
              <w:right w:val="single" w:color="auto" w:sz="8" w:space="0"/>
            </w:tcBorders>
            <w:shd w:val="clear" w:color="auto" w:fill="auto"/>
            <w:vAlign w:val="center"/>
          </w:tcPr>
          <w:p w14:paraId="7D43A736">
            <w:pPr>
              <w:keepNext w:val="0"/>
              <w:keepLines w:val="0"/>
              <w:pageBreakBefore w:val="0"/>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color w:val="2D00C7"/>
                <w:sz w:val="24"/>
                <w:szCs w:val="24"/>
              </w:rPr>
            </w:pPr>
            <w:r>
              <w:rPr>
                <w:rFonts w:hint="eastAsia" w:ascii="仿宋_GB2312" w:hAnsi="仿宋_GB2312" w:eastAsia="仿宋_GB2312" w:cs="仿宋_GB2312"/>
                <w:bCs/>
                <w:color w:val="2D00C7"/>
                <w:sz w:val="24"/>
                <w:szCs w:val="24"/>
              </w:rPr>
              <w:t>填表说明：1.所购置的各项材料费需填写明细；</w:t>
            </w:r>
          </w:p>
          <w:p w14:paraId="3B34AD7B">
            <w:pPr>
              <w:keepNext w:val="0"/>
              <w:keepLines w:val="0"/>
              <w:pageBreakBefore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2.资金来源：A.专项经费、B.自筹经费；</w:t>
            </w:r>
          </w:p>
          <w:p w14:paraId="335D2B88">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1200" w:firstLineChars="50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color w:val="2D00C7"/>
                <w:sz w:val="24"/>
                <w:szCs w:val="24"/>
              </w:rPr>
              <w:t>3.申请专项经费在20万元及以下时，毋须填写本表。</w:t>
            </w:r>
          </w:p>
        </w:tc>
      </w:tr>
      <w:tr w14:paraId="123487D6">
        <w:trPr>
          <w:trHeight w:val="443" w:hRule="atLeast"/>
          <w:jc w:val="center"/>
        </w:trPr>
        <w:tc>
          <w:tcPr>
            <w:tcW w:w="71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3924AE4">
            <w:pPr>
              <w:keepNext w:val="0"/>
              <w:keepLines w:val="0"/>
              <w:pageBreakBefore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序号</w:t>
            </w:r>
          </w:p>
        </w:tc>
        <w:tc>
          <w:tcPr>
            <w:tcW w:w="3437" w:type="dxa"/>
            <w:tcBorders>
              <w:top w:val="single" w:color="auto" w:sz="4" w:space="0"/>
              <w:left w:val="nil"/>
              <w:bottom w:val="single" w:color="auto" w:sz="4" w:space="0"/>
              <w:right w:val="single" w:color="auto" w:sz="4" w:space="0"/>
            </w:tcBorders>
            <w:shd w:val="clear" w:color="auto" w:fill="auto"/>
            <w:vAlign w:val="center"/>
          </w:tcPr>
          <w:p w14:paraId="1ADE2AC2">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材料名称</w:t>
            </w:r>
          </w:p>
        </w:tc>
        <w:tc>
          <w:tcPr>
            <w:tcW w:w="1264" w:type="dxa"/>
            <w:tcBorders>
              <w:top w:val="nil"/>
              <w:left w:val="nil"/>
              <w:bottom w:val="single" w:color="auto" w:sz="4" w:space="0"/>
              <w:right w:val="single" w:color="auto" w:sz="4" w:space="0"/>
            </w:tcBorders>
            <w:shd w:val="clear" w:color="auto" w:fill="auto"/>
            <w:vAlign w:val="center"/>
          </w:tcPr>
          <w:p w14:paraId="5837FA81">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计量单位</w:t>
            </w:r>
          </w:p>
        </w:tc>
        <w:tc>
          <w:tcPr>
            <w:tcW w:w="1243" w:type="dxa"/>
            <w:tcBorders>
              <w:top w:val="single" w:color="auto" w:sz="8" w:space="0"/>
              <w:left w:val="nil"/>
              <w:bottom w:val="single" w:color="auto" w:sz="4" w:space="0"/>
              <w:right w:val="single" w:color="auto" w:sz="4" w:space="0"/>
            </w:tcBorders>
            <w:shd w:val="clear" w:color="auto" w:fill="auto"/>
            <w:vAlign w:val="center"/>
          </w:tcPr>
          <w:p w14:paraId="73502078">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购置数量</w:t>
            </w:r>
          </w:p>
        </w:tc>
        <w:tc>
          <w:tcPr>
            <w:tcW w:w="2353" w:type="dxa"/>
            <w:tcBorders>
              <w:top w:val="single" w:color="auto" w:sz="8" w:space="0"/>
              <w:left w:val="nil"/>
              <w:bottom w:val="single" w:color="auto" w:sz="4" w:space="0"/>
              <w:right w:val="single" w:color="auto" w:sz="4" w:space="0"/>
            </w:tcBorders>
            <w:shd w:val="clear" w:color="auto" w:fill="auto"/>
            <w:vAlign w:val="center"/>
          </w:tcPr>
          <w:p w14:paraId="651C243D">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单价（元/单位数量）</w:t>
            </w:r>
          </w:p>
        </w:tc>
        <w:tc>
          <w:tcPr>
            <w:tcW w:w="2556" w:type="dxa"/>
            <w:tcBorders>
              <w:top w:val="single" w:color="auto" w:sz="8" w:space="0"/>
              <w:left w:val="nil"/>
              <w:bottom w:val="single" w:color="auto" w:sz="4" w:space="0"/>
              <w:right w:val="single" w:color="auto" w:sz="4" w:space="0"/>
            </w:tcBorders>
            <w:shd w:val="clear" w:color="auto" w:fill="auto"/>
            <w:vAlign w:val="center"/>
          </w:tcPr>
          <w:p w14:paraId="2B9687C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材料费用</w:t>
            </w:r>
          </w:p>
        </w:tc>
        <w:tc>
          <w:tcPr>
            <w:tcW w:w="1667" w:type="dxa"/>
            <w:tcBorders>
              <w:top w:val="single" w:color="auto" w:sz="8" w:space="0"/>
              <w:left w:val="nil"/>
              <w:bottom w:val="single" w:color="auto" w:sz="4" w:space="0"/>
              <w:right w:val="single" w:color="auto" w:sz="4" w:space="0"/>
            </w:tcBorders>
            <w:shd w:val="clear" w:color="auto" w:fill="auto"/>
            <w:vAlign w:val="center"/>
          </w:tcPr>
          <w:p w14:paraId="6BE4F3F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资金来源</w:t>
            </w:r>
          </w:p>
        </w:tc>
        <w:tc>
          <w:tcPr>
            <w:tcW w:w="1650" w:type="dxa"/>
            <w:tcBorders>
              <w:top w:val="single" w:color="auto" w:sz="8" w:space="0"/>
              <w:left w:val="single" w:color="auto" w:sz="4" w:space="0"/>
              <w:bottom w:val="single" w:color="auto" w:sz="4" w:space="0"/>
              <w:right w:val="single" w:color="auto" w:sz="8" w:space="0"/>
            </w:tcBorders>
            <w:shd w:val="clear" w:color="auto" w:fill="auto"/>
            <w:vAlign w:val="center"/>
          </w:tcPr>
          <w:p w14:paraId="56C47B2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计算依据</w:t>
            </w:r>
          </w:p>
        </w:tc>
      </w:tr>
      <w:tr w14:paraId="0898FF3E">
        <w:trPr>
          <w:trHeight w:val="473" w:hRule="atLeast"/>
          <w:jc w:val="center"/>
        </w:trPr>
        <w:tc>
          <w:tcPr>
            <w:tcW w:w="71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F1D353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3437" w:type="dxa"/>
            <w:tcBorders>
              <w:top w:val="nil"/>
              <w:left w:val="nil"/>
              <w:bottom w:val="single" w:color="auto" w:sz="8" w:space="0"/>
              <w:right w:val="single" w:color="auto" w:sz="4" w:space="0"/>
            </w:tcBorders>
            <w:shd w:val="clear" w:color="auto" w:fill="auto"/>
            <w:vAlign w:val="center"/>
          </w:tcPr>
          <w:p w14:paraId="319DBE47">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（1）</w:t>
            </w:r>
          </w:p>
        </w:tc>
        <w:tc>
          <w:tcPr>
            <w:tcW w:w="1264" w:type="dxa"/>
            <w:tcBorders>
              <w:top w:val="nil"/>
              <w:left w:val="nil"/>
              <w:bottom w:val="single" w:color="auto" w:sz="8" w:space="0"/>
              <w:right w:val="single" w:color="auto" w:sz="4" w:space="0"/>
            </w:tcBorders>
            <w:shd w:val="clear" w:color="auto" w:fill="auto"/>
            <w:vAlign w:val="center"/>
          </w:tcPr>
          <w:p w14:paraId="0C78A97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（2）</w:t>
            </w:r>
          </w:p>
        </w:tc>
        <w:tc>
          <w:tcPr>
            <w:tcW w:w="1243" w:type="dxa"/>
            <w:tcBorders>
              <w:top w:val="nil"/>
              <w:left w:val="nil"/>
              <w:bottom w:val="single" w:color="auto" w:sz="8" w:space="0"/>
              <w:right w:val="single" w:color="auto" w:sz="4" w:space="0"/>
            </w:tcBorders>
            <w:shd w:val="clear" w:color="auto" w:fill="auto"/>
            <w:vAlign w:val="center"/>
          </w:tcPr>
          <w:p w14:paraId="7406BD2D">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（3）</w:t>
            </w:r>
          </w:p>
        </w:tc>
        <w:tc>
          <w:tcPr>
            <w:tcW w:w="2353" w:type="dxa"/>
            <w:tcBorders>
              <w:top w:val="nil"/>
              <w:left w:val="nil"/>
              <w:bottom w:val="single" w:color="auto" w:sz="8" w:space="0"/>
              <w:right w:val="single" w:color="auto" w:sz="4" w:space="0"/>
            </w:tcBorders>
            <w:shd w:val="clear" w:color="auto" w:fill="auto"/>
            <w:vAlign w:val="center"/>
          </w:tcPr>
          <w:p w14:paraId="4C96A70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（4）</w:t>
            </w:r>
          </w:p>
        </w:tc>
        <w:tc>
          <w:tcPr>
            <w:tcW w:w="2556" w:type="dxa"/>
            <w:tcBorders>
              <w:top w:val="nil"/>
              <w:left w:val="nil"/>
              <w:bottom w:val="single" w:color="auto" w:sz="8" w:space="0"/>
              <w:right w:val="single" w:color="auto" w:sz="4" w:space="0"/>
            </w:tcBorders>
            <w:shd w:val="clear" w:color="auto" w:fill="auto"/>
            <w:vAlign w:val="center"/>
          </w:tcPr>
          <w:p w14:paraId="55E059F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（5）=（3）×（4）/1000</w:t>
            </w:r>
          </w:p>
        </w:tc>
        <w:tc>
          <w:tcPr>
            <w:tcW w:w="1667" w:type="dxa"/>
            <w:tcBorders>
              <w:top w:val="nil"/>
              <w:left w:val="nil"/>
              <w:bottom w:val="single" w:color="auto" w:sz="8" w:space="0"/>
              <w:right w:val="single" w:color="auto" w:sz="4" w:space="0"/>
            </w:tcBorders>
            <w:shd w:val="clear" w:color="auto" w:fill="auto"/>
            <w:vAlign w:val="center"/>
          </w:tcPr>
          <w:p w14:paraId="38CF110D">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（6）</w:t>
            </w:r>
          </w:p>
        </w:tc>
        <w:tc>
          <w:tcPr>
            <w:tcW w:w="1650" w:type="dxa"/>
            <w:tcBorders>
              <w:top w:val="nil"/>
              <w:left w:val="single" w:color="auto" w:sz="4" w:space="0"/>
              <w:bottom w:val="single" w:color="auto" w:sz="8" w:space="0"/>
              <w:right w:val="single" w:color="auto" w:sz="8" w:space="0"/>
            </w:tcBorders>
            <w:shd w:val="clear" w:color="auto" w:fill="auto"/>
            <w:vAlign w:val="center"/>
          </w:tcPr>
          <w:p w14:paraId="778B3B25">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（7）</w:t>
            </w:r>
          </w:p>
        </w:tc>
      </w:tr>
      <w:tr w14:paraId="43D1AC04">
        <w:trPr>
          <w:trHeight w:val="488" w:hRule="atLeast"/>
          <w:jc w:val="center"/>
        </w:trPr>
        <w:tc>
          <w:tcPr>
            <w:tcW w:w="710" w:type="dxa"/>
            <w:tcBorders>
              <w:top w:val="single" w:color="auto" w:sz="4" w:space="0"/>
              <w:left w:val="single" w:color="auto" w:sz="8" w:space="0"/>
              <w:bottom w:val="single" w:color="auto" w:sz="4" w:space="0"/>
              <w:right w:val="single" w:color="auto" w:sz="4" w:space="0"/>
            </w:tcBorders>
            <w:shd w:val="clear" w:color="auto" w:fill="auto"/>
            <w:vAlign w:val="center"/>
          </w:tcPr>
          <w:p w14:paraId="310A8A2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3437" w:type="dxa"/>
            <w:tcBorders>
              <w:top w:val="nil"/>
              <w:left w:val="nil"/>
              <w:bottom w:val="single" w:color="auto" w:sz="4" w:space="0"/>
              <w:right w:val="single" w:color="auto" w:sz="4" w:space="0"/>
            </w:tcBorders>
            <w:shd w:val="clear" w:color="auto" w:fill="auto"/>
            <w:vAlign w:val="center"/>
          </w:tcPr>
          <w:p w14:paraId="27323CEC">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64" w:type="dxa"/>
            <w:tcBorders>
              <w:top w:val="nil"/>
              <w:left w:val="nil"/>
              <w:bottom w:val="single" w:color="auto" w:sz="4" w:space="0"/>
              <w:right w:val="single" w:color="auto" w:sz="4" w:space="0"/>
            </w:tcBorders>
            <w:shd w:val="clear" w:color="auto" w:fill="auto"/>
            <w:vAlign w:val="center"/>
          </w:tcPr>
          <w:p w14:paraId="086833B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4" w:space="0"/>
              <w:right w:val="single" w:color="auto" w:sz="4" w:space="0"/>
            </w:tcBorders>
            <w:shd w:val="clear" w:color="auto" w:fill="auto"/>
            <w:vAlign w:val="center"/>
          </w:tcPr>
          <w:p w14:paraId="0FCFD55A">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353" w:type="dxa"/>
            <w:tcBorders>
              <w:top w:val="nil"/>
              <w:left w:val="nil"/>
              <w:bottom w:val="single" w:color="auto" w:sz="4" w:space="0"/>
              <w:right w:val="single" w:color="auto" w:sz="4" w:space="0"/>
            </w:tcBorders>
            <w:shd w:val="clear" w:color="auto" w:fill="auto"/>
            <w:vAlign w:val="center"/>
          </w:tcPr>
          <w:p w14:paraId="3A949D0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556" w:type="dxa"/>
            <w:tcBorders>
              <w:top w:val="nil"/>
              <w:left w:val="nil"/>
              <w:bottom w:val="single" w:color="auto" w:sz="4" w:space="0"/>
              <w:right w:val="single" w:color="auto" w:sz="4" w:space="0"/>
            </w:tcBorders>
            <w:shd w:val="clear" w:color="auto" w:fill="auto"/>
            <w:vAlign w:val="center"/>
          </w:tcPr>
          <w:p w14:paraId="3E18C22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nil"/>
              <w:left w:val="nil"/>
              <w:bottom w:val="single" w:color="auto" w:sz="4" w:space="0"/>
              <w:right w:val="single" w:color="auto" w:sz="4" w:space="0"/>
            </w:tcBorders>
            <w:shd w:val="clear" w:color="auto" w:fill="auto"/>
            <w:vAlign w:val="center"/>
          </w:tcPr>
          <w:p w14:paraId="19DB4D4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nil"/>
              <w:left w:val="single" w:color="auto" w:sz="4" w:space="0"/>
              <w:bottom w:val="single" w:color="auto" w:sz="4" w:space="0"/>
              <w:right w:val="single" w:color="auto" w:sz="8" w:space="0"/>
            </w:tcBorders>
            <w:shd w:val="clear" w:color="auto" w:fill="auto"/>
            <w:vAlign w:val="center"/>
          </w:tcPr>
          <w:p w14:paraId="424C98C2">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r w14:paraId="7C80E89F">
        <w:trPr>
          <w:trHeight w:val="488" w:hRule="atLeast"/>
          <w:jc w:val="center"/>
        </w:trPr>
        <w:tc>
          <w:tcPr>
            <w:tcW w:w="710" w:type="dxa"/>
            <w:tcBorders>
              <w:top w:val="nil"/>
              <w:left w:val="single" w:color="auto" w:sz="8" w:space="0"/>
              <w:bottom w:val="single" w:color="auto" w:sz="4" w:space="0"/>
              <w:right w:val="single" w:color="auto" w:sz="4" w:space="0"/>
            </w:tcBorders>
            <w:shd w:val="clear" w:color="auto" w:fill="auto"/>
            <w:vAlign w:val="center"/>
          </w:tcPr>
          <w:p w14:paraId="0E95A484">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3437" w:type="dxa"/>
            <w:tcBorders>
              <w:top w:val="nil"/>
              <w:left w:val="nil"/>
              <w:bottom w:val="single" w:color="auto" w:sz="4" w:space="0"/>
              <w:right w:val="single" w:color="auto" w:sz="4" w:space="0"/>
            </w:tcBorders>
            <w:shd w:val="clear" w:color="auto" w:fill="auto"/>
            <w:vAlign w:val="center"/>
          </w:tcPr>
          <w:p w14:paraId="7A957CC4">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64" w:type="dxa"/>
            <w:tcBorders>
              <w:top w:val="nil"/>
              <w:left w:val="nil"/>
              <w:bottom w:val="single" w:color="auto" w:sz="4" w:space="0"/>
              <w:right w:val="single" w:color="auto" w:sz="4" w:space="0"/>
            </w:tcBorders>
            <w:shd w:val="clear" w:color="auto" w:fill="auto"/>
            <w:vAlign w:val="center"/>
          </w:tcPr>
          <w:p w14:paraId="4AC8422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4" w:space="0"/>
              <w:right w:val="single" w:color="auto" w:sz="4" w:space="0"/>
            </w:tcBorders>
            <w:shd w:val="clear" w:color="auto" w:fill="auto"/>
            <w:vAlign w:val="center"/>
          </w:tcPr>
          <w:p w14:paraId="31745AD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353" w:type="dxa"/>
            <w:tcBorders>
              <w:top w:val="nil"/>
              <w:left w:val="nil"/>
              <w:bottom w:val="single" w:color="auto" w:sz="4" w:space="0"/>
              <w:right w:val="single" w:color="auto" w:sz="4" w:space="0"/>
            </w:tcBorders>
            <w:shd w:val="clear" w:color="auto" w:fill="auto"/>
            <w:vAlign w:val="center"/>
          </w:tcPr>
          <w:p w14:paraId="7E75345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556" w:type="dxa"/>
            <w:tcBorders>
              <w:top w:val="nil"/>
              <w:left w:val="nil"/>
              <w:bottom w:val="single" w:color="auto" w:sz="4" w:space="0"/>
              <w:right w:val="single" w:color="auto" w:sz="4" w:space="0"/>
            </w:tcBorders>
            <w:shd w:val="clear" w:color="auto" w:fill="auto"/>
            <w:vAlign w:val="center"/>
          </w:tcPr>
          <w:p w14:paraId="663F3ABD">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nil"/>
              <w:left w:val="nil"/>
              <w:bottom w:val="single" w:color="auto" w:sz="4" w:space="0"/>
              <w:right w:val="single" w:color="auto" w:sz="4" w:space="0"/>
            </w:tcBorders>
            <w:shd w:val="clear" w:color="auto" w:fill="auto"/>
            <w:vAlign w:val="center"/>
          </w:tcPr>
          <w:p w14:paraId="6F9FE99B">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nil"/>
              <w:left w:val="single" w:color="auto" w:sz="4" w:space="0"/>
              <w:bottom w:val="single" w:color="auto" w:sz="4" w:space="0"/>
              <w:right w:val="single" w:color="auto" w:sz="8" w:space="0"/>
            </w:tcBorders>
            <w:shd w:val="clear" w:color="auto" w:fill="auto"/>
            <w:vAlign w:val="center"/>
          </w:tcPr>
          <w:p w14:paraId="3DD58E0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r w14:paraId="5AF5BB2F">
        <w:trPr>
          <w:trHeight w:val="488" w:hRule="atLeast"/>
          <w:jc w:val="center"/>
        </w:trPr>
        <w:tc>
          <w:tcPr>
            <w:tcW w:w="710" w:type="dxa"/>
            <w:tcBorders>
              <w:top w:val="nil"/>
              <w:left w:val="single" w:color="auto" w:sz="8" w:space="0"/>
              <w:bottom w:val="single" w:color="auto" w:sz="4" w:space="0"/>
              <w:right w:val="single" w:color="auto" w:sz="4" w:space="0"/>
            </w:tcBorders>
            <w:shd w:val="clear" w:color="auto" w:fill="auto"/>
            <w:vAlign w:val="center"/>
          </w:tcPr>
          <w:p w14:paraId="53D652E4">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3437" w:type="dxa"/>
            <w:tcBorders>
              <w:top w:val="nil"/>
              <w:left w:val="nil"/>
              <w:bottom w:val="single" w:color="auto" w:sz="4" w:space="0"/>
              <w:right w:val="single" w:color="auto" w:sz="4" w:space="0"/>
            </w:tcBorders>
            <w:shd w:val="clear" w:color="auto" w:fill="auto"/>
            <w:vAlign w:val="center"/>
          </w:tcPr>
          <w:p w14:paraId="31A918EC">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64" w:type="dxa"/>
            <w:tcBorders>
              <w:top w:val="nil"/>
              <w:left w:val="nil"/>
              <w:bottom w:val="single" w:color="auto" w:sz="4" w:space="0"/>
              <w:right w:val="single" w:color="auto" w:sz="4" w:space="0"/>
            </w:tcBorders>
            <w:shd w:val="clear" w:color="auto" w:fill="auto"/>
            <w:vAlign w:val="center"/>
          </w:tcPr>
          <w:p w14:paraId="5DFC906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4" w:space="0"/>
              <w:right w:val="single" w:color="auto" w:sz="4" w:space="0"/>
            </w:tcBorders>
            <w:shd w:val="clear" w:color="auto" w:fill="auto"/>
            <w:vAlign w:val="center"/>
          </w:tcPr>
          <w:p w14:paraId="1435219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353" w:type="dxa"/>
            <w:tcBorders>
              <w:top w:val="nil"/>
              <w:left w:val="nil"/>
              <w:bottom w:val="single" w:color="auto" w:sz="4" w:space="0"/>
              <w:right w:val="single" w:color="auto" w:sz="4" w:space="0"/>
            </w:tcBorders>
            <w:shd w:val="clear" w:color="auto" w:fill="auto"/>
            <w:vAlign w:val="center"/>
          </w:tcPr>
          <w:p w14:paraId="26E0EE85">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556" w:type="dxa"/>
            <w:tcBorders>
              <w:top w:val="nil"/>
              <w:left w:val="nil"/>
              <w:bottom w:val="single" w:color="auto" w:sz="4" w:space="0"/>
              <w:right w:val="single" w:color="auto" w:sz="4" w:space="0"/>
            </w:tcBorders>
            <w:shd w:val="clear" w:color="auto" w:fill="auto"/>
            <w:vAlign w:val="center"/>
          </w:tcPr>
          <w:p w14:paraId="18D19356">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nil"/>
              <w:left w:val="nil"/>
              <w:bottom w:val="single" w:color="auto" w:sz="4" w:space="0"/>
              <w:right w:val="single" w:color="auto" w:sz="4" w:space="0"/>
            </w:tcBorders>
            <w:shd w:val="clear" w:color="auto" w:fill="auto"/>
            <w:vAlign w:val="center"/>
          </w:tcPr>
          <w:p w14:paraId="005EA871">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nil"/>
              <w:left w:val="single" w:color="auto" w:sz="4" w:space="0"/>
              <w:bottom w:val="single" w:color="auto" w:sz="4" w:space="0"/>
              <w:right w:val="single" w:color="auto" w:sz="8" w:space="0"/>
            </w:tcBorders>
            <w:shd w:val="clear" w:color="auto" w:fill="auto"/>
            <w:vAlign w:val="center"/>
          </w:tcPr>
          <w:p w14:paraId="44BAAA5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r w14:paraId="70AAA192">
        <w:trPr>
          <w:trHeight w:val="488" w:hRule="atLeast"/>
          <w:jc w:val="center"/>
        </w:trPr>
        <w:tc>
          <w:tcPr>
            <w:tcW w:w="710" w:type="dxa"/>
            <w:tcBorders>
              <w:top w:val="nil"/>
              <w:left w:val="single" w:color="auto" w:sz="8" w:space="0"/>
              <w:bottom w:val="single" w:color="auto" w:sz="4" w:space="0"/>
              <w:right w:val="single" w:color="auto" w:sz="4" w:space="0"/>
            </w:tcBorders>
            <w:shd w:val="clear" w:color="auto" w:fill="auto"/>
            <w:vAlign w:val="center"/>
          </w:tcPr>
          <w:p w14:paraId="4FB9C601">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3437" w:type="dxa"/>
            <w:tcBorders>
              <w:top w:val="nil"/>
              <w:left w:val="nil"/>
              <w:bottom w:val="single" w:color="auto" w:sz="4" w:space="0"/>
              <w:right w:val="single" w:color="auto" w:sz="4" w:space="0"/>
            </w:tcBorders>
            <w:shd w:val="clear" w:color="auto" w:fill="auto"/>
            <w:vAlign w:val="center"/>
          </w:tcPr>
          <w:p w14:paraId="79EF790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64" w:type="dxa"/>
            <w:tcBorders>
              <w:top w:val="nil"/>
              <w:left w:val="nil"/>
              <w:bottom w:val="single" w:color="auto" w:sz="4" w:space="0"/>
              <w:right w:val="single" w:color="auto" w:sz="4" w:space="0"/>
            </w:tcBorders>
            <w:shd w:val="clear" w:color="auto" w:fill="auto"/>
            <w:vAlign w:val="center"/>
          </w:tcPr>
          <w:p w14:paraId="0B61965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4" w:space="0"/>
              <w:right w:val="single" w:color="auto" w:sz="4" w:space="0"/>
            </w:tcBorders>
            <w:shd w:val="clear" w:color="auto" w:fill="auto"/>
            <w:vAlign w:val="center"/>
          </w:tcPr>
          <w:p w14:paraId="6F3F666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353" w:type="dxa"/>
            <w:tcBorders>
              <w:top w:val="nil"/>
              <w:left w:val="nil"/>
              <w:bottom w:val="single" w:color="auto" w:sz="4" w:space="0"/>
              <w:right w:val="single" w:color="auto" w:sz="4" w:space="0"/>
            </w:tcBorders>
            <w:shd w:val="clear" w:color="auto" w:fill="auto"/>
            <w:vAlign w:val="center"/>
          </w:tcPr>
          <w:p w14:paraId="6A5C2B8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556" w:type="dxa"/>
            <w:tcBorders>
              <w:top w:val="nil"/>
              <w:left w:val="nil"/>
              <w:bottom w:val="single" w:color="auto" w:sz="4" w:space="0"/>
              <w:right w:val="single" w:color="auto" w:sz="4" w:space="0"/>
            </w:tcBorders>
            <w:shd w:val="clear" w:color="auto" w:fill="auto"/>
            <w:vAlign w:val="center"/>
          </w:tcPr>
          <w:p w14:paraId="222F77B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nil"/>
              <w:left w:val="nil"/>
              <w:bottom w:val="single" w:color="auto" w:sz="4" w:space="0"/>
              <w:right w:val="single" w:color="auto" w:sz="4" w:space="0"/>
            </w:tcBorders>
            <w:shd w:val="clear" w:color="auto" w:fill="auto"/>
            <w:vAlign w:val="center"/>
          </w:tcPr>
          <w:p w14:paraId="4975D9D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nil"/>
              <w:left w:val="single" w:color="auto" w:sz="4" w:space="0"/>
              <w:bottom w:val="single" w:color="auto" w:sz="4" w:space="0"/>
              <w:right w:val="single" w:color="auto" w:sz="8" w:space="0"/>
            </w:tcBorders>
            <w:shd w:val="clear" w:color="auto" w:fill="auto"/>
            <w:vAlign w:val="center"/>
          </w:tcPr>
          <w:p w14:paraId="26606D1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r w14:paraId="1DE323F7">
        <w:trPr>
          <w:trHeight w:val="488" w:hRule="atLeast"/>
          <w:jc w:val="center"/>
        </w:trPr>
        <w:tc>
          <w:tcPr>
            <w:tcW w:w="9007" w:type="dxa"/>
            <w:gridSpan w:val="5"/>
            <w:tcBorders>
              <w:top w:val="single" w:color="auto" w:sz="8" w:space="0"/>
              <w:left w:val="single" w:color="auto" w:sz="8" w:space="0"/>
              <w:bottom w:val="single" w:color="auto" w:sz="8" w:space="0"/>
              <w:right w:val="single" w:color="auto" w:sz="4" w:space="0"/>
            </w:tcBorders>
            <w:shd w:val="clear" w:color="auto" w:fill="auto"/>
            <w:vAlign w:val="center"/>
          </w:tcPr>
          <w:p w14:paraId="549BAF86">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累计</w:t>
            </w:r>
          </w:p>
        </w:tc>
        <w:tc>
          <w:tcPr>
            <w:tcW w:w="2556" w:type="dxa"/>
            <w:tcBorders>
              <w:top w:val="single" w:color="auto" w:sz="8" w:space="0"/>
              <w:left w:val="nil"/>
              <w:bottom w:val="single" w:color="auto" w:sz="8" w:space="0"/>
              <w:right w:val="single" w:color="auto" w:sz="4" w:space="0"/>
            </w:tcBorders>
            <w:shd w:val="clear" w:color="auto" w:fill="auto"/>
            <w:vAlign w:val="center"/>
          </w:tcPr>
          <w:p w14:paraId="1592AEB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single" w:color="auto" w:sz="8" w:space="0"/>
              <w:left w:val="nil"/>
              <w:bottom w:val="single" w:color="auto" w:sz="8" w:space="0"/>
              <w:right w:val="single" w:color="auto" w:sz="4" w:space="0"/>
            </w:tcBorders>
            <w:shd w:val="clear" w:color="auto" w:fill="auto"/>
            <w:vAlign w:val="center"/>
          </w:tcPr>
          <w:p w14:paraId="1C245415">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single" w:color="auto" w:sz="8" w:space="0"/>
              <w:left w:val="single" w:color="auto" w:sz="4" w:space="0"/>
              <w:bottom w:val="single" w:color="auto" w:sz="8" w:space="0"/>
              <w:right w:val="single" w:color="auto" w:sz="8" w:space="0"/>
            </w:tcBorders>
            <w:shd w:val="clear" w:color="auto" w:fill="auto"/>
            <w:vAlign w:val="center"/>
          </w:tcPr>
          <w:p w14:paraId="18ADF84C">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bl>
    <w:p w14:paraId="2BFADC94">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p>
    <w:p w14:paraId="07E922B0">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r>
        <w:rPr>
          <w:rFonts w:hint="eastAsia" w:cs="Times New Roman"/>
        </w:rPr>
        <w:br w:type="page"/>
      </w:r>
    </w:p>
    <w:p w14:paraId="2A539A5F">
      <w:pPr>
        <w:pageBreakBefore w:val="0"/>
        <w:widowControl w:val="0"/>
        <w:kinsoku/>
        <w:overflowPunct/>
        <w:topLinePunct w:val="0"/>
        <w:autoSpaceDE w:val="0"/>
        <w:autoSpaceDN w:val="0"/>
        <w:bidi w:val="0"/>
        <w:adjustRightInd/>
        <w:spacing w:line="560" w:lineRule="exact"/>
        <w:ind w:left="0" w:firstLine="640" w:firstLineChars="20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附表6 测试化验加工费预算明细表</w:t>
      </w:r>
    </w:p>
    <w:p w14:paraId="5130212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黑体" w:hAnsi="黑体" w:eastAsia="黑体" w:cs="Times New Roman"/>
          <w:sz w:val="21"/>
          <w:szCs w:val="21"/>
          <w:lang w:eastAsia="zh-CN"/>
        </w:rPr>
      </w:pPr>
      <w:r>
        <w:rPr>
          <w:rFonts w:hint="eastAsia" w:ascii="黑体" w:eastAsia="黑体" w:cs="Times New Roman"/>
          <w:sz w:val="21"/>
          <w:szCs w:val="21"/>
        </w:rPr>
        <w:t xml:space="preserve">                                                                                                                     </w:t>
      </w:r>
      <w:r>
        <w:rPr>
          <w:rFonts w:hint="eastAsia" w:ascii="黑体" w:hAnsi="黑体" w:eastAsia="黑体" w:cs="Times New Roman"/>
          <w:sz w:val="21"/>
          <w:szCs w:val="21"/>
          <w:lang w:eastAsia="zh-CN"/>
        </w:rPr>
        <w:t>金额单位：万元</w:t>
      </w:r>
    </w:p>
    <w:tbl>
      <w:tblPr>
        <w:tblStyle w:val="18"/>
        <w:tblW w:w="1419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30" w:type="dxa"/>
          <w:bottom w:w="0" w:type="dxa"/>
          <w:right w:w="30" w:type="dxa"/>
        </w:tblCellMar>
      </w:tblPr>
      <w:tblGrid>
        <w:gridCol w:w="555"/>
        <w:gridCol w:w="4969"/>
        <w:gridCol w:w="1559"/>
        <w:gridCol w:w="1984"/>
        <w:gridCol w:w="1560"/>
        <w:gridCol w:w="1275"/>
        <w:gridCol w:w="1560"/>
        <w:gridCol w:w="731"/>
      </w:tblGrid>
      <w:tr w14:paraId="0990E55E">
        <w:trPr>
          <w:cantSplit/>
          <w:trHeight w:val="558" w:hRule="atLeast"/>
          <w:jc w:val="center"/>
        </w:trPr>
        <w:tc>
          <w:tcPr>
            <w:tcW w:w="14193" w:type="dxa"/>
            <w:gridSpan w:val="8"/>
            <w:vAlign w:val="center"/>
          </w:tcPr>
          <w:p w14:paraId="6AC60B3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1440" w:leftChars="0" w:right="0" w:hanging="1440" w:hangingChars="600"/>
              <w:jc w:val="left"/>
              <w:textAlignment w:val="auto"/>
              <w:rPr>
                <w:rFonts w:hint="eastAsia" w:ascii="仿宋_GB2312" w:hAnsi="仿宋_GB2312" w:eastAsia="仿宋_GB2312" w:cs="仿宋_GB2312"/>
                <w:bCs/>
                <w:color w:val="2D00C7"/>
                <w:sz w:val="24"/>
                <w:szCs w:val="24"/>
              </w:rPr>
            </w:pPr>
            <w:r>
              <w:rPr>
                <w:rFonts w:hint="eastAsia" w:ascii="仿宋_GB2312" w:hAnsi="仿宋_GB2312" w:eastAsia="仿宋_GB2312" w:cs="仿宋_GB2312"/>
                <w:bCs/>
                <w:color w:val="2D00C7"/>
                <w:sz w:val="24"/>
                <w:szCs w:val="24"/>
              </w:rPr>
              <w:t>填表说明：1.量大及价高测试化验加工费，是指项目研究过程中需测试化验加工的数量过多或单位价格较高、总费用在5万元及以上的测试化验加工，需填写明细；</w:t>
            </w:r>
          </w:p>
          <w:p w14:paraId="609C7EBA">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2.资金来源：A.专项经费、B.自筹经费；</w:t>
            </w:r>
          </w:p>
          <w:p w14:paraId="6C247D5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1200" w:firstLineChars="500"/>
              <w:jc w:val="left"/>
              <w:textAlignment w:val="auto"/>
              <w:rPr>
                <w:rFonts w:hint="eastAsia" w:ascii="仿宋_GB2312" w:hAnsi="仿宋_GB2312" w:eastAsia="仿宋_GB2312" w:cs="仿宋_GB2312"/>
                <w:bCs/>
                <w:color w:val="2D00C7"/>
                <w:sz w:val="24"/>
                <w:szCs w:val="24"/>
              </w:rPr>
            </w:pPr>
            <w:r>
              <w:rPr>
                <w:rFonts w:hint="eastAsia" w:ascii="仿宋_GB2312" w:hAnsi="仿宋_GB2312" w:eastAsia="仿宋_GB2312" w:cs="仿宋_GB2312"/>
                <w:color w:val="2D00C7"/>
                <w:sz w:val="24"/>
                <w:szCs w:val="24"/>
              </w:rPr>
              <w:t>3.申请专项经费在20万元及以下时，毋须填写本表。</w:t>
            </w:r>
            <w:r>
              <w:rPr>
                <w:rFonts w:hint="eastAsia" w:ascii="仿宋_GB2312" w:hAnsi="仿宋_GB2312" w:eastAsia="仿宋_GB2312" w:cs="仿宋_GB2312"/>
                <w:bCs/>
                <w:color w:val="2D00C7"/>
                <w:sz w:val="24"/>
                <w:szCs w:val="24"/>
              </w:rPr>
              <w:t xml:space="preserve"> </w:t>
            </w:r>
          </w:p>
          <w:p w14:paraId="18C0606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1200" w:firstLineChars="50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color w:val="2D00C7"/>
                <w:sz w:val="24"/>
                <w:szCs w:val="24"/>
              </w:rPr>
              <w:t>4.测试化验加工单位在填报阶段不需填写，测试化验加工单位的确定依据你单位经费使用管理办法确定。</w:t>
            </w:r>
          </w:p>
        </w:tc>
      </w:tr>
      <w:tr w14:paraId="7B82B0F5">
        <w:trPr>
          <w:cantSplit/>
          <w:trHeight w:val="705" w:hRule="atLeast"/>
          <w:jc w:val="center"/>
        </w:trPr>
        <w:tc>
          <w:tcPr>
            <w:tcW w:w="555" w:type="dxa"/>
            <w:tcBorders>
              <w:bottom w:val="single" w:color="auto" w:sz="6" w:space="0"/>
            </w:tcBorders>
            <w:vAlign w:val="center"/>
          </w:tcPr>
          <w:p w14:paraId="4FF8588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序号</w:t>
            </w:r>
          </w:p>
        </w:tc>
        <w:tc>
          <w:tcPr>
            <w:tcW w:w="4969" w:type="dxa"/>
            <w:tcBorders>
              <w:bottom w:val="single" w:color="auto" w:sz="6" w:space="0"/>
            </w:tcBorders>
            <w:vAlign w:val="center"/>
          </w:tcPr>
          <w:p w14:paraId="2192436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测试化验加工的内容</w:t>
            </w:r>
          </w:p>
        </w:tc>
        <w:tc>
          <w:tcPr>
            <w:tcW w:w="1559" w:type="dxa"/>
            <w:tcBorders>
              <w:bottom w:val="single" w:color="auto" w:sz="6" w:space="0"/>
            </w:tcBorders>
            <w:vAlign w:val="center"/>
          </w:tcPr>
          <w:p w14:paraId="736F78B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计量单位</w:t>
            </w:r>
          </w:p>
        </w:tc>
        <w:tc>
          <w:tcPr>
            <w:tcW w:w="1984" w:type="dxa"/>
            <w:tcBorders>
              <w:bottom w:val="single" w:color="auto" w:sz="6" w:space="0"/>
            </w:tcBorders>
            <w:vAlign w:val="center"/>
          </w:tcPr>
          <w:p w14:paraId="7989E05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单价</w:t>
            </w:r>
          </w:p>
          <w:p w14:paraId="1ADF54C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（元/单位数量）</w:t>
            </w:r>
          </w:p>
        </w:tc>
        <w:tc>
          <w:tcPr>
            <w:tcW w:w="1560" w:type="dxa"/>
            <w:tcBorders>
              <w:bottom w:val="single" w:color="auto" w:sz="6" w:space="0"/>
            </w:tcBorders>
            <w:vAlign w:val="center"/>
          </w:tcPr>
          <w:p w14:paraId="7D7C6F2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数量</w:t>
            </w:r>
          </w:p>
        </w:tc>
        <w:tc>
          <w:tcPr>
            <w:tcW w:w="1275" w:type="dxa"/>
            <w:tcBorders>
              <w:bottom w:val="single" w:color="auto" w:sz="6" w:space="0"/>
            </w:tcBorders>
            <w:vAlign w:val="center"/>
          </w:tcPr>
          <w:p w14:paraId="3F4A65F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金额</w:t>
            </w:r>
          </w:p>
        </w:tc>
        <w:tc>
          <w:tcPr>
            <w:tcW w:w="1560" w:type="dxa"/>
            <w:tcBorders>
              <w:bottom w:val="single" w:color="auto" w:sz="6" w:space="0"/>
              <w:right w:val="single" w:color="auto" w:sz="4" w:space="0"/>
            </w:tcBorders>
            <w:vAlign w:val="center"/>
          </w:tcPr>
          <w:p w14:paraId="6E57A11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资金来源</w:t>
            </w:r>
          </w:p>
        </w:tc>
        <w:tc>
          <w:tcPr>
            <w:tcW w:w="731" w:type="dxa"/>
            <w:tcBorders>
              <w:left w:val="single" w:color="auto" w:sz="4" w:space="0"/>
              <w:bottom w:val="single" w:color="auto" w:sz="6" w:space="0"/>
            </w:tcBorders>
            <w:vAlign w:val="center"/>
          </w:tcPr>
          <w:p w14:paraId="11B5971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计算依据</w:t>
            </w:r>
          </w:p>
        </w:tc>
      </w:tr>
      <w:tr w14:paraId="612EE270">
        <w:trPr>
          <w:cantSplit/>
          <w:trHeight w:val="397" w:hRule="atLeast"/>
          <w:jc w:val="center"/>
        </w:trPr>
        <w:tc>
          <w:tcPr>
            <w:tcW w:w="555" w:type="dxa"/>
            <w:vAlign w:val="center"/>
          </w:tcPr>
          <w:p w14:paraId="686E1DF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4969" w:type="dxa"/>
            <w:vAlign w:val="center"/>
          </w:tcPr>
          <w:p w14:paraId="4236A86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其他测试化验加工费</w:t>
            </w:r>
          </w:p>
        </w:tc>
        <w:tc>
          <w:tcPr>
            <w:tcW w:w="1559" w:type="dxa"/>
            <w:vAlign w:val="center"/>
          </w:tcPr>
          <w:p w14:paraId="2CF6351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439B0E3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4B39A4C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7D892EB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3541880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color w:val="000000"/>
                <w:sz w:val="24"/>
                <w:szCs w:val="24"/>
              </w:rPr>
              <w:t>专项经费</w:t>
            </w:r>
          </w:p>
        </w:tc>
        <w:tc>
          <w:tcPr>
            <w:tcW w:w="731" w:type="dxa"/>
            <w:tcBorders>
              <w:left w:val="single" w:color="auto" w:sz="4" w:space="0"/>
            </w:tcBorders>
            <w:vAlign w:val="center"/>
          </w:tcPr>
          <w:p w14:paraId="40D2101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7F7468FA">
        <w:trPr>
          <w:cantSplit/>
          <w:trHeight w:val="397" w:hRule="atLeast"/>
          <w:jc w:val="center"/>
        </w:trPr>
        <w:tc>
          <w:tcPr>
            <w:tcW w:w="555" w:type="dxa"/>
            <w:vAlign w:val="center"/>
          </w:tcPr>
          <w:p w14:paraId="3255587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4969" w:type="dxa"/>
            <w:vAlign w:val="center"/>
          </w:tcPr>
          <w:p w14:paraId="51BAD7A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其他测试化验加工费</w:t>
            </w:r>
          </w:p>
        </w:tc>
        <w:tc>
          <w:tcPr>
            <w:tcW w:w="1559" w:type="dxa"/>
            <w:vAlign w:val="center"/>
          </w:tcPr>
          <w:p w14:paraId="268EA66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47F4C82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709DA62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65B8911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06C3265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color w:val="000000"/>
                <w:sz w:val="24"/>
                <w:szCs w:val="24"/>
              </w:rPr>
              <w:t>自筹经费</w:t>
            </w:r>
          </w:p>
        </w:tc>
        <w:tc>
          <w:tcPr>
            <w:tcW w:w="731" w:type="dxa"/>
            <w:tcBorders>
              <w:left w:val="single" w:color="auto" w:sz="4" w:space="0"/>
            </w:tcBorders>
            <w:vAlign w:val="center"/>
          </w:tcPr>
          <w:p w14:paraId="6258ABC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1214FD53">
        <w:trPr>
          <w:cantSplit/>
          <w:trHeight w:val="397" w:hRule="atLeast"/>
          <w:jc w:val="center"/>
        </w:trPr>
        <w:tc>
          <w:tcPr>
            <w:tcW w:w="555" w:type="dxa"/>
            <w:vAlign w:val="center"/>
          </w:tcPr>
          <w:p w14:paraId="4FF25F1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lang w:val="en-US" w:eastAsia="zh-CN"/>
              </w:rPr>
            </w:pPr>
            <w:r>
              <w:rPr>
                <w:rFonts w:hint="eastAsia" w:ascii="仿宋_GB2312" w:hAnsi="仿宋_GB2312" w:cs="仿宋_GB2312"/>
                <w:sz w:val="24"/>
                <w:szCs w:val="24"/>
                <w:lang w:val="en-US" w:eastAsia="zh-CN"/>
              </w:rPr>
              <w:t>1</w:t>
            </w:r>
          </w:p>
        </w:tc>
        <w:tc>
          <w:tcPr>
            <w:tcW w:w="4969" w:type="dxa"/>
            <w:vAlign w:val="center"/>
          </w:tcPr>
          <w:p w14:paraId="364F06D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59" w:type="dxa"/>
            <w:vAlign w:val="center"/>
          </w:tcPr>
          <w:p w14:paraId="58F776F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984" w:type="dxa"/>
            <w:vAlign w:val="center"/>
          </w:tcPr>
          <w:p w14:paraId="3CD28B0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vAlign w:val="center"/>
          </w:tcPr>
          <w:p w14:paraId="7A04708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275" w:type="dxa"/>
            <w:vAlign w:val="center"/>
          </w:tcPr>
          <w:p w14:paraId="4B44DD4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1AAD304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000000"/>
                <w:sz w:val="24"/>
                <w:szCs w:val="24"/>
              </w:rPr>
            </w:pPr>
          </w:p>
        </w:tc>
        <w:tc>
          <w:tcPr>
            <w:tcW w:w="731" w:type="dxa"/>
            <w:tcBorders>
              <w:left w:val="single" w:color="auto" w:sz="4" w:space="0"/>
            </w:tcBorders>
            <w:vAlign w:val="center"/>
          </w:tcPr>
          <w:p w14:paraId="39256AD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16005F4B">
        <w:trPr>
          <w:cantSplit/>
          <w:trHeight w:val="397" w:hRule="atLeast"/>
          <w:jc w:val="center"/>
        </w:trPr>
        <w:tc>
          <w:tcPr>
            <w:tcW w:w="555" w:type="dxa"/>
            <w:vAlign w:val="center"/>
          </w:tcPr>
          <w:p w14:paraId="318555C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default" w:ascii="仿宋_GB2312" w:hAnsi="仿宋_GB2312" w:cs="仿宋_GB2312"/>
                <w:sz w:val="24"/>
                <w:szCs w:val="24"/>
                <w:lang w:val="en-US" w:eastAsia="zh-CN"/>
              </w:rPr>
            </w:pPr>
            <w:r>
              <w:rPr>
                <w:rFonts w:hint="eastAsia" w:ascii="仿宋_GB2312" w:hAnsi="仿宋_GB2312" w:cs="仿宋_GB2312"/>
                <w:sz w:val="24"/>
                <w:szCs w:val="24"/>
                <w:lang w:val="en-US" w:eastAsia="zh-CN"/>
              </w:rPr>
              <w:t>2</w:t>
            </w:r>
          </w:p>
        </w:tc>
        <w:tc>
          <w:tcPr>
            <w:tcW w:w="4969" w:type="dxa"/>
            <w:vAlign w:val="center"/>
          </w:tcPr>
          <w:p w14:paraId="24A9733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59" w:type="dxa"/>
            <w:vAlign w:val="center"/>
          </w:tcPr>
          <w:p w14:paraId="6C9F78E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984" w:type="dxa"/>
            <w:vAlign w:val="center"/>
          </w:tcPr>
          <w:p w14:paraId="032E15E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vAlign w:val="center"/>
          </w:tcPr>
          <w:p w14:paraId="1371DA0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275" w:type="dxa"/>
            <w:vAlign w:val="center"/>
          </w:tcPr>
          <w:p w14:paraId="13B67DB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406C496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000000"/>
                <w:sz w:val="24"/>
                <w:szCs w:val="24"/>
              </w:rPr>
            </w:pPr>
          </w:p>
        </w:tc>
        <w:tc>
          <w:tcPr>
            <w:tcW w:w="731" w:type="dxa"/>
            <w:tcBorders>
              <w:left w:val="single" w:color="auto" w:sz="4" w:space="0"/>
            </w:tcBorders>
            <w:vAlign w:val="center"/>
          </w:tcPr>
          <w:p w14:paraId="47B34D6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6A2D1654">
        <w:trPr>
          <w:cantSplit/>
          <w:trHeight w:val="397" w:hRule="atLeast"/>
          <w:jc w:val="center"/>
        </w:trPr>
        <w:tc>
          <w:tcPr>
            <w:tcW w:w="5524" w:type="dxa"/>
            <w:gridSpan w:val="2"/>
            <w:vAlign w:val="center"/>
          </w:tcPr>
          <w:p w14:paraId="7F53259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量大及价高测试化验加工费合计</w:t>
            </w:r>
          </w:p>
        </w:tc>
        <w:tc>
          <w:tcPr>
            <w:tcW w:w="1559" w:type="dxa"/>
            <w:vAlign w:val="center"/>
          </w:tcPr>
          <w:p w14:paraId="065AA8D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15A3C07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7483E06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69D031D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1C2D6A2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731" w:type="dxa"/>
            <w:tcBorders>
              <w:left w:val="single" w:color="auto" w:sz="4" w:space="0"/>
            </w:tcBorders>
            <w:vAlign w:val="center"/>
          </w:tcPr>
          <w:p w14:paraId="7F2FD5A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02B1E003">
        <w:trPr>
          <w:cantSplit/>
          <w:trHeight w:val="397" w:hRule="atLeast"/>
          <w:jc w:val="center"/>
        </w:trPr>
        <w:tc>
          <w:tcPr>
            <w:tcW w:w="5524" w:type="dxa"/>
            <w:gridSpan w:val="2"/>
            <w:vAlign w:val="center"/>
          </w:tcPr>
          <w:p w14:paraId="342F490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其他测试化验加工费</w:t>
            </w:r>
          </w:p>
        </w:tc>
        <w:tc>
          <w:tcPr>
            <w:tcW w:w="1559" w:type="dxa"/>
            <w:vAlign w:val="center"/>
          </w:tcPr>
          <w:p w14:paraId="539EF32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5C4C2DA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42019C0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079FF7D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7DCD20C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731" w:type="dxa"/>
            <w:tcBorders>
              <w:left w:val="single" w:color="auto" w:sz="4" w:space="0"/>
            </w:tcBorders>
            <w:vAlign w:val="center"/>
          </w:tcPr>
          <w:p w14:paraId="7FF1D27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1C04A233">
        <w:trPr>
          <w:cantSplit/>
          <w:trHeight w:val="397" w:hRule="atLeast"/>
          <w:jc w:val="center"/>
        </w:trPr>
        <w:tc>
          <w:tcPr>
            <w:tcW w:w="5524" w:type="dxa"/>
            <w:gridSpan w:val="2"/>
            <w:vAlign w:val="center"/>
          </w:tcPr>
          <w:p w14:paraId="75DC012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累计</w:t>
            </w:r>
          </w:p>
        </w:tc>
        <w:tc>
          <w:tcPr>
            <w:tcW w:w="1559" w:type="dxa"/>
            <w:vAlign w:val="center"/>
          </w:tcPr>
          <w:p w14:paraId="5404B8E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7CE9021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34B1514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40EB7F5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tcPr>
          <w:p w14:paraId="6480ABC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731" w:type="dxa"/>
            <w:tcBorders>
              <w:left w:val="single" w:color="auto" w:sz="4" w:space="0"/>
            </w:tcBorders>
          </w:tcPr>
          <w:p w14:paraId="062DBCD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bl>
    <w:p w14:paraId="7D716171">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黑体" w:eastAsia="黑体" w:cs="Times New Roman"/>
          <w:b/>
        </w:rPr>
      </w:pPr>
      <w:r>
        <w:rPr>
          <w:rFonts w:hint="eastAsia" w:ascii="黑体" w:eastAsia="黑体" w:cs="Times New Roman"/>
          <w:b/>
        </w:rPr>
        <w:br w:type="page"/>
      </w:r>
    </w:p>
    <w:p w14:paraId="24F981EE">
      <w:pPr>
        <w:pageBreakBefore w:val="0"/>
        <w:widowControl w:val="0"/>
        <w:kinsoku/>
        <w:overflowPunct/>
        <w:topLinePunct w:val="0"/>
        <w:autoSpaceDE w:val="0"/>
        <w:autoSpaceDN w:val="0"/>
        <w:bidi w:val="0"/>
        <w:adjustRightInd/>
        <w:spacing w:line="560" w:lineRule="exact"/>
        <w:ind w:left="0" w:firstLine="640" w:firstLineChars="20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附表7 劳务费预算明细表</w:t>
      </w:r>
    </w:p>
    <w:tbl>
      <w:tblPr>
        <w:tblStyle w:val="18"/>
        <w:tblW w:w="5002" w:type="pct"/>
        <w:jc w:val="center"/>
        <w:tblLayout w:type="autofit"/>
        <w:tblCellMar>
          <w:top w:w="0" w:type="dxa"/>
          <w:left w:w="108" w:type="dxa"/>
          <w:bottom w:w="0" w:type="dxa"/>
          <w:right w:w="108" w:type="dxa"/>
        </w:tblCellMar>
      </w:tblPr>
      <w:tblGrid>
        <w:gridCol w:w="1396"/>
        <w:gridCol w:w="736"/>
        <w:gridCol w:w="3"/>
        <w:gridCol w:w="738"/>
        <w:gridCol w:w="3"/>
        <w:gridCol w:w="357"/>
        <w:gridCol w:w="475"/>
        <w:gridCol w:w="3"/>
        <w:gridCol w:w="410"/>
        <w:gridCol w:w="337"/>
        <w:gridCol w:w="254"/>
        <w:gridCol w:w="578"/>
        <w:gridCol w:w="188"/>
        <w:gridCol w:w="811"/>
        <w:gridCol w:w="489"/>
        <w:gridCol w:w="378"/>
        <w:gridCol w:w="489"/>
        <w:gridCol w:w="613"/>
        <w:gridCol w:w="3"/>
        <w:gridCol w:w="490"/>
        <w:gridCol w:w="508"/>
        <w:gridCol w:w="3"/>
        <w:gridCol w:w="490"/>
        <w:gridCol w:w="852"/>
        <w:gridCol w:w="3"/>
        <w:gridCol w:w="490"/>
        <w:gridCol w:w="671"/>
        <w:gridCol w:w="579"/>
        <w:gridCol w:w="726"/>
        <w:gridCol w:w="1265"/>
      </w:tblGrid>
      <w:tr w14:paraId="4CFC5337">
        <w:trPr>
          <w:trHeight w:val="300" w:hRule="atLeast"/>
          <w:jc w:val="center"/>
        </w:trPr>
        <w:tc>
          <w:tcPr>
            <w:tcW w:w="1128" w:type="pct"/>
            <w:gridSpan w:val="6"/>
            <w:tcBorders>
              <w:top w:val="nil"/>
              <w:left w:val="nil"/>
              <w:bottom w:val="single" w:color="auto" w:sz="8" w:space="0"/>
              <w:right w:val="nil"/>
            </w:tcBorders>
            <w:shd w:val="clear" w:color="auto" w:fill="auto"/>
            <w:noWrap/>
            <w:vAlign w:val="center"/>
          </w:tcPr>
          <w:p w14:paraId="6052A5B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8" w:type="pct"/>
            <w:gridSpan w:val="3"/>
            <w:tcBorders>
              <w:top w:val="nil"/>
              <w:left w:val="nil"/>
              <w:bottom w:val="single" w:color="auto" w:sz="8" w:space="0"/>
              <w:right w:val="nil"/>
            </w:tcBorders>
            <w:shd w:val="clear" w:color="auto" w:fill="auto"/>
            <w:noWrap/>
            <w:vAlign w:val="center"/>
          </w:tcPr>
          <w:p w14:paraId="3873CC4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05" w:type="pct"/>
            <w:gridSpan w:val="2"/>
            <w:tcBorders>
              <w:top w:val="nil"/>
              <w:left w:val="nil"/>
              <w:bottom w:val="single" w:color="auto" w:sz="8" w:space="0"/>
              <w:right w:val="nil"/>
            </w:tcBorders>
            <w:shd w:val="clear" w:color="auto" w:fill="auto"/>
            <w:noWrap/>
            <w:vAlign w:val="center"/>
          </w:tcPr>
          <w:p w14:paraId="0DBEE75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68" w:type="pct"/>
            <w:gridSpan w:val="2"/>
            <w:tcBorders>
              <w:top w:val="nil"/>
              <w:left w:val="nil"/>
              <w:bottom w:val="single" w:color="auto" w:sz="8" w:space="0"/>
              <w:right w:val="nil"/>
            </w:tcBorders>
            <w:shd w:val="clear" w:color="auto" w:fill="auto"/>
            <w:noWrap/>
            <w:vAlign w:val="center"/>
          </w:tcPr>
          <w:p w14:paraId="64EC03A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4" w:type="pct"/>
            <w:gridSpan w:val="2"/>
            <w:tcBorders>
              <w:top w:val="nil"/>
              <w:left w:val="nil"/>
              <w:bottom w:val="single" w:color="auto" w:sz="8" w:space="0"/>
              <w:right w:val="nil"/>
            </w:tcBorders>
            <w:shd w:val="clear" w:color="auto" w:fill="auto"/>
            <w:noWrap/>
            <w:vAlign w:val="center"/>
          </w:tcPr>
          <w:p w14:paraId="754A7C3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8" w:space="0"/>
              <w:right w:val="nil"/>
            </w:tcBorders>
            <w:shd w:val="clear" w:color="auto" w:fill="auto"/>
            <w:noWrap/>
            <w:vAlign w:val="center"/>
          </w:tcPr>
          <w:p w14:paraId="0482C2B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6" w:type="pct"/>
            <w:gridSpan w:val="3"/>
            <w:tcBorders>
              <w:top w:val="nil"/>
              <w:left w:val="nil"/>
              <w:bottom w:val="single" w:color="auto" w:sz="8" w:space="0"/>
              <w:right w:val="nil"/>
            </w:tcBorders>
            <w:shd w:val="clear" w:color="auto" w:fill="auto"/>
            <w:noWrap/>
            <w:vAlign w:val="center"/>
          </w:tcPr>
          <w:p w14:paraId="0321EC0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8" w:space="0"/>
              <w:right w:val="nil"/>
            </w:tcBorders>
            <w:shd w:val="clear" w:color="auto" w:fill="auto"/>
            <w:noWrap/>
            <w:vAlign w:val="center"/>
          </w:tcPr>
          <w:p w14:paraId="114A37F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8" w:space="0"/>
              <w:right w:val="nil"/>
            </w:tcBorders>
            <w:shd w:val="clear" w:color="auto" w:fill="auto"/>
            <w:noWrap/>
            <w:vAlign w:val="center"/>
          </w:tcPr>
          <w:p w14:paraId="27101E7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32" w:type="pct"/>
            <w:gridSpan w:val="2"/>
            <w:tcBorders>
              <w:top w:val="nil"/>
              <w:left w:val="nil"/>
              <w:bottom w:val="single" w:color="auto" w:sz="8" w:space="0"/>
              <w:right w:val="nil"/>
            </w:tcBorders>
            <w:shd w:val="clear" w:color="auto" w:fill="auto"/>
            <w:noWrap/>
            <w:vAlign w:val="center"/>
          </w:tcPr>
          <w:p w14:paraId="515ADB6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695" w:type="pct"/>
            <w:gridSpan w:val="2"/>
            <w:tcBorders>
              <w:top w:val="nil"/>
              <w:left w:val="nil"/>
              <w:bottom w:val="single" w:color="auto" w:sz="8" w:space="0"/>
              <w:right w:val="nil"/>
            </w:tcBorders>
            <w:shd w:val="clear" w:color="auto" w:fill="auto"/>
            <w:noWrap/>
            <w:vAlign w:val="center"/>
          </w:tcPr>
          <w:p w14:paraId="2C87AD38">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1"/>
                <w:szCs w:val="21"/>
                <w:lang w:eastAsia="zh-CN"/>
              </w:rPr>
            </w:pPr>
            <w:r>
              <w:rPr>
                <w:rFonts w:hint="eastAsia" w:ascii="仿宋_GB2312" w:hAnsi="仿宋_GB2312" w:cs="仿宋_GB2312"/>
                <w:sz w:val="21"/>
                <w:szCs w:val="21"/>
                <w:lang w:eastAsia="zh-CN"/>
              </w:rPr>
              <w:t>金额单位：万元</w:t>
            </w:r>
          </w:p>
        </w:tc>
      </w:tr>
      <w:tr w14:paraId="63D299A7">
        <w:trPr>
          <w:trHeight w:val="600" w:hRule="atLeast"/>
          <w:jc w:val="center"/>
        </w:trPr>
        <w:tc>
          <w:tcPr>
            <w:tcW w:w="5000" w:type="pct"/>
            <w:gridSpan w:val="30"/>
            <w:tcBorders>
              <w:top w:val="single" w:color="auto" w:sz="8" w:space="0"/>
              <w:left w:val="single" w:color="auto" w:sz="8" w:space="0"/>
              <w:bottom w:val="single" w:color="auto" w:sz="8" w:space="0"/>
              <w:right w:val="single" w:color="auto" w:sz="8" w:space="0"/>
            </w:tcBorders>
            <w:shd w:val="clear" w:color="auto" w:fill="auto"/>
            <w:vAlign w:val="center"/>
          </w:tcPr>
          <w:p w14:paraId="7FF36EA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color w:val="2D00C7"/>
                <w:kern w:val="0"/>
                <w:sz w:val="21"/>
                <w:szCs w:val="21"/>
              </w:rPr>
            </w:pPr>
            <w:r>
              <w:rPr>
                <w:rFonts w:hint="eastAsia" w:ascii="仿宋_GB2312" w:hAnsi="仿宋_GB2312" w:eastAsia="仿宋_GB2312" w:cs="仿宋_GB2312"/>
                <w:color w:val="2D00C7"/>
                <w:kern w:val="0"/>
                <w:sz w:val="21"/>
                <w:szCs w:val="21"/>
              </w:rPr>
              <w:t>填表说明：1.证件类别为：身份证、港澳台通行证及护照；身份证号码为15位</w:t>
            </w:r>
            <w:r>
              <w:rPr>
                <w:rFonts w:hint="eastAsia" w:ascii="仿宋_GB2312" w:hAnsi="仿宋_GB2312" w:cs="仿宋_GB2312"/>
                <w:color w:val="2D00C7"/>
                <w:kern w:val="0"/>
                <w:sz w:val="21"/>
                <w:szCs w:val="21"/>
                <w:lang w:eastAsia="zh-CN"/>
              </w:rPr>
              <w:t>或</w:t>
            </w:r>
            <w:r>
              <w:rPr>
                <w:rFonts w:hint="eastAsia" w:ascii="仿宋_GB2312" w:hAnsi="仿宋_GB2312" w:eastAsia="仿宋_GB2312" w:cs="仿宋_GB2312"/>
                <w:color w:val="2D00C7"/>
                <w:kern w:val="0"/>
                <w:sz w:val="21"/>
                <w:szCs w:val="21"/>
              </w:rPr>
              <w:t>18位；</w:t>
            </w:r>
          </w:p>
          <w:p w14:paraId="07B4A1CC">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right="0" w:firstLine="1050" w:firstLineChars="500"/>
              <w:jc w:val="left"/>
              <w:textAlignment w:val="auto"/>
              <w:rPr>
                <w:rFonts w:hint="eastAsia" w:ascii="仿宋_GB2312" w:hAnsi="仿宋_GB2312" w:eastAsia="仿宋_GB2312" w:cs="仿宋_GB2312"/>
                <w:color w:val="2D00C7"/>
                <w:kern w:val="0"/>
                <w:sz w:val="21"/>
                <w:szCs w:val="21"/>
              </w:rPr>
            </w:pPr>
            <w:r>
              <w:rPr>
                <w:rFonts w:hint="eastAsia" w:ascii="仿宋_GB2312" w:hAnsi="仿宋_GB2312" w:eastAsia="仿宋_GB2312" w:cs="仿宋_GB2312"/>
                <w:color w:val="2D00C7"/>
                <w:kern w:val="0"/>
                <w:sz w:val="21"/>
                <w:szCs w:val="21"/>
              </w:rPr>
              <w:t>2.性别：若证件类别为“身份证”，则自动获取，其他类别需要填写；</w:t>
            </w:r>
          </w:p>
          <w:p w14:paraId="71989FB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right="0" w:firstLine="1050" w:firstLineChars="500"/>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color w:val="2D00C7"/>
                <w:kern w:val="0"/>
                <w:sz w:val="21"/>
                <w:szCs w:val="21"/>
              </w:rPr>
              <w:t>3.出生日期：年-月-日，例如：1962-01-01；若证件类别为“身份证”，则自动获取，其他类别需要填写出生日期。</w:t>
            </w:r>
          </w:p>
        </w:tc>
      </w:tr>
      <w:tr w14:paraId="2A21998A">
        <w:trPr>
          <w:trHeight w:val="1548" w:hRule="atLeast"/>
          <w:jc w:val="center"/>
        </w:trPr>
        <w:tc>
          <w:tcPr>
            <w:tcW w:w="487" w:type="pct"/>
            <w:tcBorders>
              <w:top w:val="single" w:color="auto" w:sz="8" w:space="0"/>
              <w:left w:val="single" w:color="auto" w:sz="8" w:space="0"/>
              <w:bottom w:val="single" w:color="000000" w:sz="8" w:space="0"/>
              <w:right w:val="single" w:color="auto" w:sz="4" w:space="0"/>
            </w:tcBorders>
            <w:shd w:val="clear" w:color="auto" w:fill="auto"/>
            <w:vAlign w:val="center"/>
          </w:tcPr>
          <w:p w14:paraId="4373DCB2">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c>
          <w:tcPr>
            <w:tcW w:w="258" w:type="pct"/>
            <w:gridSpan w:val="2"/>
            <w:tcBorders>
              <w:top w:val="single" w:color="auto" w:sz="8" w:space="0"/>
              <w:left w:val="nil"/>
              <w:bottom w:val="single" w:color="auto" w:sz="4" w:space="0"/>
              <w:right w:val="single" w:color="auto" w:sz="4" w:space="0"/>
            </w:tcBorders>
            <w:shd w:val="clear" w:color="auto" w:fill="auto"/>
            <w:vAlign w:val="center"/>
          </w:tcPr>
          <w:p w14:paraId="783F0731">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姓名</w:t>
            </w:r>
          </w:p>
        </w:tc>
        <w:tc>
          <w:tcPr>
            <w:tcW w:w="258" w:type="pct"/>
            <w:gridSpan w:val="2"/>
            <w:tcBorders>
              <w:top w:val="single" w:color="auto" w:sz="8" w:space="0"/>
              <w:left w:val="nil"/>
              <w:bottom w:val="single" w:color="auto" w:sz="4" w:space="0"/>
              <w:right w:val="single" w:color="auto" w:sz="4" w:space="0"/>
            </w:tcBorders>
            <w:shd w:val="clear" w:color="auto" w:fill="auto"/>
            <w:vAlign w:val="center"/>
          </w:tcPr>
          <w:p w14:paraId="37EC0740">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证件类别</w:t>
            </w:r>
          </w:p>
        </w:tc>
        <w:tc>
          <w:tcPr>
            <w:tcW w:w="291" w:type="pct"/>
            <w:gridSpan w:val="2"/>
            <w:tcBorders>
              <w:top w:val="single" w:color="auto" w:sz="8" w:space="0"/>
              <w:left w:val="nil"/>
              <w:bottom w:val="single" w:color="auto" w:sz="4" w:space="0"/>
              <w:right w:val="single" w:color="auto" w:sz="4" w:space="0"/>
            </w:tcBorders>
            <w:shd w:val="clear" w:color="auto" w:fill="auto"/>
            <w:vAlign w:val="center"/>
          </w:tcPr>
          <w:p w14:paraId="56671F51">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证件号码</w:t>
            </w:r>
          </w:p>
        </w:tc>
        <w:tc>
          <w:tcPr>
            <w:tcW w:w="258" w:type="pct"/>
            <w:gridSpan w:val="3"/>
            <w:tcBorders>
              <w:top w:val="single" w:color="auto" w:sz="8" w:space="0"/>
              <w:left w:val="nil"/>
              <w:bottom w:val="single" w:color="auto" w:sz="4" w:space="0"/>
              <w:right w:val="single" w:color="auto" w:sz="4" w:space="0"/>
            </w:tcBorders>
            <w:shd w:val="clear" w:color="auto" w:fill="auto"/>
            <w:vAlign w:val="center"/>
          </w:tcPr>
          <w:p w14:paraId="615C6B7C">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性别</w:t>
            </w:r>
          </w:p>
        </w:tc>
        <w:tc>
          <w:tcPr>
            <w:tcW w:w="291" w:type="pct"/>
            <w:gridSpan w:val="2"/>
            <w:tcBorders>
              <w:top w:val="single" w:color="auto" w:sz="8" w:space="0"/>
              <w:left w:val="nil"/>
              <w:bottom w:val="single" w:color="auto" w:sz="4" w:space="0"/>
              <w:right w:val="single" w:color="auto" w:sz="4" w:space="0"/>
            </w:tcBorders>
            <w:shd w:val="clear" w:color="auto" w:fill="auto"/>
            <w:vAlign w:val="center"/>
          </w:tcPr>
          <w:p w14:paraId="326335B5">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出生日期</w:t>
            </w:r>
          </w:p>
        </w:tc>
        <w:tc>
          <w:tcPr>
            <w:tcW w:w="349" w:type="pct"/>
            <w:gridSpan w:val="2"/>
            <w:tcBorders>
              <w:top w:val="single" w:color="auto" w:sz="8" w:space="0"/>
              <w:left w:val="nil"/>
              <w:bottom w:val="single" w:color="auto" w:sz="4" w:space="0"/>
              <w:right w:val="single" w:color="auto" w:sz="4" w:space="0"/>
            </w:tcBorders>
            <w:shd w:val="clear" w:color="auto" w:fill="auto"/>
            <w:vAlign w:val="center"/>
          </w:tcPr>
          <w:p w14:paraId="55CFA5E0">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现工作单位</w:t>
            </w:r>
          </w:p>
        </w:tc>
        <w:tc>
          <w:tcPr>
            <w:tcW w:w="303" w:type="pct"/>
            <w:gridSpan w:val="2"/>
            <w:tcBorders>
              <w:top w:val="single" w:color="auto" w:sz="8" w:space="0"/>
              <w:left w:val="nil"/>
              <w:bottom w:val="single" w:color="auto" w:sz="4" w:space="0"/>
              <w:right w:val="single" w:color="auto" w:sz="4" w:space="0"/>
            </w:tcBorders>
            <w:shd w:val="clear" w:color="auto" w:fill="auto"/>
            <w:vAlign w:val="center"/>
          </w:tcPr>
          <w:p w14:paraId="31410196">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现专业技术职务</w:t>
            </w:r>
          </w:p>
        </w:tc>
        <w:tc>
          <w:tcPr>
            <w:tcW w:w="385" w:type="pct"/>
            <w:gridSpan w:val="2"/>
            <w:tcBorders>
              <w:top w:val="single" w:color="auto" w:sz="8" w:space="0"/>
              <w:left w:val="nil"/>
              <w:bottom w:val="single" w:color="auto" w:sz="4" w:space="0"/>
              <w:right w:val="single" w:color="auto" w:sz="4" w:space="0"/>
            </w:tcBorders>
            <w:shd w:val="clear" w:color="auto" w:fill="auto"/>
            <w:vAlign w:val="center"/>
          </w:tcPr>
          <w:p w14:paraId="0D7F987E">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目前</w:t>
            </w:r>
            <w:r>
              <w:rPr>
                <w:rFonts w:hint="eastAsia" w:ascii="仿宋_GB2312" w:hAnsi="仿宋_GB2312" w:cs="仿宋_GB2312"/>
                <w:kern w:val="0"/>
                <w:sz w:val="21"/>
                <w:szCs w:val="21"/>
                <w:lang w:eastAsia="zh-CN"/>
              </w:rPr>
              <w:t>参加其他</w:t>
            </w:r>
            <w:r>
              <w:rPr>
                <w:rFonts w:hint="eastAsia" w:ascii="仿宋_GB2312" w:hAnsi="仿宋_GB2312" w:eastAsia="仿宋_GB2312" w:cs="仿宋_GB2312"/>
                <w:kern w:val="0"/>
                <w:sz w:val="21"/>
                <w:szCs w:val="21"/>
              </w:rPr>
              <w:t>项目数/时间</w:t>
            </w:r>
          </w:p>
        </w:tc>
        <w:tc>
          <w:tcPr>
            <w:tcW w:w="349" w:type="pct"/>
            <w:gridSpan w:val="3"/>
            <w:tcBorders>
              <w:top w:val="single" w:color="auto" w:sz="8" w:space="0"/>
              <w:left w:val="nil"/>
              <w:bottom w:val="single" w:color="auto" w:sz="4" w:space="0"/>
              <w:right w:val="single" w:color="auto" w:sz="4" w:space="0"/>
            </w:tcBorders>
            <w:shd w:val="clear" w:color="auto" w:fill="auto"/>
            <w:vAlign w:val="center"/>
          </w:tcPr>
          <w:p w14:paraId="404F7EF5">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在本项目中的责任分工</w:t>
            </w:r>
          </w:p>
        </w:tc>
        <w:tc>
          <w:tcPr>
            <w:tcW w:w="469" w:type="pct"/>
            <w:gridSpan w:val="3"/>
            <w:tcBorders>
              <w:top w:val="single" w:color="auto" w:sz="8" w:space="0"/>
              <w:left w:val="nil"/>
              <w:bottom w:val="single" w:color="auto" w:sz="4" w:space="0"/>
              <w:right w:val="single" w:color="auto" w:sz="4" w:space="0"/>
            </w:tcBorders>
            <w:shd w:val="clear" w:color="auto" w:fill="auto"/>
            <w:vAlign w:val="center"/>
          </w:tcPr>
          <w:p w14:paraId="1C801DC5">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投入本项目的计划全时工作时间（人月）</w:t>
            </w:r>
          </w:p>
        </w:tc>
        <w:tc>
          <w:tcPr>
            <w:tcW w:w="402" w:type="pct"/>
            <w:gridSpan w:val="3"/>
            <w:tcBorders>
              <w:top w:val="single" w:color="auto" w:sz="8" w:space="0"/>
              <w:left w:val="nil"/>
              <w:bottom w:val="single" w:color="auto" w:sz="4" w:space="0"/>
              <w:right w:val="single" w:color="auto" w:sz="4" w:space="0"/>
            </w:tcBorders>
            <w:shd w:val="clear" w:color="auto" w:fill="auto"/>
            <w:vAlign w:val="center"/>
          </w:tcPr>
          <w:p w14:paraId="3B009695">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平均资助标准（元/人月）</w:t>
            </w:r>
          </w:p>
        </w:tc>
        <w:tc>
          <w:tcPr>
            <w:tcW w:w="455" w:type="pct"/>
            <w:gridSpan w:val="2"/>
            <w:tcBorders>
              <w:top w:val="single" w:color="auto" w:sz="8" w:space="0"/>
              <w:left w:val="nil"/>
              <w:bottom w:val="single" w:color="auto" w:sz="4" w:space="0"/>
              <w:right w:val="single" w:color="auto" w:sz="4" w:space="0"/>
            </w:tcBorders>
            <w:shd w:val="clear" w:color="auto" w:fill="auto"/>
            <w:vAlign w:val="center"/>
          </w:tcPr>
          <w:p w14:paraId="702C6692">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申请专项经费资助额</w:t>
            </w:r>
          </w:p>
        </w:tc>
        <w:tc>
          <w:tcPr>
            <w:tcW w:w="440" w:type="pct"/>
            <w:vMerge w:val="restart"/>
            <w:tcBorders>
              <w:top w:val="single" w:color="auto" w:sz="8" w:space="0"/>
              <w:left w:val="single" w:color="auto" w:sz="8" w:space="0"/>
              <w:right w:val="single" w:color="auto" w:sz="8" w:space="0"/>
            </w:tcBorders>
            <w:shd w:val="clear" w:color="auto" w:fill="auto"/>
            <w:vAlign w:val="center"/>
          </w:tcPr>
          <w:p w14:paraId="4636EEE1">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签章</w:t>
            </w:r>
          </w:p>
        </w:tc>
      </w:tr>
      <w:tr w14:paraId="540BBC1D">
        <w:trPr>
          <w:trHeight w:val="480" w:hRule="atLeast"/>
          <w:jc w:val="center"/>
        </w:trPr>
        <w:tc>
          <w:tcPr>
            <w:tcW w:w="487" w:type="pct"/>
            <w:tcBorders>
              <w:top w:val="nil"/>
              <w:left w:val="single" w:color="auto" w:sz="8" w:space="0"/>
              <w:bottom w:val="single" w:color="000000" w:sz="8" w:space="0"/>
              <w:right w:val="single" w:color="auto" w:sz="4" w:space="0"/>
            </w:tcBorders>
            <w:shd w:val="clear" w:color="auto" w:fill="auto"/>
            <w:vAlign w:val="center"/>
          </w:tcPr>
          <w:p w14:paraId="649CF2D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8" w:space="0"/>
              <w:right w:val="single" w:color="auto" w:sz="4" w:space="0"/>
            </w:tcBorders>
            <w:shd w:val="clear" w:color="auto" w:fill="auto"/>
            <w:vAlign w:val="center"/>
          </w:tcPr>
          <w:p w14:paraId="38DF21F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258" w:type="pct"/>
            <w:gridSpan w:val="2"/>
            <w:tcBorders>
              <w:top w:val="nil"/>
              <w:left w:val="nil"/>
              <w:bottom w:val="single" w:color="auto" w:sz="8" w:space="0"/>
              <w:right w:val="single" w:color="auto" w:sz="4" w:space="0"/>
            </w:tcBorders>
            <w:shd w:val="clear" w:color="auto" w:fill="auto"/>
            <w:vAlign w:val="center"/>
          </w:tcPr>
          <w:p w14:paraId="4543EF2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291" w:type="pct"/>
            <w:gridSpan w:val="2"/>
            <w:tcBorders>
              <w:top w:val="nil"/>
              <w:left w:val="nil"/>
              <w:bottom w:val="single" w:color="auto" w:sz="8" w:space="0"/>
              <w:right w:val="single" w:color="auto" w:sz="4" w:space="0"/>
            </w:tcBorders>
            <w:shd w:val="clear" w:color="auto" w:fill="auto"/>
            <w:vAlign w:val="center"/>
          </w:tcPr>
          <w:p w14:paraId="4505C58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258" w:type="pct"/>
            <w:gridSpan w:val="3"/>
            <w:tcBorders>
              <w:top w:val="nil"/>
              <w:left w:val="nil"/>
              <w:bottom w:val="single" w:color="auto" w:sz="8" w:space="0"/>
              <w:right w:val="single" w:color="auto" w:sz="4" w:space="0"/>
            </w:tcBorders>
            <w:shd w:val="clear" w:color="auto" w:fill="auto"/>
            <w:vAlign w:val="center"/>
          </w:tcPr>
          <w:p w14:paraId="3A6A72A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c>
          <w:tcPr>
            <w:tcW w:w="291" w:type="pct"/>
            <w:gridSpan w:val="2"/>
            <w:tcBorders>
              <w:top w:val="nil"/>
              <w:left w:val="nil"/>
              <w:bottom w:val="single" w:color="auto" w:sz="8" w:space="0"/>
              <w:right w:val="single" w:color="auto" w:sz="4" w:space="0"/>
            </w:tcBorders>
            <w:shd w:val="clear" w:color="auto" w:fill="auto"/>
            <w:vAlign w:val="center"/>
          </w:tcPr>
          <w:p w14:paraId="40AD90C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w:t>
            </w:r>
          </w:p>
        </w:tc>
        <w:tc>
          <w:tcPr>
            <w:tcW w:w="349" w:type="pct"/>
            <w:gridSpan w:val="2"/>
            <w:tcBorders>
              <w:top w:val="nil"/>
              <w:left w:val="nil"/>
              <w:bottom w:val="single" w:color="auto" w:sz="8" w:space="0"/>
              <w:right w:val="single" w:color="auto" w:sz="4" w:space="0"/>
            </w:tcBorders>
            <w:shd w:val="clear" w:color="auto" w:fill="auto"/>
            <w:vAlign w:val="center"/>
          </w:tcPr>
          <w:p w14:paraId="63F6C60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w:t>
            </w:r>
          </w:p>
        </w:tc>
        <w:tc>
          <w:tcPr>
            <w:tcW w:w="303" w:type="pct"/>
            <w:gridSpan w:val="2"/>
            <w:tcBorders>
              <w:top w:val="nil"/>
              <w:left w:val="nil"/>
              <w:bottom w:val="single" w:color="auto" w:sz="8" w:space="0"/>
              <w:right w:val="single" w:color="auto" w:sz="4" w:space="0"/>
            </w:tcBorders>
            <w:shd w:val="clear" w:color="auto" w:fill="auto"/>
            <w:vAlign w:val="center"/>
          </w:tcPr>
          <w:p w14:paraId="3759FC4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w:t>
            </w:r>
          </w:p>
        </w:tc>
        <w:tc>
          <w:tcPr>
            <w:tcW w:w="385" w:type="pct"/>
            <w:gridSpan w:val="2"/>
            <w:tcBorders>
              <w:top w:val="nil"/>
              <w:left w:val="nil"/>
              <w:bottom w:val="single" w:color="auto" w:sz="8" w:space="0"/>
              <w:right w:val="single" w:color="auto" w:sz="4" w:space="0"/>
            </w:tcBorders>
            <w:shd w:val="clear" w:color="auto" w:fill="auto"/>
            <w:vAlign w:val="center"/>
          </w:tcPr>
          <w:p w14:paraId="5980B26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（8）</w:t>
            </w:r>
          </w:p>
        </w:tc>
        <w:tc>
          <w:tcPr>
            <w:tcW w:w="349" w:type="pct"/>
            <w:gridSpan w:val="3"/>
            <w:tcBorders>
              <w:top w:val="nil"/>
              <w:left w:val="nil"/>
              <w:bottom w:val="single" w:color="auto" w:sz="8" w:space="0"/>
              <w:right w:val="single" w:color="auto" w:sz="4" w:space="0"/>
            </w:tcBorders>
            <w:shd w:val="clear" w:color="auto" w:fill="auto"/>
            <w:vAlign w:val="center"/>
          </w:tcPr>
          <w:p w14:paraId="7B7E7D4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（9）</w:t>
            </w:r>
          </w:p>
        </w:tc>
        <w:tc>
          <w:tcPr>
            <w:tcW w:w="469" w:type="pct"/>
            <w:gridSpan w:val="3"/>
            <w:tcBorders>
              <w:top w:val="nil"/>
              <w:left w:val="nil"/>
              <w:bottom w:val="single" w:color="auto" w:sz="8" w:space="0"/>
              <w:right w:val="single" w:color="auto" w:sz="4" w:space="0"/>
            </w:tcBorders>
            <w:shd w:val="clear" w:color="auto" w:fill="auto"/>
            <w:vAlign w:val="center"/>
          </w:tcPr>
          <w:p w14:paraId="0F40599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w:t>
            </w:r>
          </w:p>
        </w:tc>
        <w:tc>
          <w:tcPr>
            <w:tcW w:w="402" w:type="pct"/>
            <w:gridSpan w:val="3"/>
            <w:tcBorders>
              <w:top w:val="nil"/>
              <w:left w:val="nil"/>
              <w:bottom w:val="single" w:color="auto" w:sz="8" w:space="0"/>
              <w:right w:val="single" w:color="auto" w:sz="4" w:space="0"/>
            </w:tcBorders>
            <w:shd w:val="clear" w:color="auto" w:fill="auto"/>
            <w:vAlign w:val="center"/>
          </w:tcPr>
          <w:p w14:paraId="51BD65B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w:t>
            </w:r>
          </w:p>
        </w:tc>
        <w:tc>
          <w:tcPr>
            <w:tcW w:w="455" w:type="pct"/>
            <w:gridSpan w:val="2"/>
            <w:tcBorders>
              <w:top w:val="nil"/>
              <w:left w:val="nil"/>
              <w:bottom w:val="single" w:color="auto" w:sz="8" w:space="0"/>
              <w:right w:val="single" w:color="auto" w:sz="4" w:space="0"/>
            </w:tcBorders>
            <w:shd w:val="clear" w:color="auto" w:fill="auto"/>
            <w:vAlign w:val="center"/>
          </w:tcPr>
          <w:p w14:paraId="27B49F3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（12）=（10）×（11）/1000</w:t>
            </w:r>
          </w:p>
        </w:tc>
        <w:tc>
          <w:tcPr>
            <w:tcW w:w="440" w:type="pct"/>
            <w:vMerge w:val="continue"/>
            <w:tcBorders>
              <w:left w:val="single" w:color="auto" w:sz="8" w:space="0"/>
              <w:bottom w:val="single" w:color="000000" w:sz="8" w:space="0"/>
              <w:right w:val="single" w:color="auto" w:sz="8" w:space="0"/>
            </w:tcBorders>
            <w:shd w:val="clear" w:color="auto" w:fill="auto"/>
            <w:vAlign w:val="center"/>
          </w:tcPr>
          <w:p w14:paraId="057D87A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r>
      <w:tr w14:paraId="6CFF977B">
        <w:trPr>
          <w:trHeight w:val="360" w:hRule="atLeast"/>
          <w:jc w:val="center"/>
        </w:trPr>
        <w:tc>
          <w:tcPr>
            <w:tcW w:w="487" w:type="pct"/>
            <w:tcBorders>
              <w:top w:val="nil"/>
              <w:left w:val="single" w:color="auto" w:sz="8" w:space="0"/>
              <w:bottom w:val="double" w:color="auto" w:sz="6" w:space="0"/>
              <w:right w:val="single" w:color="auto" w:sz="4" w:space="0"/>
            </w:tcBorders>
            <w:shd w:val="clear" w:color="auto" w:fill="auto"/>
            <w:noWrap/>
            <w:vAlign w:val="center"/>
          </w:tcPr>
          <w:p w14:paraId="4EC51EF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项目责任人</w:t>
            </w:r>
          </w:p>
        </w:tc>
        <w:tc>
          <w:tcPr>
            <w:tcW w:w="258" w:type="pct"/>
            <w:gridSpan w:val="2"/>
            <w:tcBorders>
              <w:top w:val="nil"/>
              <w:left w:val="nil"/>
              <w:bottom w:val="double" w:color="auto" w:sz="6" w:space="0"/>
              <w:right w:val="single" w:color="auto" w:sz="4" w:space="0"/>
            </w:tcBorders>
            <w:shd w:val="clear" w:color="auto" w:fill="auto"/>
            <w:vAlign w:val="center"/>
          </w:tcPr>
          <w:p w14:paraId="417AABA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double" w:color="auto" w:sz="6" w:space="0"/>
              <w:right w:val="single" w:color="auto" w:sz="4" w:space="0"/>
            </w:tcBorders>
            <w:shd w:val="clear" w:color="auto" w:fill="auto"/>
            <w:vAlign w:val="center"/>
          </w:tcPr>
          <w:p w14:paraId="61ADA63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double" w:color="auto" w:sz="6" w:space="0"/>
              <w:right w:val="single" w:color="auto" w:sz="4" w:space="0"/>
            </w:tcBorders>
            <w:shd w:val="clear" w:color="auto" w:fill="auto"/>
            <w:vAlign w:val="center"/>
          </w:tcPr>
          <w:p w14:paraId="57E0200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double" w:color="auto" w:sz="6" w:space="0"/>
              <w:right w:val="single" w:color="auto" w:sz="4" w:space="0"/>
            </w:tcBorders>
            <w:shd w:val="clear" w:color="auto" w:fill="auto"/>
            <w:vAlign w:val="center"/>
          </w:tcPr>
          <w:p w14:paraId="3893897B">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double" w:color="auto" w:sz="6" w:space="0"/>
              <w:right w:val="single" w:color="auto" w:sz="4" w:space="0"/>
            </w:tcBorders>
            <w:shd w:val="clear" w:color="auto" w:fill="auto"/>
            <w:vAlign w:val="center"/>
          </w:tcPr>
          <w:p w14:paraId="057DAD7C">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double" w:color="auto" w:sz="6" w:space="0"/>
              <w:right w:val="single" w:color="auto" w:sz="4" w:space="0"/>
            </w:tcBorders>
            <w:shd w:val="clear" w:color="auto" w:fill="auto"/>
            <w:vAlign w:val="center"/>
          </w:tcPr>
          <w:p w14:paraId="5EFBE01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double" w:color="auto" w:sz="6" w:space="0"/>
              <w:right w:val="single" w:color="auto" w:sz="4" w:space="0"/>
            </w:tcBorders>
            <w:shd w:val="clear" w:color="auto" w:fill="auto"/>
            <w:vAlign w:val="center"/>
          </w:tcPr>
          <w:p w14:paraId="43355BB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double" w:color="auto" w:sz="6" w:space="0"/>
              <w:right w:val="single" w:color="auto" w:sz="4" w:space="0"/>
            </w:tcBorders>
            <w:shd w:val="clear" w:color="auto" w:fill="auto"/>
            <w:vAlign w:val="center"/>
          </w:tcPr>
          <w:p w14:paraId="1CC1DFF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double" w:color="auto" w:sz="6" w:space="0"/>
              <w:right w:val="single" w:color="auto" w:sz="4" w:space="0"/>
            </w:tcBorders>
            <w:shd w:val="clear" w:color="auto" w:fill="auto"/>
            <w:vAlign w:val="center"/>
          </w:tcPr>
          <w:p w14:paraId="585D635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double" w:color="auto" w:sz="6" w:space="0"/>
              <w:right w:val="single" w:color="auto" w:sz="4" w:space="0"/>
            </w:tcBorders>
            <w:shd w:val="clear" w:color="auto" w:fill="auto"/>
            <w:vAlign w:val="center"/>
          </w:tcPr>
          <w:p w14:paraId="03DF72D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double" w:color="auto" w:sz="6" w:space="0"/>
              <w:right w:val="single" w:color="auto" w:sz="4" w:space="0"/>
            </w:tcBorders>
            <w:shd w:val="clear" w:color="auto" w:fill="auto"/>
            <w:vAlign w:val="center"/>
          </w:tcPr>
          <w:p w14:paraId="61F5B9A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double" w:color="auto" w:sz="6" w:space="0"/>
              <w:right w:val="single" w:color="auto" w:sz="4" w:space="0"/>
            </w:tcBorders>
            <w:shd w:val="clear" w:color="auto" w:fill="auto"/>
            <w:vAlign w:val="center"/>
          </w:tcPr>
          <w:p w14:paraId="75C4CACC">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double" w:color="auto" w:sz="6" w:space="0"/>
              <w:right w:val="single" w:color="auto" w:sz="8" w:space="0"/>
            </w:tcBorders>
            <w:shd w:val="clear" w:color="auto" w:fill="auto"/>
            <w:noWrap/>
            <w:vAlign w:val="center"/>
          </w:tcPr>
          <w:p w14:paraId="02DA313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45300030">
        <w:trPr>
          <w:trHeight w:val="360" w:hRule="atLeast"/>
          <w:jc w:val="center"/>
        </w:trPr>
        <w:tc>
          <w:tcPr>
            <w:tcW w:w="487" w:type="pct"/>
            <w:vMerge w:val="restart"/>
            <w:tcBorders>
              <w:top w:val="nil"/>
              <w:left w:val="single" w:color="auto" w:sz="8" w:space="0"/>
              <w:right w:val="single" w:color="auto" w:sz="4" w:space="0"/>
            </w:tcBorders>
            <w:shd w:val="clear" w:color="auto" w:fill="auto"/>
            <w:vAlign w:val="center"/>
          </w:tcPr>
          <w:p w14:paraId="6743827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项目高级研究人员</w:t>
            </w:r>
          </w:p>
        </w:tc>
        <w:tc>
          <w:tcPr>
            <w:tcW w:w="258" w:type="pct"/>
            <w:gridSpan w:val="2"/>
            <w:tcBorders>
              <w:top w:val="nil"/>
              <w:left w:val="nil"/>
              <w:bottom w:val="single" w:color="auto" w:sz="4" w:space="0"/>
              <w:right w:val="single" w:color="auto" w:sz="4" w:space="0"/>
            </w:tcBorders>
            <w:shd w:val="clear" w:color="auto" w:fill="auto"/>
          </w:tcPr>
          <w:p w14:paraId="32CBBBF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0761A33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2E158B5C">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single" w:color="auto" w:sz="4" w:space="0"/>
              <w:right w:val="single" w:color="auto" w:sz="4" w:space="0"/>
            </w:tcBorders>
            <w:shd w:val="clear" w:color="auto" w:fill="auto"/>
          </w:tcPr>
          <w:p w14:paraId="51E5635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45684DD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single" w:color="auto" w:sz="4" w:space="0"/>
              <w:right w:val="single" w:color="auto" w:sz="4" w:space="0"/>
            </w:tcBorders>
            <w:shd w:val="clear" w:color="auto" w:fill="auto"/>
          </w:tcPr>
          <w:p w14:paraId="6AAAA49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4" w:space="0"/>
              <w:right w:val="single" w:color="auto" w:sz="4" w:space="0"/>
            </w:tcBorders>
            <w:shd w:val="clear" w:color="auto" w:fill="auto"/>
          </w:tcPr>
          <w:p w14:paraId="76A6F6E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single" w:color="auto" w:sz="4" w:space="0"/>
              <w:right w:val="single" w:color="auto" w:sz="4" w:space="0"/>
            </w:tcBorders>
            <w:shd w:val="clear" w:color="auto" w:fill="auto"/>
          </w:tcPr>
          <w:p w14:paraId="7C8F968B">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4" w:space="0"/>
              <w:right w:val="single" w:color="auto" w:sz="4" w:space="0"/>
            </w:tcBorders>
            <w:shd w:val="clear" w:color="auto" w:fill="auto"/>
          </w:tcPr>
          <w:p w14:paraId="52AD346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4" w:space="0"/>
              <w:right w:val="single" w:color="auto" w:sz="4" w:space="0"/>
            </w:tcBorders>
            <w:shd w:val="clear" w:color="auto" w:fill="auto"/>
          </w:tcPr>
          <w:p w14:paraId="4CAFADD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single" w:color="auto" w:sz="4" w:space="0"/>
              <w:right w:val="single" w:color="auto" w:sz="4" w:space="0"/>
            </w:tcBorders>
            <w:shd w:val="clear" w:color="auto" w:fill="auto"/>
          </w:tcPr>
          <w:p w14:paraId="1C9CDE6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single" w:color="auto" w:sz="4" w:space="0"/>
              <w:right w:val="single" w:color="auto" w:sz="4" w:space="0"/>
            </w:tcBorders>
            <w:shd w:val="clear" w:color="auto" w:fill="auto"/>
          </w:tcPr>
          <w:p w14:paraId="425E693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single" w:color="auto" w:sz="4" w:space="0"/>
              <w:right w:val="single" w:color="auto" w:sz="8" w:space="0"/>
            </w:tcBorders>
            <w:shd w:val="clear" w:color="auto" w:fill="auto"/>
            <w:noWrap/>
            <w:vAlign w:val="center"/>
          </w:tcPr>
          <w:p w14:paraId="6274CDA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53A4D85D">
        <w:trPr>
          <w:trHeight w:val="360" w:hRule="atLeast"/>
          <w:jc w:val="center"/>
        </w:trPr>
        <w:tc>
          <w:tcPr>
            <w:tcW w:w="487" w:type="pct"/>
            <w:vMerge w:val="continue"/>
            <w:tcBorders>
              <w:left w:val="single" w:color="auto" w:sz="8" w:space="0"/>
              <w:right w:val="single" w:color="auto" w:sz="4" w:space="0"/>
            </w:tcBorders>
            <w:shd w:val="clear" w:color="auto" w:fill="auto"/>
            <w:vAlign w:val="center"/>
          </w:tcPr>
          <w:p w14:paraId="62541F56">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076CB3B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12B95F1B">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7C159C9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single" w:color="auto" w:sz="4" w:space="0"/>
              <w:right w:val="single" w:color="auto" w:sz="4" w:space="0"/>
            </w:tcBorders>
            <w:shd w:val="clear" w:color="auto" w:fill="auto"/>
          </w:tcPr>
          <w:p w14:paraId="6E62DC3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730483D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single" w:color="auto" w:sz="4" w:space="0"/>
              <w:right w:val="single" w:color="auto" w:sz="4" w:space="0"/>
            </w:tcBorders>
            <w:shd w:val="clear" w:color="auto" w:fill="auto"/>
          </w:tcPr>
          <w:p w14:paraId="214F52B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4" w:space="0"/>
              <w:right w:val="single" w:color="auto" w:sz="4" w:space="0"/>
            </w:tcBorders>
            <w:shd w:val="clear" w:color="auto" w:fill="auto"/>
          </w:tcPr>
          <w:p w14:paraId="155FAE5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single" w:color="auto" w:sz="4" w:space="0"/>
              <w:right w:val="single" w:color="auto" w:sz="4" w:space="0"/>
            </w:tcBorders>
            <w:shd w:val="clear" w:color="auto" w:fill="auto"/>
          </w:tcPr>
          <w:p w14:paraId="4E1A1E9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4" w:space="0"/>
              <w:right w:val="single" w:color="auto" w:sz="4" w:space="0"/>
            </w:tcBorders>
            <w:shd w:val="clear" w:color="auto" w:fill="auto"/>
          </w:tcPr>
          <w:p w14:paraId="46B13DE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4" w:space="0"/>
              <w:right w:val="single" w:color="auto" w:sz="4" w:space="0"/>
            </w:tcBorders>
            <w:shd w:val="clear" w:color="auto" w:fill="auto"/>
          </w:tcPr>
          <w:p w14:paraId="12ADDA0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single" w:color="auto" w:sz="4" w:space="0"/>
              <w:right w:val="single" w:color="auto" w:sz="4" w:space="0"/>
            </w:tcBorders>
            <w:shd w:val="clear" w:color="auto" w:fill="auto"/>
          </w:tcPr>
          <w:p w14:paraId="6CBB46D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single" w:color="auto" w:sz="4" w:space="0"/>
              <w:right w:val="single" w:color="auto" w:sz="4" w:space="0"/>
            </w:tcBorders>
            <w:shd w:val="clear" w:color="auto" w:fill="auto"/>
          </w:tcPr>
          <w:p w14:paraId="241FF70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single" w:color="auto" w:sz="4" w:space="0"/>
              <w:right w:val="single" w:color="auto" w:sz="8" w:space="0"/>
            </w:tcBorders>
            <w:shd w:val="clear" w:color="auto" w:fill="auto"/>
            <w:noWrap/>
            <w:vAlign w:val="center"/>
          </w:tcPr>
          <w:p w14:paraId="5531EB9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44B24C3D">
        <w:trPr>
          <w:trHeight w:val="360" w:hRule="atLeast"/>
          <w:jc w:val="center"/>
        </w:trPr>
        <w:tc>
          <w:tcPr>
            <w:tcW w:w="487" w:type="pct"/>
            <w:vMerge w:val="restart"/>
            <w:tcBorders>
              <w:top w:val="nil"/>
              <w:left w:val="single" w:color="auto" w:sz="8" w:space="0"/>
              <w:right w:val="single" w:color="auto" w:sz="4" w:space="0"/>
            </w:tcBorders>
            <w:shd w:val="clear" w:color="auto" w:fill="auto"/>
            <w:vAlign w:val="center"/>
          </w:tcPr>
          <w:p w14:paraId="5BE4DC3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项目参与人员</w:t>
            </w:r>
          </w:p>
        </w:tc>
        <w:tc>
          <w:tcPr>
            <w:tcW w:w="258" w:type="pct"/>
            <w:gridSpan w:val="2"/>
            <w:tcBorders>
              <w:top w:val="nil"/>
              <w:left w:val="nil"/>
              <w:bottom w:val="single" w:color="auto" w:sz="4" w:space="0"/>
              <w:right w:val="single" w:color="auto" w:sz="4" w:space="0"/>
            </w:tcBorders>
            <w:shd w:val="clear" w:color="auto" w:fill="auto"/>
          </w:tcPr>
          <w:p w14:paraId="0A6C6FF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32AD165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6263EDF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single" w:color="auto" w:sz="4" w:space="0"/>
              <w:right w:val="single" w:color="auto" w:sz="4" w:space="0"/>
            </w:tcBorders>
            <w:shd w:val="clear" w:color="auto" w:fill="auto"/>
          </w:tcPr>
          <w:p w14:paraId="02B8E17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721194D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single" w:color="auto" w:sz="4" w:space="0"/>
              <w:right w:val="single" w:color="auto" w:sz="4" w:space="0"/>
            </w:tcBorders>
            <w:shd w:val="clear" w:color="auto" w:fill="auto"/>
          </w:tcPr>
          <w:p w14:paraId="646C546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4" w:space="0"/>
              <w:right w:val="single" w:color="auto" w:sz="4" w:space="0"/>
            </w:tcBorders>
            <w:shd w:val="clear" w:color="auto" w:fill="auto"/>
          </w:tcPr>
          <w:p w14:paraId="2916C56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single" w:color="auto" w:sz="4" w:space="0"/>
              <w:right w:val="single" w:color="auto" w:sz="4" w:space="0"/>
            </w:tcBorders>
            <w:shd w:val="clear" w:color="auto" w:fill="auto"/>
          </w:tcPr>
          <w:p w14:paraId="455B4D8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4" w:space="0"/>
              <w:right w:val="single" w:color="auto" w:sz="4" w:space="0"/>
            </w:tcBorders>
            <w:shd w:val="clear" w:color="auto" w:fill="auto"/>
          </w:tcPr>
          <w:p w14:paraId="506D37C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4" w:space="0"/>
              <w:right w:val="single" w:color="auto" w:sz="4" w:space="0"/>
            </w:tcBorders>
            <w:shd w:val="clear" w:color="auto" w:fill="auto"/>
          </w:tcPr>
          <w:p w14:paraId="2BD6DCA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single" w:color="auto" w:sz="4" w:space="0"/>
              <w:right w:val="single" w:color="auto" w:sz="4" w:space="0"/>
            </w:tcBorders>
            <w:shd w:val="clear" w:color="auto" w:fill="auto"/>
          </w:tcPr>
          <w:p w14:paraId="2D5C1C2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single" w:color="auto" w:sz="4" w:space="0"/>
              <w:right w:val="single" w:color="auto" w:sz="4" w:space="0"/>
            </w:tcBorders>
            <w:shd w:val="clear" w:color="auto" w:fill="auto"/>
          </w:tcPr>
          <w:p w14:paraId="5B496E0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single" w:color="auto" w:sz="4" w:space="0"/>
              <w:right w:val="single" w:color="auto" w:sz="8" w:space="0"/>
            </w:tcBorders>
            <w:shd w:val="clear" w:color="auto" w:fill="auto"/>
            <w:noWrap/>
            <w:vAlign w:val="center"/>
          </w:tcPr>
          <w:p w14:paraId="1DC7C86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74A20569">
        <w:trPr>
          <w:trHeight w:val="360" w:hRule="atLeast"/>
          <w:jc w:val="center"/>
        </w:trPr>
        <w:tc>
          <w:tcPr>
            <w:tcW w:w="487" w:type="pct"/>
            <w:vMerge w:val="continue"/>
            <w:tcBorders>
              <w:left w:val="single" w:color="auto" w:sz="8" w:space="0"/>
              <w:right w:val="single" w:color="auto" w:sz="4" w:space="0"/>
            </w:tcBorders>
            <w:shd w:val="clear" w:color="auto" w:fill="auto"/>
            <w:vAlign w:val="center"/>
          </w:tcPr>
          <w:p w14:paraId="5AC0237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3301EFC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5DB8A9B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7A50EFE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single" w:color="auto" w:sz="4" w:space="0"/>
              <w:right w:val="single" w:color="auto" w:sz="4" w:space="0"/>
            </w:tcBorders>
            <w:shd w:val="clear" w:color="auto" w:fill="auto"/>
          </w:tcPr>
          <w:p w14:paraId="754E95C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3B15D6B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single" w:color="auto" w:sz="4" w:space="0"/>
              <w:right w:val="single" w:color="auto" w:sz="4" w:space="0"/>
            </w:tcBorders>
            <w:shd w:val="clear" w:color="auto" w:fill="auto"/>
          </w:tcPr>
          <w:p w14:paraId="07A89CB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4" w:space="0"/>
              <w:right w:val="single" w:color="auto" w:sz="4" w:space="0"/>
            </w:tcBorders>
            <w:shd w:val="clear" w:color="auto" w:fill="auto"/>
          </w:tcPr>
          <w:p w14:paraId="7A15A14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single" w:color="auto" w:sz="4" w:space="0"/>
              <w:right w:val="single" w:color="auto" w:sz="4" w:space="0"/>
            </w:tcBorders>
            <w:shd w:val="clear" w:color="auto" w:fill="auto"/>
          </w:tcPr>
          <w:p w14:paraId="2BAA921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4" w:space="0"/>
              <w:right w:val="single" w:color="auto" w:sz="4" w:space="0"/>
            </w:tcBorders>
            <w:shd w:val="clear" w:color="auto" w:fill="auto"/>
          </w:tcPr>
          <w:p w14:paraId="359FA0D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4" w:space="0"/>
              <w:right w:val="single" w:color="auto" w:sz="4" w:space="0"/>
            </w:tcBorders>
            <w:shd w:val="clear" w:color="auto" w:fill="auto"/>
          </w:tcPr>
          <w:p w14:paraId="6B71944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single" w:color="auto" w:sz="4" w:space="0"/>
              <w:right w:val="single" w:color="auto" w:sz="4" w:space="0"/>
            </w:tcBorders>
            <w:shd w:val="clear" w:color="auto" w:fill="auto"/>
          </w:tcPr>
          <w:p w14:paraId="4001216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single" w:color="auto" w:sz="4" w:space="0"/>
              <w:right w:val="single" w:color="auto" w:sz="4" w:space="0"/>
            </w:tcBorders>
            <w:shd w:val="clear" w:color="auto" w:fill="auto"/>
          </w:tcPr>
          <w:p w14:paraId="081D1D3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single" w:color="auto" w:sz="4" w:space="0"/>
              <w:right w:val="single" w:color="auto" w:sz="8" w:space="0"/>
            </w:tcBorders>
            <w:shd w:val="clear" w:color="auto" w:fill="auto"/>
            <w:noWrap/>
            <w:vAlign w:val="center"/>
          </w:tcPr>
          <w:p w14:paraId="04FF553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29813557">
        <w:trPr>
          <w:trHeight w:val="360" w:hRule="atLeast"/>
          <w:jc w:val="center"/>
        </w:trPr>
        <w:tc>
          <w:tcPr>
            <w:tcW w:w="487" w:type="pct"/>
            <w:tcBorders>
              <w:left w:val="single" w:color="auto" w:sz="8" w:space="0"/>
              <w:right w:val="single" w:color="auto" w:sz="4" w:space="0"/>
            </w:tcBorders>
            <w:shd w:val="clear" w:color="auto" w:fill="auto"/>
            <w:vAlign w:val="center"/>
          </w:tcPr>
          <w:p w14:paraId="5546CBC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引进人才</w:t>
            </w:r>
          </w:p>
        </w:tc>
        <w:tc>
          <w:tcPr>
            <w:tcW w:w="258" w:type="pct"/>
            <w:gridSpan w:val="2"/>
            <w:tcBorders>
              <w:top w:val="nil"/>
              <w:left w:val="nil"/>
              <w:bottom w:val="single" w:color="auto" w:sz="8" w:space="0"/>
              <w:right w:val="single" w:color="auto" w:sz="4" w:space="0"/>
            </w:tcBorders>
            <w:shd w:val="clear" w:color="auto" w:fill="auto"/>
          </w:tcPr>
          <w:p w14:paraId="415007D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258" w:type="pct"/>
            <w:gridSpan w:val="2"/>
            <w:tcBorders>
              <w:top w:val="nil"/>
              <w:left w:val="nil"/>
              <w:bottom w:val="single" w:color="auto" w:sz="8" w:space="0"/>
              <w:right w:val="single" w:color="auto" w:sz="4" w:space="0"/>
            </w:tcBorders>
            <w:shd w:val="clear" w:color="auto" w:fill="auto"/>
          </w:tcPr>
          <w:p w14:paraId="309A76C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291" w:type="pct"/>
            <w:gridSpan w:val="2"/>
            <w:tcBorders>
              <w:top w:val="nil"/>
              <w:left w:val="nil"/>
              <w:bottom w:val="single" w:color="auto" w:sz="8" w:space="0"/>
              <w:right w:val="single" w:color="auto" w:sz="4" w:space="0"/>
            </w:tcBorders>
            <w:shd w:val="clear" w:color="auto" w:fill="auto"/>
          </w:tcPr>
          <w:p w14:paraId="1C8F5CB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258" w:type="pct"/>
            <w:gridSpan w:val="3"/>
            <w:tcBorders>
              <w:top w:val="nil"/>
              <w:left w:val="nil"/>
              <w:bottom w:val="single" w:color="auto" w:sz="8" w:space="0"/>
              <w:right w:val="single" w:color="auto" w:sz="4" w:space="0"/>
            </w:tcBorders>
            <w:shd w:val="clear" w:color="auto" w:fill="auto"/>
          </w:tcPr>
          <w:p w14:paraId="5AA005F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291" w:type="pct"/>
            <w:gridSpan w:val="2"/>
            <w:tcBorders>
              <w:top w:val="nil"/>
              <w:left w:val="nil"/>
              <w:bottom w:val="single" w:color="auto" w:sz="8" w:space="0"/>
              <w:right w:val="single" w:color="auto" w:sz="4" w:space="0"/>
            </w:tcBorders>
            <w:shd w:val="clear" w:color="auto" w:fill="auto"/>
          </w:tcPr>
          <w:p w14:paraId="36DE87B6">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349" w:type="pct"/>
            <w:gridSpan w:val="2"/>
            <w:tcBorders>
              <w:top w:val="nil"/>
              <w:left w:val="nil"/>
              <w:bottom w:val="single" w:color="auto" w:sz="8" w:space="0"/>
              <w:right w:val="single" w:color="auto" w:sz="4" w:space="0"/>
            </w:tcBorders>
            <w:shd w:val="clear" w:color="auto" w:fill="auto"/>
          </w:tcPr>
          <w:p w14:paraId="09E6942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303" w:type="pct"/>
            <w:gridSpan w:val="2"/>
            <w:tcBorders>
              <w:top w:val="nil"/>
              <w:left w:val="nil"/>
              <w:bottom w:val="single" w:color="auto" w:sz="8" w:space="0"/>
              <w:right w:val="single" w:color="auto" w:sz="4" w:space="0"/>
            </w:tcBorders>
            <w:shd w:val="clear" w:color="auto" w:fill="auto"/>
          </w:tcPr>
          <w:p w14:paraId="475AEA4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385" w:type="pct"/>
            <w:gridSpan w:val="2"/>
            <w:tcBorders>
              <w:top w:val="nil"/>
              <w:left w:val="nil"/>
              <w:bottom w:val="single" w:color="auto" w:sz="8" w:space="0"/>
              <w:right w:val="single" w:color="auto" w:sz="4" w:space="0"/>
            </w:tcBorders>
            <w:shd w:val="clear" w:color="auto" w:fill="auto"/>
          </w:tcPr>
          <w:p w14:paraId="78026D3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349" w:type="pct"/>
            <w:gridSpan w:val="3"/>
            <w:tcBorders>
              <w:top w:val="nil"/>
              <w:left w:val="nil"/>
              <w:bottom w:val="single" w:color="auto" w:sz="8" w:space="0"/>
              <w:right w:val="single" w:color="auto" w:sz="4" w:space="0"/>
            </w:tcBorders>
            <w:shd w:val="clear" w:color="auto" w:fill="auto"/>
          </w:tcPr>
          <w:p w14:paraId="774E36C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469" w:type="pct"/>
            <w:gridSpan w:val="3"/>
            <w:tcBorders>
              <w:top w:val="nil"/>
              <w:left w:val="nil"/>
              <w:bottom w:val="single" w:color="auto" w:sz="8" w:space="0"/>
              <w:right w:val="single" w:color="auto" w:sz="4" w:space="0"/>
            </w:tcBorders>
            <w:shd w:val="clear" w:color="auto" w:fill="auto"/>
            <w:vAlign w:val="center"/>
          </w:tcPr>
          <w:p w14:paraId="764B1D9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highlight w:val="lightGray"/>
              </w:rPr>
            </w:pPr>
          </w:p>
        </w:tc>
        <w:tc>
          <w:tcPr>
            <w:tcW w:w="402" w:type="pct"/>
            <w:gridSpan w:val="3"/>
            <w:tcBorders>
              <w:top w:val="nil"/>
              <w:left w:val="nil"/>
              <w:bottom w:val="single" w:color="auto" w:sz="8" w:space="0"/>
              <w:right w:val="single" w:color="auto" w:sz="4" w:space="0"/>
            </w:tcBorders>
            <w:shd w:val="clear" w:color="auto" w:fill="auto"/>
            <w:vAlign w:val="center"/>
          </w:tcPr>
          <w:p w14:paraId="151627E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highlight w:val="lightGray"/>
              </w:rPr>
            </w:pPr>
          </w:p>
        </w:tc>
        <w:tc>
          <w:tcPr>
            <w:tcW w:w="455" w:type="pct"/>
            <w:gridSpan w:val="2"/>
            <w:tcBorders>
              <w:top w:val="nil"/>
              <w:left w:val="nil"/>
              <w:bottom w:val="single" w:color="auto" w:sz="8" w:space="0"/>
              <w:right w:val="single" w:color="auto" w:sz="4" w:space="0"/>
            </w:tcBorders>
            <w:shd w:val="clear" w:color="auto" w:fill="auto"/>
          </w:tcPr>
          <w:p w14:paraId="02A3944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440" w:type="pct"/>
            <w:tcBorders>
              <w:top w:val="nil"/>
              <w:left w:val="single" w:color="auto" w:sz="8" w:space="0"/>
              <w:bottom w:val="single" w:color="auto" w:sz="8" w:space="0"/>
              <w:right w:val="single" w:color="auto" w:sz="8" w:space="0"/>
            </w:tcBorders>
            <w:shd w:val="clear" w:color="auto" w:fill="auto"/>
            <w:noWrap/>
            <w:vAlign w:val="center"/>
          </w:tcPr>
          <w:p w14:paraId="49067A0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5CC8DA65">
        <w:trPr>
          <w:trHeight w:val="360" w:hRule="atLeast"/>
          <w:jc w:val="center"/>
        </w:trPr>
        <w:tc>
          <w:tcPr>
            <w:tcW w:w="487" w:type="pct"/>
            <w:tcBorders>
              <w:left w:val="single" w:color="auto" w:sz="8" w:space="0"/>
              <w:bottom w:val="double" w:color="auto" w:sz="4" w:space="0"/>
              <w:right w:val="single" w:color="auto" w:sz="4" w:space="0"/>
            </w:tcBorders>
            <w:shd w:val="clear" w:color="auto" w:fill="auto"/>
            <w:vAlign w:val="center"/>
          </w:tcPr>
          <w:p w14:paraId="2E9E15EB">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临时参与人员</w:t>
            </w:r>
          </w:p>
        </w:tc>
        <w:tc>
          <w:tcPr>
            <w:tcW w:w="257" w:type="pct"/>
            <w:tcBorders>
              <w:top w:val="single" w:color="auto" w:sz="8" w:space="0"/>
              <w:left w:val="nil"/>
              <w:bottom w:val="double" w:color="auto" w:sz="4" w:space="0"/>
              <w:right w:val="single" w:color="auto" w:sz="4" w:space="0"/>
            </w:tcBorders>
            <w:shd w:val="clear" w:color="auto" w:fill="auto"/>
            <w:vAlign w:val="center"/>
          </w:tcPr>
          <w:p w14:paraId="7327F045">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258" w:type="pct"/>
            <w:gridSpan w:val="2"/>
            <w:tcBorders>
              <w:top w:val="single" w:color="auto" w:sz="8" w:space="0"/>
              <w:left w:val="nil"/>
              <w:bottom w:val="double" w:color="auto" w:sz="4" w:space="0"/>
              <w:right w:val="single" w:color="auto" w:sz="4" w:space="0"/>
            </w:tcBorders>
            <w:shd w:val="clear" w:color="auto" w:fill="auto"/>
            <w:vAlign w:val="center"/>
          </w:tcPr>
          <w:p w14:paraId="272947B1">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293" w:type="pct"/>
            <w:gridSpan w:val="4"/>
            <w:tcBorders>
              <w:top w:val="single" w:color="auto" w:sz="8" w:space="0"/>
              <w:left w:val="nil"/>
              <w:bottom w:val="double" w:color="auto" w:sz="4" w:space="0"/>
              <w:right w:val="single" w:color="auto" w:sz="4" w:space="0"/>
            </w:tcBorders>
            <w:shd w:val="clear" w:color="auto" w:fill="auto"/>
            <w:vAlign w:val="center"/>
          </w:tcPr>
          <w:p w14:paraId="2D305590">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257" w:type="pct"/>
            <w:gridSpan w:val="2"/>
            <w:tcBorders>
              <w:top w:val="single" w:color="auto" w:sz="8" w:space="0"/>
              <w:left w:val="nil"/>
              <w:bottom w:val="double" w:color="auto" w:sz="4" w:space="0"/>
              <w:right w:val="single" w:color="auto" w:sz="4" w:space="0"/>
            </w:tcBorders>
            <w:shd w:val="clear" w:color="auto" w:fill="auto"/>
            <w:vAlign w:val="center"/>
          </w:tcPr>
          <w:p w14:paraId="6EF626D7">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291" w:type="pct"/>
            <w:gridSpan w:val="2"/>
            <w:tcBorders>
              <w:top w:val="single" w:color="auto" w:sz="8" w:space="0"/>
              <w:left w:val="nil"/>
              <w:bottom w:val="double" w:color="auto" w:sz="4" w:space="0"/>
              <w:right w:val="single" w:color="auto" w:sz="4" w:space="0"/>
            </w:tcBorders>
            <w:shd w:val="clear" w:color="auto" w:fill="auto"/>
            <w:vAlign w:val="center"/>
          </w:tcPr>
          <w:p w14:paraId="6A39E940">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349" w:type="pct"/>
            <w:gridSpan w:val="2"/>
            <w:tcBorders>
              <w:top w:val="single" w:color="auto" w:sz="8" w:space="0"/>
              <w:left w:val="nil"/>
              <w:bottom w:val="double" w:color="auto" w:sz="4" w:space="0"/>
              <w:right w:val="single" w:color="auto" w:sz="4" w:space="0"/>
            </w:tcBorders>
            <w:shd w:val="clear" w:color="auto" w:fill="auto"/>
            <w:vAlign w:val="center"/>
          </w:tcPr>
          <w:p w14:paraId="2786AB52">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303" w:type="pct"/>
            <w:gridSpan w:val="2"/>
            <w:tcBorders>
              <w:top w:val="single" w:color="auto" w:sz="8" w:space="0"/>
              <w:left w:val="nil"/>
              <w:bottom w:val="double" w:color="auto" w:sz="4" w:space="0"/>
              <w:right w:val="single" w:color="auto" w:sz="4" w:space="0"/>
            </w:tcBorders>
            <w:shd w:val="clear" w:color="auto" w:fill="auto"/>
            <w:vAlign w:val="center"/>
          </w:tcPr>
          <w:p w14:paraId="70E84CF6">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386" w:type="pct"/>
            <w:gridSpan w:val="3"/>
            <w:tcBorders>
              <w:top w:val="single" w:color="auto" w:sz="8" w:space="0"/>
              <w:left w:val="nil"/>
              <w:bottom w:val="double" w:color="auto" w:sz="4" w:space="0"/>
              <w:right w:val="single" w:color="auto" w:sz="4" w:space="0"/>
            </w:tcBorders>
            <w:shd w:val="clear" w:color="auto" w:fill="auto"/>
            <w:vAlign w:val="center"/>
          </w:tcPr>
          <w:p w14:paraId="2904A074">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349" w:type="pct"/>
            <w:gridSpan w:val="3"/>
            <w:tcBorders>
              <w:top w:val="single" w:color="auto" w:sz="8" w:space="0"/>
              <w:left w:val="nil"/>
              <w:bottom w:val="double" w:color="auto" w:sz="4" w:space="0"/>
              <w:right w:val="single" w:color="auto" w:sz="4" w:space="0"/>
            </w:tcBorders>
            <w:shd w:val="clear" w:color="auto" w:fill="auto"/>
            <w:vAlign w:val="center"/>
          </w:tcPr>
          <w:p w14:paraId="028B8FD2">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469" w:type="pct"/>
            <w:gridSpan w:val="3"/>
            <w:tcBorders>
              <w:top w:val="single" w:color="auto" w:sz="8" w:space="0"/>
              <w:left w:val="nil"/>
              <w:bottom w:val="double" w:color="auto" w:sz="4" w:space="0"/>
              <w:right w:val="single" w:color="auto" w:sz="4" w:space="0"/>
            </w:tcBorders>
            <w:shd w:val="clear" w:color="auto" w:fill="auto"/>
            <w:vAlign w:val="center"/>
          </w:tcPr>
          <w:p w14:paraId="3BFFE501">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401" w:type="pct"/>
            <w:gridSpan w:val="2"/>
            <w:tcBorders>
              <w:top w:val="single" w:color="auto" w:sz="8" w:space="0"/>
              <w:left w:val="nil"/>
              <w:bottom w:val="double" w:color="auto" w:sz="4" w:space="0"/>
              <w:right w:val="single" w:color="auto" w:sz="4" w:space="0"/>
            </w:tcBorders>
            <w:shd w:val="clear" w:color="auto" w:fill="auto"/>
            <w:vAlign w:val="center"/>
          </w:tcPr>
          <w:p w14:paraId="2939A502">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455" w:type="pct"/>
            <w:gridSpan w:val="2"/>
            <w:tcBorders>
              <w:top w:val="single" w:color="auto" w:sz="8" w:space="0"/>
              <w:left w:val="nil"/>
              <w:bottom w:val="double" w:color="auto" w:sz="4" w:space="0"/>
              <w:right w:val="single" w:color="auto" w:sz="4" w:space="0"/>
            </w:tcBorders>
            <w:shd w:val="clear" w:color="auto" w:fill="auto"/>
            <w:vAlign w:val="center"/>
          </w:tcPr>
          <w:p w14:paraId="6B06AE1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highlight w:val="lightGray"/>
                <w:shd w:val="pct10" w:color="auto" w:fill="FFFFFF"/>
              </w:rPr>
            </w:pPr>
          </w:p>
        </w:tc>
        <w:tc>
          <w:tcPr>
            <w:tcW w:w="440" w:type="pct"/>
            <w:tcBorders>
              <w:top w:val="single" w:color="auto" w:sz="8" w:space="0"/>
              <w:left w:val="single" w:color="auto" w:sz="8" w:space="0"/>
              <w:bottom w:val="double" w:color="auto" w:sz="6" w:space="0"/>
              <w:right w:val="single" w:color="auto" w:sz="8" w:space="0"/>
            </w:tcBorders>
            <w:shd w:val="clear" w:color="auto" w:fill="auto"/>
            <w:noWrap/>
            <w:vAlign w:val="center"/>
          </w:tcPr>
          <w:p w14:paraId="5C60887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sz w:val="21"/>
                <w:szCs w:val="21"/>
              </w:rPr>
              <w:t>/</w:t>
            </w:r>
          </w:p>
        </w:tc>
      </w:tr>
      <w:tr w14:paraId="1C2D2957">
        <w:trPr>
          <w:trHeight w:val="300" w:hRule="atLeast"/>
          <w:jc w:val="center"/>
        </w:trPr>
        <w:tc>
          <w:tcPr>
            <w:tcW w:w="4104" w:type="pct"/>
            <w:gridSpan w:val="27"/>
            <w:tcBorders>
              <w:top w:val="double" w:color="auto" w:sz="4" w:space="0"/>
              <w:left w:val="single" w:color="auto" w:sz="8" w:space="0"/>
              <w:bottom w:val="single" w:color="000000" w:sz="8" w:space="0"/>
              <w:right w:val="single" w:color="000000" w:sz="8" w:space="0"/>
            </w:tcBorders>
            <w:shd w:val="clear" w:color="auto" w:fill="auto"/>
            <w:vAlign w:val="center"/>
          </w:tcPr>
          <w:p w14:paraId="6D1C7AA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累    计</w:t>
            </w:r>
          </w:p>
        </w:tc>
        <w:tc>
          <w:tcPr>
            <w:tcW w:w="455" w:type="pct"/>
            <w:gridSpan w:val="2"/>
            <w:tcBorders>
              <w:top w:val="double" w:color="auto" w:sz="4" w:space="0"/>
              <w:left w:val="nil"/>
              <w:bottom w:val="single" w:color="000000" w:sz="8" w:space="0"/>
              <w:right w:val="single" w:color="auto" w:sz="8" w:space="0"/>
            </w:tcBorders>
            <w:shd w:val="clear" w:color="auto" w:fill="auto"/>
            <w:vAlign w:val="center"/>
          </w:tcPr>
          <w:p w14:paraId="3AFCBEE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1"/>
                <w:szCs w:val="21"/>
              </w:rPr>
            </w:pPr>
          </w:p>
        </w:tc>
        <w:tc>
          <w:tcPr>
            <w:tcW w:w="440" w:type="pct"/>
            <w:tcBorders>
              <w:top w:val="single" w:color="auto" w:sz="8" w:space="0"/>
              <w:left w:val="single" w:color="auto" w:sz="8" w:space="0"/>
              <w:bottom w:val="single" w:color="auto" w:sz="8" w:space="0"/>
              <w:right w:val="single" w:color="auto" w:sz="8" w:space="0"/>
            </w:tcBorders>
            <w:shd w:val="clear" w:color="auto" w:fill="auto"/>
            <w:noWrap/>
            <w:vAlign w:val="center"/>
          </w:tcPr>
          <w:p w14:paraId="5B1B714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bl>
    <w:p w14:paraId="0AD08136">
      <w:pPr>
        <w:pageBreakBefore w:val="0"/>
        <w:widowControl w:val="0"/>
        <w:kinsoku/>
        <w:overflowPunct/>
        <w:topLinePunct w:val="0"/>
        <w:autoSpaceDE w:val="0"/>
        <w:autoSpaceDN w:val="0"/>
        <w:bidi w:val="0"/>
        <w:adjustRightInd/>
        <w:snapToGrid w:val="0"/>
        <w:spacing w:beforeAutospacing="0" w:afterAutospacing="0" w:line="560" w:lineRule="exact"/>
        <w:ind w:left="0" w:leftChars="0" w:right="0" w:firstLine="0" w:firstLineChars="0"/>
        <w:jc w:val="both"/>
        <w:textAlignment w:val="auto"/>
        <w:rPr>
          <w:rFonts w:ascii="宋体" w:hAnsi="宋体" w:eastAsia="仿宋_GB2312" w:cs="Times New Roman"/>
          <w:kern w:val="2"/>
          <w:sz w:val="18"/>
          <w:szCs w:val="18"/>
          <w:lang w:val="en-US" w:eastAsia="zh-CN" w:bidi="ar-SA"/>
        </w:rPr>
      </w:pPr>
    </w:p>
    <w:p w14:paraId="13F28896">
      <w:pPr>
        <w:pageBreakBefore w:val="0"/>
        <w:widowControl w:val="0"/>
        <w:kinsoku/>
        <w:overflowPunct/>
        <w:topLinePunct w:val="0"/>
        <w:autoSpaceDE w:val="0"/>
        <w:autoSpaceDN w:val="0"/>
        <w:bidi w:val="0"/>
        <w:adjustRightInd/>
        <w:snapToGrid w:val="0"/>
        <w:spacing w:beforeAutospacing="0" w:afterAutospacing="0" w:line="560" w:lineRule="exact"/>
        <w:ind w:left="0" w:leftChars="0" w:right="0" w:firstLine="0" w:firstLineChars="0"/>
        <w:jc w:val="both"/>
        <w:textAlignment w:val="auto"/>
        <w:rPr>
          <w:rFonts w:ascii="宋体" w:hAnsi="宋体" w:eastAsia="仿宋_GB2312" w:cs="Times New Roman"/>
          <w:kern w:val="2"/>
          <w:sz w:val="18"/>
          <w:szCs w:val="18"/>
          <w:lang w:val="en-US" w:eastAsia="zh-CN" w:bidi="ar-SA"/>
        </w:rPr>
      </w:pPr>
    </w:p>
    <w:p w14:paraId="1CBB395C">
      <w:pPr>
        <w:pageBreakBefore w:val="0"/>
        <w:widowControl w:val="0"/>
        <w:tabs>
          <w:tab w:val="center" w:pos="7078"/>
          <w:tab w:val="left" w:pos="9520"/>
        </w:tabs>
        <w:kinsoku/>
        <w:overflowPunct/>
        <w:topLinePunct w:val="0"/>
        <w:autoSpaceDE w:val="0"/>
        <w:autoSpaceDN w:val="0"/>
        <w:bidi w:val="0"/>
        <w:adjustRightInd/>
        <w:spacing w:beforeAutospacing="0" w:afterAutospacing="0" w:line="560" w:lineRule="exact"/>
        <w:ind w:left="0" w:leftChars="0" w:right="0" w:firstLine="0" w:firstLineChars="0"/>
        <w:jc w:val="both"/>
        <w:textAlignment w:val="auto"/>
        <w:rPr>
          <w:rFonts w:ascii="宋体" w:hAnsi="宋体" w:eastAsia="仿宋_GB2312" w:cs="Times New Roman"/>
          <w:kern w:val="2"/>
          <w:sz w:val="18"/>
          <w:szCs w:val="18"/>
          <w:lang w:val="en-US" w:eastAsia="zh-CN" w:bidi="ar-SA"/>
        </w:rPr>
      </w:pPr>
      <w:r>
        <w:rPr>
          <w:rFonts w:ascii="宋体" w:hAnsi="宋体" w:eastAsia="仿宋_GB2312" w:cs="Times New Roman"/>
          <w:kern w:val="2"/>
          <w:sz w:val="18"/>
          <w:szCs w:val="18"/>
          <w:lang w:val="en-US" w:eastAsia="zh-CN" w:bidi="ar-SA"/>
        </w:rPr>
        <w:br w:type="page"/>
      </w:r>
    </w:p>
    <w:p w14:paraId="0ADC5454">
      <w:pPr>
        <w:pageBreakBefore w:val="0"/>
        <w:kinsoku/>
        <w:overflowPunct/>
        <w:topLinePunct w:val="0"/>
        <w:bidi w:val="0"/>
        <w:adjustRightInd/>
        <w:spacing w:line="560" w:lineRule="exact"/>
        <w:ind w:left="0" w:leftChars="0" w:firstLine="0" w:firstLineChars="0"/>
        <w:textAlignment w:val="auto"/>
        <w:rPr>
          <w:rFonts w:hint="eastAsia"/>
        </w:rPr>
        <w:sectPr>
          <w:footerReference r:id="rId6" w:type="first"/>
          <w:pgSz w:w="16838" w:h="11906" w:orient="landscape"/>
          <w:pgMar w:top="1531" w:right="1361" w:bottom="1361" w:left="1361" w:header="284" w:footer="425" w:gutter="0"/>
          <w:pgNumType w:fmt="decimal"/>
          <w:cols w:space="425" w:num="1"/>
          <w:docGrid w:type="lines" w:linePitch="381" w:charSpace="0"/>
        </w:sectPr>
      </w:pPr>
    </w:p>
    <w:p w14:paraId="78574EFF">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eastAsia"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 xml:space="preserve">附表8 大型科学仪器设施基本信息表 </w:t>
      </w:r>
    </w:p>
    <w:p w14:paraId="1234321A">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（30</w:t>
      </w:r>
      <w:r>
        <w:rPr>
          <w:rFonts w:hint="eastAsia" w:ascii="仿宋_GB2312" w:hAnsi="仿宋_GB2312" w:eastAsia="仿宋_GB2312" w:cs="仿宋_GB2312"/>
          <w:color w:val="2D00C7"/>
          <w:sz w:val="24"/>
          <w:szCs w:val="24"/>
          <w:lang w:eastAsia="zh-CN"/>
        </w:rPr>
        <w:t>万元</w:t>
      </w:r>
      <w:r>
        <w:rPr>
          <w:rFonts w:hint="eastAsia" w:ascii="仿宋_GB2312" w:hAnsi="仿宋_GB2312" w:eastAsia="仿宋_GB2312" w:cs="仿宋_GB2312"/>
          <w:color w:val="2D00C7"/>
          <w:sz w:val="24"/>
          <w:szCs w:val="24"/>
        </w:rPr>
        <w:t>及以上的大型科学仪器、设备和设施，必须填写本表）</w:t>
      </w:r>
    </w:p>
    <w:p w14:paraId="5E0EA196">
      <w:pPr>
        <w:keepNext w:val="0"/>
        <w:keepLines w:val="0"/>
        <w:pageBreakBefore w:val="0"/>
        <w:widowControl w:val="0"/>
        <w:kinsoku/>
        <w:wordWrap/>
        <w:overflowPunct/>
        <w:topLinePunct w:val="0"/>
        <w:autoSpaceDE/>
        <w:autoSpaceDN/>
        <w:bidi w:val="0"/>
        <w:adjustRightInd/>
        <w:snapToGrid/>
        <w:spacing w:line="320" w:lineRule="exact"/>
        <w:ind w:left="0" w:firstLine="560" w:firstLineChars="200"/>
        <w:textAlignment w:val="auto"/>
        <w:rPr>
          <w:rFonts w:hint="eastAsia" w:ascii="仿宋_GB2312" w:hAnsi="仿宋_GB2312" w:eastAsia="仿宋_GB2312" w:cs="仿宋_GB2312"/>
          <w:color w:val="2D00C7"/>
        </w:rPr>
      </w:pPr>
    </w:p>
    <w:p w14:paraId="4A1FC546">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填表说明：</w:t>
      </w:r>
    </w:p>
    <w:p w14:paraId="2A64C73E">
      <w:pPr>
        <w:keepNext w:val="0"/>
        <w:keepLines w:val="0"/>
        <w:pageBreakBefore w:val="0"/>
        <w:widowControl w:val="0"/>
        <w:numPr>
          <w:ilvl w:val="0"/>
          <w:numId w:val="40"/>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仪器设施的中文名称：必须使用规范的名称，请勿使用简称；</w:t>
      </w:r>
    </w:p>
    <w:p w14:paraId="7FCC5CE9">
      <w:pPr>
        <w:keepNext w:val="0"/>
        <w:keepLines w:val="0"/>
        <w:pageBreakBefore w:val="0"/>
        <w:widowControl w:val="0"/>
        <w:numPr>
          <w:ilvl w:val="0"/>
          <w:numId w:val="40"/>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仪器型号规格：必须正确填写型号规格，请勿使用简称；</w:t>
      </w:r>
    </w:p>
    <w:p w14:paraId="24F23785">
      <w:pPr>
        <w:keepNext w:val="0"/>
        <w:keepLines w:val="0"/>
        <w:pageBreakBefore w:val="0"/>
        <w:widowControl w:val="0"/>
        <w:numPr>
          <w:ilvl w:val="0"/>
          <w:numId w:val="40"/>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预算经费：含附件价格；外汇购买的按购入时外汇牌价折合人民币值填写。</w:t>
      </w:r>
    </w:p>
    <w:p w14:paraId="628B3EC2">
      <w:pPr>
        <w:keepNext w:val="0"/>
        <w:keepLines w:val="0"/>
        <w:pageBreakBefore w:val="0"/>
        <w:widowControl w:val="0"/>
        <w:numPr>
          <w:ilvl w:val="0"/>
          <w:numId w:val="40"/>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分类编码：参考《科学仪器设备设施分类编码表》选择填写。</w:t>
      </w:r>
    </w:p>
    <w:p w14:paraId="08DB23C7">
      <w:pPr>
        <w:keepNext w:val="0"/>
        <w:keepLines w:val="0"/>
        <w:pageBreakBefore w:val="0"/>
        <w:widowControl w:val="0"/>
        <w:numPr>
          <w:ilvl w:val="0"/>
          <w:numId w:val="40"/>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生产国别与地区：参考《生产国别与地区代码表》选择填写。</w:t>
      </w:r>
    </w:p>
    <w:p w14:paraId="520FBB58">
      <w:pPr>
        <w:keepNext w:val="0"/>
        <w:keepLines w:val="0"/>
        <w:pageBreakBefore w:val="0"/>
        <w:widowControl w:val="0"/>
        <w:numPr>
          <w:ilvl w:val="0"/>
          <w:numId w:val="40"/>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制造商：请提供三家制造商的名称及相关询价信息。</w:t>
      </w:r>
    </w:p>
    <w:p w14:paraId="6D802F25">
      <w:pPr>
        <w:keepNext w:val="0"/>
        <w:keepLines w:val="0"/>
        <w:pageBreakBefore w:val="0"/>
        <w:widowControl w:val="0"/>
        <w:numPr>
          <w:ilvl w:val="0"/>
          <w:numId w:val="40"/>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50</w:t>
      </w:r>
      <w:r>
        <w:rPr>
          <w:rFonts w:hint="eastAsia" w:ascii="仿宋_GB2312" w:hAnsi="仿宋_GB2312" w:cs="仿宋_GB2312"/>
          <w:color w:val="2D00C7"/>
          <w:sz w:val="24"/>
          <w:szCs w:val="24"/>
          <w:lang w:eastAsia="zh-CN"/>
        </w:rPr>
        <w:t>万元</w:t>
      </w:r>
      <w:r>
        <w:rPr>
          <w:rFonts w:hint="eastAsia" w:ascii="仿宋_GB2312" w:hAnsi="仿宋_GB2312" w:eastAsia="仿宋_GB2312" w:cs="仿宋_GB2312"/>
          <w:color w:val="2D00C7"/>
          <w:sz w:val="24"/>
          <w:szCs w:val="24"/>
        </w:rPr>
        <w:t>以下的</w:t>
      </w:r>
      <w:r>
        <w:rPr>
          <w:rFonts w:hint="eastAsia" w:ascii="仿宋_GB2312" w:hAnsi="仿宋_GB2312" w:cs="仿宋_GB2312"/>
          <w:color w:val="2D00C7"/>
          <w:sz w:val="24"/>
          <w:szCs w:val="24"/>
          <w:lang w:eastAsia="zh-CN"/>
        </w:rPr>
        <w:t>只需</w:t>
      </w:r>
      <w:r>
        <w:rPr>
          <w:rFonts w:hint="eastAsia" w:ascii="仿宋_GB2312" w:hAnsi="仿宋_GB2312" w:eastAsia="仿宋_GB2312" w:cs="仿宋_GB2312"/>
          <w:color w:val="2D00C7"/>
          <w:sz w:val="24"/>
          <w:szCs w:val="24"/>
        </w:rPr>
        <w:t>填写“方案一”</w:t>
      </w:r>
    </w:p>
    <w:p w14:paraId="14AAE98F">
      <w:pPr>
        <w:keepNext w:val="0"/>
        <w:keepLines w:val="0"/>
        <w:pageBreakBefore w:val="0"/>
        <w:widowControl w:val="0"/>
        <w:numPr>
          <w:ilvl w:val="0"/>
          <w:numId w:val="40"/>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50</w:t>
      </w:r>
      <w:r>
        <w:rPr>
          <w:rFonts w:hint="eastAsia" w:ascii="仿宋_GB2312" w:hAnsi="仿宋_GB2312" w:cs="仿宋_GB2312"/>
          <w:color w:val="2D00C7"/>
          <w:sz w:val="24"/>
          <w:szCs w:val="24"/>
          <w:lang w:eastAsia="zh-CN"/>
        </w:rPr>
        <w:t>万元</w:t>
      </w:r>
      <w:r>
        <w:rPr>
          <w:rFonts w:hint="eastAsia" w:ascii="仿宋_GB2312" w:hAnsi="仿宋_GB2312" w:eastAsia="仿宋_GB2312" w:cs="仿宋_GB2312"/>
          <w:color w:val="2D00C7"/>
          <w:sz w:val="24"/>
          <w:szCs w:val="24"/>
        </w:rPr>
        <w:t>（含）以上的，只提供一家产品报价的，请附唯一性的理由说明。</w:t>
      </w:r>
    </w:p>
    <w:p w14:paraId="2B87683C">
      <w:pPr>
        <w:keepNext w:val="0"/>
        <w:keepLines w:val="0"/>
        <w:pageBreakBefore w:val="0"/>
        <w:widowControl w:val="0"/>
        <w:numPr>
          <w:ilvl w:val="0"/>
          <w:numId w:val="40"/>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服务接待时间：对外提供服务的具体时间段，如：9:00-16:00（周末和节假日除外）。</w:t>
      </w:r>
    </w:p>
    <w:p w14:paraId="309B6656">
      <w:pPr>
        <w:keepNext w:val="0"/>
        <w:keepLines w:val="0"/>
        <w:pageBreakBefore w:val="0"/>
        <w:widowControl w:val="0"/>
        <w:numPr>
          <w:ilvl w:val="0"/>
          <w:numId w:val="40"/>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30</w:t>
      </w:r>
      <w:r>
        <w:rPr>
          <w:rFonts w:hint="eastAsia" w:ascii="仿宋_GB2312" w:hAnsi="仿宋_GB2312" w:cs="仿宋_GB2312"/>
          <w:color w:val="2D00C7"/>
          <w:sz w:val="24"/>
          <w:szCs w:val="24"/>
          <w:lang w:eastAsia="zh-CN"/>
        </w:rPr>
        <w:t>万元</w:t>
      </w:r>
      <w:r>
        <w:rPr>
          <w:rFonts w:hint="eastAsia" w:ascii="仿宋_GB2312" w:hAnsi="仿宋_GB2312" w:eastAsia="仿宋_GB2312" w:cs="仿宋_GB2312"/>
          <w:color w:val="2D00C7"/>
          <w:sz w:val="24"/>
          <w:szCs w:val="24"/>
        </w:rPr>
        <w:t>（含）以上的仪器设施信息届时需导入上海研发公共服务平台</w:t>
      </w:r>
      <w:r>
        <w:rPr>
          <w:rFonts w:hint="eastAsia" w:ascii="仿宋_GB2312" w:hAnsi="仿宋_GB2312" w:eastAsia="仿宋_GB2312" w:cs="仿宋_GB2312"/>
          <w:color w:val="2D00C7"/>
          <w:sz w:val="24"/>
          <w:szCs w:val="24"/>
          <w:lang w:eastAsia="zh-CN"/>
        </w:rPr>
        <w:t>。</w:t>
      </w:r>
    </w:p>
    <w:tbl>
      <w:tblPr>
        <w:tblStyle w:val="18"/>
        <w:tblpPr w:leftFromText="180" w:rightFromText="180" w:vertAnchor="text" w:horzAnchor="page" w:tblpXSpec="center" w:tblpY="764"/>
        <w:tblOverlap w:val="never"/>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181"/>
        <w:gridCol w:w="1176"/>
        <w:gridCol w:w="63"/>
        <w:gridCol w:w="70"/>
        <w:gridCol w:w="390"/>
        <w:gridCol w:w="1759"/>
        <w:gridCol w:w="867"/>
        <w:gridCol w:w="268"/>
        <w:gridCol w:w="1276"/>
        <w:gridCol w:w="642"/>
        <w:gridCol w:w="2031"/>
      </w:tblGrid>
      <w:tr w14:paraId="56E40485">
        <w:trPr>
          <w:jc w:val="center"/>
        </w:trPr>
        <w:tc>
          <w:tcPr>
            <w:tcW w:w="2095" w:type="dxa"/>
            <w:gridSpan w:val="3"/>
            <w:vAlign w:val="center"/>
          </w:tcPr>
          <w:p w14:paraId="5953D76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分类编码</w:t>
            </w:r>
          </w:p>
        </w:tc>
        <w:tc>
          <w:tcPr>
            <w:tcW w:w="7366" w:type="dxa"/>
            <w:gridSpan w:val="9"/>
          </w:tcPr>
          <w:p w14:paraId="1CD33F8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2E95ACC8">
        <w:trPr>
          <w:jc w:val="center"/>
        </w:trPr>
        <w:tc>
          <w:tcPr>
            <w:tcW w:w="2095" w:type="dxa"/>
            <w:gridSpan w:val="3"/>
            <w:vMerge w:val="restart"/>
            <w:vAlign w:val="center"/>
          </w:tcPr>
          <w:p w14:paraId="04E35F9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仪器设施</w:t>
            </w:r>
          </w:p>
        </w:tc>
        <w:tc>
          <w:tcPr>
            <w:tcW w:w="2282" w:type="dxa"/>
            <w:gridSpan w:val="4"/>
            <w:vAlign w:val="center"/>
          </w:tcPr>
          <w:p w14:paraId="46F7AE9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中文名称</w:t>
            </w:r>
          </w:p>
        </w:tc>
        <w:tc>
          <w:tcPr>
            <w:tcW w:w="5084" w:type="dxa"/>
            <w:gridSpan w:val="5"/>
          </w:tcPr>
          <w:p w14:paraId="30EE6CB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45BFE4F7">
        <w:trPr>
          <w:jc w:val="center"/>
        </w:trPr>
        <w:tc>
          <w:tcPr>
            <w:tcW w:w="2095" w:type="dxa"/>
            <w:gridSpan w:val="3"/>
            <w:vMerge w:val="continue"/>
            <w:vAlign w:val="center"/>
          </w:tcPr>
          <w:p w14:paraId="1BE525F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282" w:type="dxa"/>
            <w:gridSpan w:val="4"/>
            <w:vAlign w:val="center"/>
          </w:tcPr>
          <w:p w14:paraId="05A7645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型号规格</w:t>
            </w:r>
          </w:p>
        </w:tc>
        <w:tc>
          <w:tcPr>
            <w:tcW w:w="5084" w:type="dxa"/>
            <w:gridSpan w:val="5"/>
          </w:tcPr>
          <w:p w14:paraId="1849CEE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14DEDAC2">
        <w:trPr>
          <w:jc w:val="center"/>
        </w:trPr>
        <w:tc>
          <w:tcPr>
            <w:tcW w:w="2095" w:type="dxa"/>
            <w:gridSpan w:val="3"/>
            <w:vMerge w:val="continue"/>
            <w:vAlign w:val="center"/>
          </w:tcPr>
          <w:p w14:paraId="1E72B8D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282" w:type="dxa"/>
            <w:gridSpan w:val="4"/>
            <w:vAlign w:val="center"/>
          </w:tcPr>
          <w:p w14:paraId="46C269C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单价</w:t>
            </w:r>
            <w:r>
              <w:rPr>
                <w:rFonts w:hint="eastAsia" w:ascii="仿宋_GB2312" w:hAnsi="仿宋_GB2312" w:cs="仿宋_GB2312"/>
                <w:sz w:val="21"/>
                <w:szCs w:val="21"/>
                <w:lang w:val="en-US" w:eastAsia="zh-CN"/>
              </w:rPr>
              <w:t>万</w:t>
            </w:r>
            <w:r>
              <w:rPr>
                <w:rFonts w:hint="eastAsia" w:ascii="仿宋_GB2312" w:hAnsi="仿宋_GB2312" w:eastAsia="仿宋_GB2312" w:cs="仿宋_GB2312"/>
                <w:sz w:val="21"/>
                <w:szCs w:val="21"/>
              </w:rPr>
              <w:t>元/台套</w:t>
            </w:r>
          </w:p>
          <w:p w14:paraId="16E25EA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（含附件）</w:t>
            </w:r>
          </w:p>
        </w:tc>
        <w:tc>
          <w:tcPr>
            <w:tcW w:w="5084" w:type="dxa"/>
            <w:gridSpan w:val="5"/>
          </w:tcPr>
          <w:p w14:paraId="22B4169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7E34397C">
        <w:trPr>
          <w:jc w:val="center"/>
        </w:trPr>
        <w:tc>
          <w:tcPr>
            <w:tcW w:w="2095" w:type="dxa"/>
            <w:gridSpan w:val="3"/>
            <w:vMerge w:val="continue"/>
            <w:vAlign w:val="center"/>
          </w:tcPr>
          <w:p w14:paraId="3D27A6A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282" w:type="dxa"/>
            <w:gridSpan w:val="4"/>
            <w:vAlign w:val="center"/>
          </w:tcPr>
          <w:p w14:paraId="62AFB3F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其中</w:t>
            </w:r>
            <w:r>
              <w:rPr>
                <w:rFonts w:hint="eastAsia" w:ascii="仿宋_GB2312" w:hAnsi="仿宋_GB2312" w:cs="仿宋_GB2312"/>
                <w:sz w:val="21"/>
                <w:szCs w:val="21"/>
                <w:lang w:eastAsia="zh-CN"/>
              </w:rPr>
              <w:t>：</w:t>
            </w:r>
            <w:r>
              <w:rPr>
                <w:rFonts w:hint="eastAsia" w:ascii="仿宋_GB2312" w:hAnsi="仿宋_GB2312" w:eastAsia="仿宋_GB2312" w:cs="仿宋_GB2312"/>
                <w:sz w:val="21"/>
                <w:szCs w:val="21"/>
              </w:rPr>
              <w:t>申请科委资助（单价）</w:t>
            </w:r>
          </w:p>
        </w:tc>
        <w:tc>
          <w:tcPr>
            <w:tcW w:w="5084" w:type="dxa"/>
            <w:gridSpan w:val="5"/>
          </w:tcPr>
          <w:p w14:paraId="616698A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7D5C518C">
        <w:trPr>
          <w:trHeight w:val="328" w:hRule="atLeast"/>
          <w:jc w:val="center"/>
        </w:trPr>
        <w:tc>
          <w:tcPr>
            <w:tcW w:w="919" w:type="dxa"/>
            <w:gridSpan w:val="2"/>
            <w:vMerge w:val="restart"/>
            <w:shd w:val="clear" w:color="auto" w:fill="auto"/>
            <w:vAlign w:val="center"/>
          </w:tcPr>
          <w:p w14:paraId="048A35B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仪器设施选购方案</w:t>
            </w:r>
          </w:p>
        </w:tc>
        <w:tc>
          <w:tcPr>
            <w:tcW w:w="1176" w:type="dxa"/>
            <w:shd w:val="clear" w:color="auto" w:fill="auto"/>
            <w:vAlign w:val="center"/>
          </w:tcPr>
          <w:p w14:paraId="23C8D3D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282" w:type="dxa"/>
            <w:gridSpan w:val="4"/>
            <w:vAlign w:val="center"/>
          </w:tcPr>
          <w:p w14:paraId="34FB8A31">
            <w:pPr>
              <w:keepNext w:val="0"/>
              <w:keepLines w:val="0"/>
              <w:pageBreakBefore w:val="0"/>
              <w:widowControl w:val="0"/>
              <w:kinsoku/>
              <w:wordWrap w:val="0"/>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方案一</w:t>
            </w:r>
          </w:p>
        </w:tc>
        <w:tc>
          <w:tcPr>
            <w:tcW w:w="2411" w:type="dxa"/>
            <w:gridSpan w:val="3"/>
            <w:vAlign w:val="center"/>
          </w:tcPr>
          <w:p w14:paraId="79493764">
            <w:pPr>
              <w:keepNext w:val="0"/>
              <w:keepLines w:val="0"/>
              <w:pageBreakBefore w:val="0"/>
              <w:widowControl w:val="0"/>
              <w:kinsoku/>
              <w:wordWrap w:val="0"/>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方案二</w:t>
            </w:r>
          </w:p>
        </w:tc>
        <w:tc>
          <w:tcPr>
            <w:tcW w:w="2673" w:type="dxa"/>
            <w:gridSpan w:val="2"/>
            <w:vAlign w:val="center"/>
          </w:tcPr>
          <w:p w14:paraId="13E3CDB0">
            <w:pPr>
              <w:keepNext w:val="0"/>
              <w:keepLines w:val="0"/>
              <w:pageBreakBefore w:val="0"/>
              <w:widowControl w:val="0"/>
              <w:kinsoku/>
              <w:wordWrap w:val="0"/>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方案三</w:t>
            </w:r>
          </w:p>
        </w:tc>
      </w:tr>
      <w:tr w14:paraId="23C63964">
        <w:trPr>
          <w:trHeight w:val="546" w:hRule="atLeast"/>
          <w:jc w:val="center"/>
        </w:trPr>
        <w:tc>
          <w:tcPr>
            <w:tcW w:w="919" w:type="dxa"/>
            <w:gridSpan w:val="2"/>
            <w:vMerge w:val="continue"/>
            <w:shd w:val="clear" w:color="auto" w:fill="auto"/>
            <w:vAlign w:val="center"/>
          </w:tcPr>
          <w:p w14:paraId="3306ECCB">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1176" w:type="dxa"/>
            <w:shd w:val="clear" w:color="auto" w:fill="auto"/>
            <w:vAlign w:val="center"/>
          </w:tcPr>
          <w:p w14:paraId="7B9800D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中文名称</w:t>
            </w:r>
          </w:p>
        </w:tc>
        <w:tc>
          <w:tcPr>
            <w:tcW w:w="2282" w:type="dxa"/>
            <w:gridSpan w:val="4"/>
            <w:vAlign w:val="center"/>
          </w:tcPr>
          <w:p w14:paraId="1F502BF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2A3B568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0D9CF12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67FF1D53">
        <w:trPr>
          <w:trHeight w:val="601" w:hRule="atLeast"/>
          <w:jc w:val="center"/>
        </w:trPr>
        <w:tc>
          <w:tcPr>
            <w:tcW w:w="919" w:type="dxa"/>
            <w:gridSpan w:val="2"/>
            <w:vMerge w:val="continue"/>
            <w:shd w:val="clear" w:color="auto" w:fill="auto"/>
            <w:vAlign w:val="center"/>
          </w:tcPr>
          <w:p w14:paraId="7A49A880">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1176" w:type="dxa"/>
            <w:shd w:val="clear" w:color="auto" w:fill="auto"/>
            <w:vAlign w:val="center"/>
          </w:tcPr>
          <w:p w14:paraId="18BF9B9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英文名称</w:t>
            </w:r>
          </w:p>
        </w:tc>
        <w:tc>
          <w:tcPr>
            <w:tcW w:w="2282" w:type="dxa"/>
            <w:gridSpan w:val="4"/>
            <w:vAlign w:val="center"/>
          </w:tcPr>
          <w:p w14:paraId="0BCFA56A">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44CF614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529CE16A">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5CC6CEF5">
        <w:trPr>
          <w:trHeight w:val="506" w:hRule="atLeast"/>
          <w:jc w:val="center"/>
        </w:trPr>
        <w:tc>
          <w:tcPr>
            <w:tcW w:w="2095" w:type="dxa"/>
            <w:gridSpan w:val="3"/>
            <w:vAlign w:val="center"/>
          </w:tcPr>
          <w:p w14:paraId="12A30C9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主机型号规格</w:t>
            </w:r>
          </w:p>
        </w:tc>
        <w:tc>
          <w:tcPr>
            <w:tcW w:w="2282" w:type="dxa"/>
            <w:gridSpan w:val="4"/>
            <w:vAlign w:val="center"/>
          </w:tcPr>
          <w:p w14:paraId="14D0228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3F64B19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667A730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11CC9EF5">
        <w:trPr>
          <w:trHeight w:val="403" w:hRule="atLeast"/>
          <w:jc w:val="center"/>
        </w:trPr>
        <w:tc>
          <w:tcPr>
            <w:tcW w:w="2095" w:type="dxa"/>
            <w:gridSpan w:val="3"/>
            <w:vAlign w:val="center"/>
          </w:tcPr>
          <w:p w14:paraId="14B6957C">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主要附件及配置</w:t>
            </w:r>
          </w:p>
        </w:tc>
        <w:tc>
          <w:tcPr>
            <w:tcW w:w="2282" w:type="dxa"/>
            <w:gridSpan w:val="4"/>
            <w:vAlign w:val="center"/>
          </w:tcPr>
          <w:p w14:paraId="1E795DC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5975DC8C">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5FB25080">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72A62A9C">
        <w:trPr>
          <w:trHeight w:val="408" w:hRule="atLeast"/>
          <w:jc w:val="center"/>
        </w:trPr>
        <w:tc>
          <w:tcPr>
            <w:tcW w:w="2095" w:type="dxa"/>
            <w:gridSpan w:val="3"/>
            <w:vAlign w:val="center"/>
          </w:tcPr>
          <w:p w14:paraId="05938D3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生产国别与地区</w:t>
            </w:r>
          </w:p>
        </w:tc>
        <w:tc>
          <w:tcPr>
            <w:tcW w:w="2282" w:type="dxa"/>
            <w:gridSpan w:val="4"/>
            <w:vAlign w:val="center"/>
          </w:tcPr>
          <w:p w14:paraId="3CD9286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4EFC01AB">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4F92C03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2FC3B54F">
        <w:trPr>
          <w:trHeight w:val="237" w:hRule="atLeast"/>
          <w:jc w:val="center"/>
        </w:trPr>
        <w:tc>
          <w:tcPr>
            <w:tcW w:w="2095" w:type="dxa"/>
            <w:gridSpan w:val="3"/>
            <w:vAlign w:val="center"/>
          </w:tcPr>
          <w:p w14:paraId="6B52E6C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制造商</w:t>
            </w:r>
          </w:p>
        </w:tc>
        <w:tc>
          <w:tcPr>
            <w:tcW w:w="2282" w:type="dxa"/>
            <w:gridSpan w:val="4"/>
            <w:vAlign w:val="center"/>
          </w:tcPr>
          <w:p w14:paraId="756A2DD9">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1F30613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771D07A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76ECB63D">
        <w:trPr>
          <w:jc w:val="center"/>
        </w:trPr>
        <w:tc>
          <w:tcPr>
            <w:tcW w:w="2095" w:type="dxa"/>
            <w:gridSpan w:val="3"/>
            <w:vAlign w:val="center"/>
          </w:tcPr>
          <w:p w14:paraId="63F21C3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询价（</w:t>
            </w:r>
            <w:r>
              <w:rPr>
                <w:rFonts w:hint="eastAsia" w:ascii="仿宋_GB2312" w:hAnsi="仿宋_GB2312" w:cs="仿宋_GB2312"/>
                <w:sz w:val="21"/>
                <w:szCs w:val="21"/>
                <w:lang w:eastAsia="zh-CN"/>
              </w:rPr>
              <w:t>万元</w:t>
            </w:r>
            <w:r>
              <w:rPr>
                <w:rFonts w:hint="eastAsia" w:ascii="仿宋_GB2312" w:hAnsi="仿宋_GB2312" w:eastAsia="仿宋_GB2312" w:cs="仿宋_GB2312"/>
                <w:sz w:val="21"/>
                <w:szCs w:val="21"/>
              </w:rPr>
              <w:t>/台）</w:t>
            </w:r>
          </w:p>
          <w:p w14:paraId="7A5275E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含附件</w:t>
            </w:r>
          </w:p>
        </w:tc>
        <w:tc>
          <w:tcPr>
            <w:tcW w:w="2282" w:type="dxa"/>
            <w:gridSpan w:val="4"/>
            <w:vAlign w:val="center"/>
          </w:tcPr>
          <w:p w14:paraId="2D7E929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482DBB6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28A6D7C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54410404">
        <w:trPr>
          <w:trHeight w:val="1761" w:hRule="atLeast"/>
          <w:jc w:val="center"/>
        </w:trPr>
        <w:tc>
          <w:tcPr>
            <w:tcW w:w="9461" w:type="dxa"/>
            <w:gridSpan w:val="12"/>
          </w:tcPr>
          <w:p w14:paraId="4E1DCCD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购置（试制）理由：（所申请仪器设施在本项目中的必要性、紧迫性、工作内容</w:t>
            </w:r>
            <w:r>
              <w:rPr>
                <w:rFonts w:hint="eastAsia" w:ascii="仿宋_GB2312" w:hAnsi="仿宋_GB2312" w:cs="仿宋_GB2312"/>
                <w:sz w:val="21"/>
                <w:szCs w:val="21"/>
                <w:lang w:eastAsia="zh-CN"/>
              </w:rPr>
              <w:t>、</w:t>
            </w:r>
            <w:r>
              <w:rPr>
                <w:rFonts w:hint="eastAsia" w:ascii="仿宋_GB2312" w:hAnsi="仿宋_GB2312" w:eastAsia="仿宋_GB2312" w:cs="仿宋_GB2312"/>
                <w:sz w:val="21"/>
                <w:szCs w:val="21"/>
              </w:rPr>
              <w:t>主要用途、选型理由等）</w:t>
            </w:r>
          </w:p>
          <w:p w14:paraId="7124CB20">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p w14:paraId="49206210">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30174E2E">
        <w:trPr>
          <w:trHeight w:val="446" w:hRule="atLeast"/>
          <w:jc w:val="center"/>
        </w:trPr>
        <w:tc>
          <w:tcPr>
            <w:tcW w:w="2228" w:type="dxa"/>
            <w:gridSpan w:val="5"/>
            <w:vAlign w:val="center"/>
          </w:tcPr>
          <w:p w14:paraId="31965ACA">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购置（试制）目的</w:t>
            </w:r>
          </w:p>
          <w:p w14:paraId="00F39EC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（单选）</w:t>
            </w:r>
          </w:p>
        </w:tc>
        <w:tc>
          <w:tcPr>
            <w:tcW w:w="7233" w:type="dxa"/>
            <w:gridSpan w:val="7"/>
            <w:vAlign w:val="center"/>
          </w:tcPr>
          <w:p w14:paraId="75EA8E0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  1-自用为主；  □ 2-对外服务为主</w:t>
            </w:r>
          </w:p>
        </w:tc>
      </w:tr>
      <w:tr w14:paraId="32541765">
        <w:trPr>
          <w:trHeight w:val="948" w:hRule="atLeast"/>
          <w:jc w:val="center"/>
        </w:trPr>
        <w:tc>
          <w:tcPr>
            <w:tcW w:w="2228" w:type="dxa"/>
            <w:gridSpan w:val="5"/>
            <w:vAlign w:val="center"/>
          </w:tcPr>
          <w:p w14:paraId="79D74EB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其他用途</w:t>
            </w:r>
          </w:p>
          <w:p w14:paraId="42758B5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（可多选）</w:t>
            </w:r>
          </w:p>
        </w:tc>
        <w:tc>
          <w:tcPr>
            <w:tcW w:w="7233" w:type="dxa"/>
            <w:gridSpan w:val="7"/>
            <w:vAlign w:val="center"/>
          </w:tcPr>
          <w:p w14:paraId="7B1DD49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u w:val="single"/>
              </w:rPr>
            </w:pPr>
            <w:r>
              <w:rPr>
                <w:rFonts w:hint="eastAsia" w:ascii="仿宋_GB2312" w:hAnsi="仿宋_GB2312" w:eastAsia="仿宋_GB2312" w:cs="仿宋_GB2312"/>
                <w:sz w:val="21"/>
                <w:szCs w:val="21"/>
              </w:rPr>
              <w:t xml:space="preserve">□ 01-科研；□ 02-教学；□ 03-行政执法技术保障；□ 04-公共技术服务；□ 05-生产控制； □ 06-其他 </w:t>
            </w:r>
          </w:p>
        </w:tc>
      </w:tr>
      <w:tr w14:paraId="295CAD19">
        <w:trPr>
          <w:trHeight w:val="1691" w:hRule="atLeast"/>
          <w:jc w:val="center"/>
        </w:trPr>
        <w:tc>
          <w:tcPr>
            <w:tcW w:w="2228" w:type="dxa"/>
            <w:gridSpan w:val="5"/>
            <w:vAlign w:val="center"/>
          </w:tcPr>
          <w:p w14:paraId="6D6991A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主要应用领域</w:t>
            </w:r>
          </w:p>
          <w:p w14:paraId="27E648A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（可多选）</w:t>
            </w:r>
          </w:p>
        </w:tc>
        <w:tc>
          <w:tcPr>
            <w:tcW w:w="7233" w:type="dxa"/>
            <w:gridSpan w:val="7"/>
          </w:tcPr>
          <w:p w14:paraId="476D569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□01-农/林/牧/渔业；□02-医疗/卫生；□03-矿业/冶金；□04-石油/化工；□05-材料/珠宝首饰；□06-机械；□07-电气工程；□08-电子/信息技术；□09-仪器/仪表；□10-建筑/道路；□11-交通/运输；□12-食品/药品；</w:t>
            </w:r>
          </w:p>
          <w:p w14:paraId="41C59CDB">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□13-娱乐/体育；□14-大气/海洋/土壤/环境；□15-天文；□16-考古；</w:t>
            </w:r>
          </w:p>
          <w:p w14:paraId="14F302A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□17-能源/核技术；□18-通信/广播/邮政；□19-轻工/纺织；</w:t>
            </w:r>
          </w:p>
          <w:p w14:paraId="7F7F4BF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u w:val="single"/>
              </w:rPr>
            </w:pPr>
            <w:r>
              <w:rPr>
                <w:rFonts w:hint="eastAsia" w:ascii="仿宋_GB2312" w:hAnsi="仿宋_GB2312" w:eastAsia="仿宋_GB2312" w:cs="仿宋_GB2312"/>
                <w:sz w:val="21"/>
                <w:szCs w:val="21"/>
              </w:rPr>
              <w:t>□20-水文气象；□21-其他</w:t>
            </w:r>
            <w:r>
              <w:rPr>
                <w:rFonts w:hint="eastAsia" w:ascii="仿宋_GB2312" w:hAnsi="仿宋_GB2312" w:eastAsia="仿宋_GB2312" w:cs="仿宋_GB2312"/>
                <w:sz w:val="21"/>
                <w:szCs w:val="21"/>
                <w:u w:val="single"/>
              </w:rPr>
              <w:t xml:space="preserve">                         </w:t>
            </w:r>
          </w:p>
        </w:tc>
      </w:tr>
      <w:tr w14:paraId="1D1B3345">
        <w:trPr>
          <w:trHeight w:val="483" w:hRule="atLeast"/>
          <w:jc w:val="center"/>
        </w:trPr>
        <w:tc>
          <w:tcPr>
            <w:tcW w:w="2228" w:type="dxa"/>
            <w:gridSpan w:val="5"/>
            <w:vAlign w:val="center"/>
          </w:tcPr>
          <w:p w14:paraId="2A7EFF7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安装使用环境及条件</w:t>
            </w:r>
          </w:p>
        </w:tc>
        <w:tc>
          <w:tcPr>
            <w:tcW w:w="7233" w:type="dxa"/>
            <w:gridSpan w:val="7"/>
          </w:tcPr>
          <w:p w14:paraId="4773B669">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（包括放置地点、面积、水电气保障情况、配套设备需求、安全保护要求、环保影响及预防措施等）</w:t>
            </w:r>
          </w:p>
        </w:tc>
      </w:tr>
      <w:tr w14:paraId="108FB565">
        <w:trPr>
          <w:trHeight w:val="692" w:hRule="atLeast"/>
          <w:jc w:val="center"/>
        </w:trPr>
        <w:tc>
          <w:tcPr>
            <w:tcW w:w="2228" w:type="dxa"/>
            <w:gridSpan w:val="5"/>
            <w:vAlign w:val="center"/>
          </w:tcPr>
          <w:p w14:paraId="67FFD0A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预计年开机小时数</w:t>
            </w:r>
          </w:p>
        </w:tc>
        <w:tc>
          <w:tcPr>
            <w:tcW w:w="7233" w:type="dxa"/>
            <w:gridSpan w:val="7"/>
            <w:vAlign w:val="center"/>
          </w:tcPr>
          <w:p w14:paraId="0F5DFA58">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2100" w:firstLineChars="1000"/>
              <w:textAlignment w:val="auto"/>
              <w:rPr>
                <w:rFonts w:hint="eastAsia" w:ascii="仿宋_GB2312" w:hAnsi="仿宋_GB2312" w:eastAsia="仿宋_GB2312" w:cs="仿宋_GB2312"/>
                <w:sz w:val="21"/>
                <w:szCs w:val="21"/>
              </w:rPr>
            </w:pPr>
            <w:r>
              <w:rPr>
                <w:rFonts w:hint="eastAsia" w:ascii="仿宋_GB2312" w:hAnsi="仿宋_GB2312" w:eastAsia="仿宋_GB2312" w:cs="仿宋_GB2312"/>
                <w:color w:val="0000FF"/>
                <w:sz w:val="21"/>
                <w:szCs w:val="21"/>
              </w:rPr>
              <w:t xml:space="preserve">      </w:t>
            </w:r>
            <w:r>
              <w:rPr>
                <w:rFonts w:hint="eastAsia" w:ascii="仿宋_GB2312" w:hAnsi="仿宋_GB2312" w:eastAsia="仿宋_GB2312" w:cs="仿宋_GB2312"/>
                <w:sz w:val="21"/>
                <w:szCs w:val="21"/>
              </w:rPr>
              <w:t>小时/年</w:t>
            </w:r>
          </w:p>
        </w:tc>
      </w:tr>
      <w:tr w14:paraId="78204A85">
        <w:trPr>
          <w:trHeight w:val="692" w:hRule="atLeast"/>
          <w:jc w:val="center"/>
        </w:trPr>
        <w:tc>
          <w:tcPr>
            <w:tcW w:w="2228" w:type="dxa"/>
            <w:gridSpan w:val="5"/>
            <w:vAlign w:val="center"/>
          </w:tcPr>
          <w:p w14:paraId="00B130A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预计项目年度</w:t>
            </w:r>
          </w:p>
          <w:p w14:paraId="23CAA80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使用机时数</w:t>
            </w:r>
          </w:p>
        </w:tc>
        <w:tc>
          <w:tcPr>
            <w:tcW w:w="7233" w:type="dxa"/>
            <w:gridSpan w:val="7"/>
            <w:vAlign w:val="center"/>
          </w:tcPr>
          <w:p w14:paraId="6854B4BF">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color w:val="0000FF"/>
                <w:sz w:val="21"/>
                <w:szCs w:val="21"/>
              </w:rPr>
              <w:t xml:space="preserve">                          </w:t>
            </w:r>
            <w:r>
              <w:rPr>
                <w:rFonts w:hint="eastAsia" w:ascii="仿宋_GB2312" w:hAnsi="仿宋_GB2312" w:eastAsia="仿宋_GB2312" w:cs="仿宋_GB2312"/>
                <w:sz w:val="21"/>
                <w:szCs w:val="21"/>
              </w:rPr>
              <w:t>小时/年</w:t>
            </w:r>
          </w:p>
        </w:tc>
      </w:tr>
      <w:tr w14:paraId="1A7F8B31">
        <w:trPr>
          <w:trHeight w:val="1343" w:hRule="atLeast"/>
          <w:jc w:val="center"/>
        </w:trPr>
        <w:tc>
          <w:tcPr>
            <w:tcW w:w="2228" w:type="dxa"/>
            <w:gridSpan w:val="5"/>
            <w:vAlign w:val="center"/>
          </w:tcPr>
          <w:p w14:paraId="670505A9">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本仪器能否提供</w:t>
            </w:r>
          </w:p>
          <w:p w14:paraId="1039FFD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对外共享服务</w:t>
            </w:r>
          </w:p>
        </w:tc>
        <w:tc>
          <w:tcPr>
            <w:tcW w:w="7233" w:type="dxa"/>
            <w:gridSpan w:val="7"/>
            <w:vAlign w:val="center"/>
          </w:tcPr>
          <w:p w14:paraId="3AC819BC">
            <w:pPr>
              <w:keepNext w:val="0"/>
              <w:keepLines w:val="0"/>
              <w:pageBreakBefore w:val="0"/>
              <w:widowControl w:val="0"/>
              <w:numPr>
                <w:ilvl w:val="0"/>
                <w:numId w:val="41"/>
              </w:numPr>
              <w:tabs>
                <w:tab w:val="clear" w:pos="360"/>
              </w:tabs>
              <w:kinsoku/>
              <w:wordWrap/>
              <w:overflowPunct/>
              <w:topLinePunct w:val="0"/>
              <w:autoSpaceDE/>
              <w:autoSpaceDN/>
              <w:bidi w:val="0"/>
              <w:adjustRightInd/>
              <w:snapToGrid w:val="0"/>
              <w:spacing w:beforeAutospacing="0" w:afterAutospacing="0" w:line="320" w:lineRule="exact"/>
              <w:ind w:left="0" w:leftChars="0" w:right="0" w:hanging="36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 1-是；□ 2-否</w:t>
            </w:r>
          </w:p>
          <w:p w14:paraId="591A373C">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（如选“否”，请说明理由）</w:t>
            </w:r>
          </w:p>
          <w:p w14:paraId="4F5F23EE">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理由：</w:t>
            </w:r>
          </w:p>
          <w:p w14:paraId="42E4E199">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p w14:paraId="71748E25">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26761C93">
        <w:trPr>
          <w:jc w:val="center"/>
        </w:trPr>
        <w:tc>
          <w:tcPr>
            <w:tcW w:w="2228" w:type="dxa"/>
            <w:gridSpan w:val="5"/>
            <w:tcBorders>
              <w:bottom w:val="single" w:color="auto" w:sz="4" w:space="0"/>
            </w:tcBorders>
            <w:vAlign w:val="center"/>
          </w:tcPr>
          <w:p w14:paraId="3B904BF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预计每年可供对外</w:t>
            </w:r>
          </w:p>
          <w:p w14:paraId="5918D7C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共享服务时间</w:t>
            </w:r>
          </w:p>
        </w:tc>
        <w:tc>
          <w:tcPr>
            <w:tcW w:w="7233" w:type="dxa"/>
            <w:gridSpan w:val="7"/>
            <w:tcBorders>
              <w:bottom w:val="single" w:color="auto" w:sz="4" w:space="0"/>
            </w:tcBorders>
            <w:vAlign w:val="center"/>
          </w:tcPr>
          <w:p w14:paraId="40C8DE94">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color w:val="0000FF"/>
                <w:sz w:val="21"/>
                <w:szCs w:val="21"/>
              </w:rPr>
              <w:t xml:space="preserve">                          </w:t>
            </w:r>
            <w:r>
              <w:rPr>
                <w:rFonts w:hint="eastAsia" w:ascii="仿宋_GB2312" w:hAnsi="仿宋_GB2312" w:eastAsia="仿宋_GB2312" w:cs="仿宋_GB2312"/>
                <w:sz w:val="21"/>
                <w:szCs w:val="21"/>
              </w:rPr>
              <w:t>小时/年</w:t>
            </w:r>
          </w:p>
        </w:tc>
      </w:tr>
      <w:tr w14:paraId="7D7B847B">
        <w:trPr>
          <w:trHeight w:val="511" w:hRule="atLeast"/>
          <w:jc w:val="center"/>
        </w:trPr>
        <w:tc>
          <w:tcPr>
            <w:tcW w:w="9461" w:type="dxa"/>
            <w:gridSpan w:val="12"/>
            <w:tcBorders>
              <w:bottom w:val="single" w:color="auto" w:sz="4" w:space="0"/>
            </w:tcBorders>
            <w:vAlign w:val="center"/>
          </w:tcPr>
          <w:p w14:paraId="7F63A09D">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共享服务方案</w:t>
            </w:r>
          </w:p>
        </w:tc>
      </w:tr>
      <w:tr w14:paraId="2C2B417C">
        <w:trPr>
          <w:trHeight w:val="444" w:hRule="atLeast"/>
          <w:jc w:val="center"/>
        </w:trPr>
        <w:tc>
          <w:tcPr>
            <w:tcW w:w="2158" w:type="dxa"/>
            <w:gridSpan w:val="4"/>
            <w:tcBorders>
              <w:bottom w:val="single" w:color="auto" w:sz="4" w:space="0"/>
            </w:tcBorders>
            <w:vAlign w:val="center"/>
          </w:tcPr>
          <w:p w14:paraId="13668131">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服务部门</w:t>
            </w:r>
          </w:p>
        </w:tc>
        <w:tc>
          <w:tcPr>
            <w:tcW w:w="3086" w:type="dxa"/>
            <w:gridSpan w:val="4"/>
            <w:tcBorders>
              <w:bottom w:val="single" w:color="auto" w:sz="4" w:space="0"/>
            </w:tcBorders>
            <w:vAlign w:val="center"/>
          </w:tcPr>
          <w:p w14:paraId="109A8FE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186" w:type="dxa"/>
            <w:gridSpan w:val="3"/>
            <w:tcBorders>
              <w:bottom w:val="single" w:color="auto" w:sz="4" w:space="0"/>
            </w:tcBorders>
            <w:vAlign w:val="center"/>
          </w:tcPr>
          <w:p w14:paraId="4B02713B">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服务联系人</w:t>
            </w:r>
          </w:p>
        </w:tc>
        <w:tc>
          <w:tcPr>
            <w:tcW w:w="2031" w:type="dxa"/>
            <w:tcBorders>
              <w:bottom w:val="single" w:color="auto" w:sz="4" w:space="0"/>
            </w:tcBorders>
            <w:vAlign w:val="center"/>
          </w:tcPr>
          <w:p w14:paraId="4ECFA14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r>
      <w:tr w14:paraId="7164FDAF">
        <w:trPr>
          <w:trHeight w:val="421" w:hRule="atLeast"/>
          <w:jc w:val="center"/>
        </w:trPr>
        <w:tc>
          <w:tcPr>
            <w:tcW w:w="2158" w:type="dxa"/>
            <w:gridSpan w:val="4"/>
            <w:tcBorders>
              <w:bottom w:val="single" w:color="auto" w:sz="4" w:space="0"/>
            </w:tcBorders>
            <w:vAlign w:val="center"/>
          </w:tcPr>
          <w:p w14:paraId="4BCEA507">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联系电话</w:t>
            </w:r>
          </w:p>
        </w:tc>
        <w:tc>
          <w:tcPr>
            <w:tcW w:w="3086" w:type="dxa"/>
            <w:gridSpan w:val="4"/>
            <w:tcBorders>
              <w:bottom w:val="single" w:color="auto" w:sz="4" w:space="0"/>
            </w:tcBorders>
            <w:vAlign w:val="center"/>
          </w:tcPr>
          <w:p w14:paraId="0EF3CF9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186" w:type="dxa"/>
            <w:gridSpan w:val="3"/>
            <w:tcBorders>
              <w:bottom w:val="single" w:color="auto" w:sz="4" w:space="0"/>
            </w:tcBorders>
            <w:vAlign w:val="center"/>
          </w:tcPr>
          <w:p w14:paraId="5DA56AAB">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服务接待时间</w:t>
            </w:r>
          </w:p>
        </w:tc>
        <w:tc>
          <w:tcPr>
            <w:tcW w:w="2031" w:type="dxa"/>
            <w:tcBorders>
              <w:bottom w:val="single" w:color="auto" w:sz="4" w:space="0"/>
            </w:tcBorders>
            <w:vAlign w:val="center"/>
          </w:tcPr>
          <w:p w14:paraId="59B19D6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r>
      <w:tr w14:paraId="6A3F73F8">
        <w:trPr>
          <w:trHeight w:val="567" w:hRule="atLeast"/>
          <w:jc w:val="center"/>
        </w:trPr>
        <w:tc>
          <w:tcPr>
            <w:tcW w:w="2158" w:type="dxa"/>
            <w:gridSpan w:val="4"/>
            <w:tcBorders>
              <w:bottom w:val="single" w:color="auto" w:sz="4" w:space="0"/>
            </w:tcBorders>
            <w:vAlign w:val="center"/>
          </w:tcPr>
          <w:p w14:paraId="29C08D67">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服务形式</w:t>
            </w:r>
          </w:p>
        </w:tc>
        <w:tc>
          <w:tcPr>
            <w:tcW w:w="7303" w:type="dxa"/>
            <w:gridSpan w:val="8"/>
            <w:tcBorders>
              <w:bottom w:val="single" w:color="auto" w:sz="4" w:space="0"/>
            </w:tcBorders>
            <w:vAlign w:val="center"/>
          </w:tcPr>
          <w:p w14:paraId="0DBC5976">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 xml:space="preserve">□直接租用仪器    □用户委托技术服务 </w:t>
            </w:r>
          </w:p>
        </w:tc>
      </w:tr>
      <w:tr w14:paraId="47D1C484">
        <w:trPr>
          <w:trHeight w:val="133" w:hRule="atLeast"/>
          <w:jc w:val="center"/>
        </w:trPr>
        <w:tc>
          <w:tcPr>
            <w:tcW w:w="9461" w:type="dxa"/>
            <w:gridSpan w:val="12"/>
          </w:tcPr>
          <w:p w14:paraId="3B954F7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项目承担单位现有同类仪器设施基本情况和使用状况</w:t>
            </w:r>
          </w:p>
        </w:tc>
      </w:tr>
      <w:tr w14:paraId="4FA5EDB7">
        <w:trPr>
          <w:trHeight w:val="1019" w:hRule="exact"/>
          <w:jc w:val="center"/>
        </w:trPr>
        <w:tc>
          <w:tcPr>
            <w:tcW w:w="738" w:type="dxa"/>
            <w:shd w:val="clear" w:color="auto" w:fill="auto"/>
            <w:vAlign w:val="center"/>
          </w:tcPr>
          <w:p w14:paraId="0080CED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序号</w:t>
            </w:r>
          </w:p>
        </w:tc>
        <w:tc>
          <w:tcPr>
            <w:tcW w:w="1880" w:type="dxa"/>
            <w:gridSpan w:val="5"/>
            <w:shd w:val="clear" w:color="auto" w:fill="auto"/>
            <w:vAlign w:val="center"/>
          </w:tcPr>
          <w:p w14:paraId="49E94F7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名称</w:t>
            </w:r>
          </w:p>
        </w:tc>
        <w:tc>
          <w:tcPr>
            <w:tcW w:w="1759" w:type="dxa"/>
            <w:shd w:val="clear" w:color="auto" w:fill="auto"/>
            <w:vAlign w:val="center"/>
          </w:tcPr>
          <w:p w14:paraId="6AD99E2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型号规格</w:t>
            </w:r>
          </w:p>
        </w:tc>
        <w:tc>
          <w:tcPr>
            <w:tcW w:w="1135" w:type="dxa"/>
            <w:gridSpan w:val="2"/>
            <w:shd w:val="clear" w:color="auto" w:fill="auto"/>
            <w:vAlign w:val="center"/>
          </w:tcPr>
          <w:p w14:paraId="5713F91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价值</w:t>
            </w:r>
          </w:p>
          <w:p w14:paraId="0C1F75A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r>
              <w:rPr>
                <w:rFonts w:hint="eastAsia" w:ascii="仿宋_GB2312" w:hAnsi="仿宋_GB2312" w:cs="仿宋_GB2312"/>
                <w:sz w:val="21"/>
                <w:szCs w:val="21"/>
                <w:lang w:eastAsia="zh-CN"/>
              </w:rPr>
              <w:t>万元</w:t>
            </w:r>
            <w:r>
              <w:rPr>
                <w:rFonts w:hint="eastAsia" w:ascii="仿宋_GB2312" w:hAnsi="仿宋_GB2312" w:eastAsia="仿宋_GB2312" w:cs="仿宋_GB2312"/>
                <w:sz w:val="21"/>
                <w:szCs w:val="21"/>
              </w:rPr>
              <w:t>）</w:t>
            </w:r>
          </w:p>
        </w:tc>
        <w:tc>
          <w:tcPr>
            <w:tcW w:w="1918" w:type="dxa"/>
            <w:gridSpan w:val="2"/>
            <w:shd w:val="clear" w:color="auto" w:fill="auto"/>
            <w:vAlign w:val="center"/>
          </w:tcPr>
          <w:p w14:paraId="78A9974B">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年开机时数</w:t>
            </w:r>
          </w:p>
          <w:p w14:paraId="0A84090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（小时/年）</w:t>
            </w:r>
          </w:p>
        </w:tc>
        <w:tc>
          <w:tcPr>
            <w:tcW w:w="2031" w:type="dxa"/>
            <w:vAlign w:val="center"/>
          </w:tcPr>
          <w:p w14:paraId="3779B09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是否共享</w:t>
            </w:r>
          </w:p>
        </w:tc>
      </w:tr>
      <w:tr w14:paraId="428CED22">
        <w:trPr>
          <w:trHeight w:val="454" w:hRule="exact"/>
          <w:jc w:val="center"/>
        </w:trPr>
        <w:tc>
          <w:tcPr>
            <w:tcW w:w="738" w:type="dxa"/>
            <w:shd w:val="clear" w:color="auto" w:fill="auto"/>
          </w:tcPr>
          <w:p w14:paraId="1E70A80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1880" w:type="dxa"/>
            <w:gridSpan w:val="5"/>
            <w:shd w:val="clear" w:color="auto" w:fill="auto"/>
          </w:tcPr>
          <w:p w14:paraId="30023AA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1759" w:type="dxa"/>
            <w:shd w:val="clear" w:color="auto" w:fill="auto"/>
          </w:tcPr>
          <w:p w14:paraId="140078D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1135" w:type="dxa"/>
            <w:gridSpan w:val="2"/>
            <w:shd w:val="clear" w:color="auto" w:fill="auto"/>
          </w:tcPr>
          <w:p w14:paraId="48D4F299">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1918" w:type="dxa"/>
            <w:gridSpan w:val="2"/>
            <w:shd w:val="clear" w:color="auto" w:fill="auto"/>
          </w:tcPr>
          <w:p w14:paraId="3C30545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031" w:type="dxa"/>
          </w:tcPr>
          <w:p w14:paraId="5C7C082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bl>
    <w:p w14:paraId="6D5030AC">
      <w:pPr>
        <w:keepNext w:val="0"/>
        <w:keepLines w:val="0"/>
        <w:pageBreakBefore w:val="0"/>
        <w:widowControl w:val="0"/>
        <w:kinsoku/>
        <w:wordWrap/>
        <w:overflowPunct/>
        <w:topLinePunct w:val="0"/>
        <w:autoSpaceDE/>
        <w:autoSpaceDN/>
        <w:bidi w:val="0"/>
        <w:adjustRightInd/>
        <w:spacing w:line="320" w:lineRule="exact"/>
        <w:ind w:left="0" w:firstLine="0" w:firstLineChars="0"/>
        <w:textAlignment w:val="auto"/>
        <w:rPr>
          <w:rFonts w:hint="eastAsia" w:ascii="仿宋_GB2312" w:hAnsi="仿宋_GB2312" w:eastAsia="仿宋_GB2312" w:cs="仿宋_GB2312"/>
        </w:rPr>
      </w:pPr>
    </w:p>
    <w:p w14:paraId="27F128EE">
      <w:pPr>
        <w:pageBreakBefore w:val="0"/>
        <w:kinsoku/>
        <w:wordWrap/>
        <w:overflowPunct/>
        <w:topLinePunct w:val="0"/>
        <w:autoSpaceDE w:val="0"/>
        <w:autoSpaceDN w:val="0"/>
        <w:bidi w:val="0"/>
        <w:adjustRightInd/>
        <w:spacing w:line="560" w:lineRule="exact"/>
        <w:ind w:left="0" w:firstLine="0" w:firstLineChars="0"/>
        <w:textAlignment w:val="auto"/>
        <w:rPr>
          <w:rFonts w:ascii="宋体" w:hAnsi="宋体" w:cs="Times New Roman"/>
          <w:sz w:val="18"/>
          <w:szCs w:val="18"/>
        </w:rPr>
      </w:pPr>
      <w:r>
        <w:rPr>
          <w:rFonts w:ascii="宋体" w:hAnsi="宋体" w:cs="Times New Roman"/>
          <w:sz w:val="18"/>
          <w:szCs w:val="18"/>
        </w:rPr>
        <w:br w:type="page"/>
      </w:r>
    </w:p>
    <w:p w14:paraId="06736E8D">
      <w:pPr>
        <w:pageBreakBefore w:val="0"/>
        <w:tabs>
          <w:tab w:val="center" w:pos="7078"/>
          <w:tab w:val="left" w:pos="9520"/>
        </w:tabs>
        <w:kinsoku/>
        <w:overflowPunct/>
        <w:topLinePunct w:val="0"/>
        <w:bidi w:val="0"/>
        <w:adjustRightInd/>
        <w:spacing w:beforeAutospacing="0" w:afterAutospacing="0" w:line="560" w:lineRule="exact"/>
        <w:ind w:left="0" w:leftChars="0" w:right="0" w:firstLine="0" w:firstLineChars="0"/>
        <w:jc w:val="both"/>
        <w:textAlignment w:val="auto"/>
        <w:rPr>
          <w:rFonts w:hint="eastAsia"/>
        </w:rPr>
        <w:sectPr>
          <w:pgSz w:w="11906" w:h="16838"/>
          <w:pgMar w:top="1531" w:right="1361" w:bottom="1361" w:left="1361" w:header="284" w:footer="425" w:gutter="0"/>
          <w:pgNumType w:fmt="decimal"/>
          <w:cols w:space="425" w:num="1"/>
          <w:docGrid w:type="lines" w:linePitch="381" w:charSpace="0"/>
        </w:sectPr>
      </w:pPr>
    </w:p>
    <w:p w14:paraId="23BE9FF5">
      <w:pPr>
        <w:pageBreakBefore w:val="0"/>
        <w:widowControl w:val="0"/>
        <w:tabs>
          <w:tab w:val="center" w:pos="7078"/>
          <w:tab w:val="left" w:pos="9520"/>
        </w:tabs>
        <w:kinsoku/>
        <w:overflowPunct/>
        <w:topLinePunct w:val="0"/>
        <w:autoSpaceDE w:val="0"/>
        <w:autoSpaceDN w:val="0"/>
        <w:bidi w:val="0"/>
        <w:adjustRightInd/>
        <w:spacing w:beforeAutospacing="0" w:afterAutospacing="0" w:line="560" w:lineRule="exact"/>
        <w:ind w:left="0" w:leftChars="0" w:right="0" w:firstLine="0" w:firstLineChars="0"/>
        <w:jc w:val="both"/>
        <w:textAlignment w:val="auto"/>
        <w:rPr>
          <w:rFonts w:ascii="Times New Roman" w:hAnsi="Times New Roman" w:eastAsia="仿宋_GB2312" w:cs="Times New Roman"/>
          <w:kern w:val="2"/>
          <w:sz w:val="32"/>
          <w:szCs w:val="24"/>
          <w:lang w:val="en-US" w:eastAsia="zh-CN" w:bidi="ar-SA"/>
        </w:rPr>
      </w:pPr>
      <w:r>
        <w:rPr>
          <w:rFonts w:hint="eastAsia" w:ascii="黑体" w:hAnsi="黑体" w:eastAsia="黑体" w:cs="Times New Roman"/>
          <w:kern w:val="2"/>
          <w:sz w:val="32"/>
          <w:szCs w:val="24"/>
          <w:lang w:val="en-US" w:eastAsia="zh-CN" w:bidi="ar-SA"/>
        </w:rPr>
        <w:t xml:space="preserve">附表9 </w:t>
      </w:r>
      <w:r>
        <w:rPr>
          <w:rFonts w:ascii="黑体" w:hAnsi="黑体" w:eastAsia="黑体" w:cs="Times New Roman"/>
          <w:kern w:val="2"/>
          <w:sz w:val="32"/>
          <w:szCs w:val="24"/>
          <w:lang w:val="en-US" w:eastAsia="zh-CN" w:bidi="ar-SA"/>
        </w:rPr>
        <w:t>实验动物使用情况表</w:t>
      </w:r>
    </w:p>
    <w:p w14:paraId="5E78A91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（申请市科委科研计划项目研究内容涉及实验动物时，必须填写本表）</w:t>
      </w:r>
    </w:p>
    <w:tbl>
      <w:tblPr>
        <w:tblStyle w:val="18"/>
        <w:tblW w:w="145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954"/>
        <w:gridCol w:w="379"/>
        <w:gridCol w:w="472"/>
        <w:gridCol w:w="850"/>
        <w:gridCol w:w="585"/>
        <w:gridCol w:w="408"/>
        <w:gridCol w:w="1134"/>
        <w:gridCol w:w="258"/>
        <w:gridCol w:w="876"/>
        <w:gridCol w:w="850"/>
        <w:gridCol w:w="1276"/>
        <w:gridCol w:w="850"/>
        <w:gridCol w:w="2127"/>
        <w:gridCol w:w="1275"/>
        <w:gridCol w:w="426"/>
        <w:gridCol w:w="1300"/>
      </w:tblGrid>
      <w:tr w14:paraId="7D2D947D">
        <w:trPr>
          <w:jc w:val="center"/>
        </w:trPr>
        <w:tc>
          <w:tcPr>
            <w:tcW w:w="1873" w:type="dxa"/>
            <w:gridSpan w:val="3"/>
          </w:tcPr>
          <w:p w14:paraId="2373A2E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项目编号</w:t>
            </w:r>
          </w:p>
        </w:tc>
        <w:tc>
          <w:tcPr>
            <w:tcW w:w="1907" w:type="dxa"/>
            <w:gridSpan w:val="3"/>
          </w:tcPr>
          <w:p w14:paraId="0D6042B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800" w:type="dxa"/>
            <w:gridSpan w:val="3"/>
          </w:tcPr>
          <w:p w14:paraId="68ECEFD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项目名称</w:t>
            </w:r>
          </w:p>
        </w:tc>
        <w:tc>
          <w:tcPr>
            <w:tcW w:w="8980" w:type="dxa"/>
            <w:gridSpan w:val="8"/>
          </w:tcPr>
          <w:p w14:paraId="147A29D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0D6E8C69">
        <w:trPr>
          <w:jc w:val="center"/>
        </w:trPr>
        <w:tc>
          <w:tcPr>
            <w:tcW w:w="1873" w:type="dxa"/>
            <w:gridSpan w:val="3"/>
            <w:tcBorders>
              <w:bottom w:val="double" w:color="auto" w:sz="4" w:space="0"/>
            </w:tcBorders>
          </w:tcPr>
          <w:p w14:paraId="5012235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承担单位</w:t>
            </w:r>
          </w:p>
        </w:tc>
        <w:tc>
          <w:tcPr>
            <w:tcW w:w="5433" w:type="dxa"/>
            <w:gridSpan w:val="8"/>
            <w:tcBorders>
              <w:bottom w:val="double" w:color="auto" w:sz="4" w:space="0"/>
            </w:tcBorders>
          </w:tcPr>
          <w:p w14:paraId="6C619E6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276" w:type="dxa"/>
            <w:tcBorders>
              <w:bottom w:val="double" w:color="auto" w:sz="4" w:space="0"/>
            </w:tcBorders>
          </w:tcPr>
          <w:p w14:paraId="7497D6E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责任人</w:t>
            </w:r>
          </w:p>
        </w:tc>
        <w:tc>
          <w:tcPr>
            <w:tcW w:w="2977" w:type="dxa"/>
            <w:gridSpan w:val="2"/>
            <w:tcBorders>
              <w:bottom w:val="double" w:color="auto" w:sz="4" w:space="0"/>
            </w:tcBorders>
          </w:tcPr>
          <w:p w14:paraId="70C5381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275" w:type="dxa"/>
            <w:tcBorders>
              <w:bottom w:val="double" w:color="auto" w:sz="4" w:space="0"/>
            </w:tcBorders>
          </w:tcPr>
          <w:p w14:paraId="340B3A3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手机号码</w:t>
            </w:r>
          </w:p>
        </w:tc>
        <w:tc>
          <w:tcPr>
            <w:tcW w:w="1726" w:type="dxa"/>
            <w:gridSpan w:val="2"/>
            <w:tcBorders>
              <w:bottom w:val="double" w:color="auto" w:sz="4" w:space="0"/>
            </w:tcBorders>
          </w:tcPr>
          <w:p w14:paraId="50C0FA5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1D211F2C">
        <w:trPr>
          <w:jc w:val="center"/>
        </w:trPr>
        <w:tc>
          <w:tcPr>
            <w:tcW w:w="7306" w:type="dxa"/>
            <w:gridSpan w:val="11"/>
            <w:tcBorders>
              <w:top w:val="double" w:color="auto" w:sz="4" w:space="0"/>
            </w:tcBorders>
          </w:tcPr>
          <w:p w14:paraId="0075381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实验动物情况</w:t>
            </w:r>
          </w:p>
        </w:tc>
        <w:tc>
          <w:tcPr>
            <w:tcW w:w="4253" w:type="dxa"/>
            <w:gridSpan w:val="3"/>
            <w:tcBorders>
              <w:top w:val="double" w:color="auto" w:sz="4" w:space="0"/>
            </w:tcBorders>
          </w:tcPr>
          <w:p w14:paraId="65AAAF2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使用地点情况</w:t>
            </w:r>
          </w:p>
        </w:tc>
        <w:tc>
          <w:tcPr>
            <w:tcW w:w="3001" w:type="dxa"/>
            <w:gridSpan w:val="3"/>
            <w:tcBorders>
              <w:top w:val="double" w:color="auto" w:sz="4" w:space="0"/>
            </w:tcBorders>
          </w:tcPr>
          <w:p w14:paraId="43EFE1B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动物来源情况</w:t>
            </w:r>
          </w:p>
        </w:tc>
      </w:tr>
      <w:tr w14:paraId="60A6E597">
        <w:trPr>
          <w:trHeight w:val="321" w:hRule="atLeast"/>
          <w:jc w:val="center"/>
        </w:trPr>
        <w:tc>
          <w:tcPr>
            <w:tcW w:w="540" w:type="dxa"/>
            <w:vMerge w:val="restart"/>
          </w:tcPr>
          <w:p w14:paraId="6909295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分类</w:t>
            </w:r>
          </w:p>
        </w:tc>
        <w:tc>
          <w:tcPr>
            <w:tcW w:w="954" w:type="dxa"/>
            <w:vMerge w:val="restart"/>
            <w:vAlign w:val="center"/>
          </w:tcPr>
          <w:p w14:paraId="1997320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序号</w:t>
            </w:r>
          </w:p>
        </w:tc>
        <w:tc>
          <w:tcPr>
            <w:tcW w:w="851" w:type="dxa"/>
            <w:gridSpan w:val="2"/>
            <w:vMerge w:val="restart"/>
            <w:vAlign w:val="center"/>
          </w:tcPr>
          <w:p w14:paraId="08007B1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种类</w:t>
            </w:r>
          </w:p>
        </w:tc>
        <w:tc>
          <w:tcPr>
            <w:tcW w:w="4111" w:type="dxa"/>
            <w:gridSpan w:val="6"/>
          </w:tcPr>
          <w:p w14:paraId="0A9A01F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级别</w:t>
            </w:r>
          </w:p>
        </w:tc>
        <w:tc>
          <w:tcPr>
            <w:tcW w:w="850" w:type="dxa"/>
            <w:vMerge w:val="restart"/>
            <w:vAlign w:val="center"/>
          </w:tcPr>
          <w:p w14:paraId="0486E81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用途</w:t>
            </w:r>
          </w:p>
        </w:tc>
        <w:tc>
          <w:tcPr>
            <w:tcW w:w="2126" w:type="dxa"/>
            <w:gridSpan w:val="2"/>
            <w:vMerge w:val="restart"/>
            <w:vAlign w:val="center"/>
          </w:tcPr>
          <w:p w14:paraId="29FF98F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本项目动物实验地点</w:t>
            </w:r>
          </w:p>
        </w:tc>
        <w:tc>
          <w:tcPr>
            <w:tcW w:w="2127" w:type="dxa"/>
            <w:vMerge w:val="restart"/>
            <w:vAlign w:val="center"/>
          </w:tcPr>
          <w:p w14:paraId="09C845F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该地点使用许可证号</w:t>
            </w:r>
          </w:p>
        </w:tc>
        <w:tc>
          <w:tcPr>
            <w:tcW w:w="1701" w:type="dxa"/>
            <w:gridSpan w:val="2"/>
            <w:vMerge w:val="restart"/>
            <w:vAlign w:val="center"/>
          </w:tcPr>
          <w:p w14:paraId="536B5D0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该动物生产单位</w:t>
            </w:r>
          </w:p>
        </w:tc>
        <w:tc>
          <w:tcPr>
            <w:tcW w:w="1300" w:type="dxa"/>
            <w:vMerge w:val="restart"/>
            <w:vAlign w:val="center"/>
          </w:tcPr>
          <w:p w14:paraId="4C8D6F7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该动物生产许可证号</w:t>
            </w:r>
          </w:p>
        </w:tc>
      </w:tr>
      <w:tr w14:paraId="2F3B8634">
        <w:trPr>
          <w:trHeight w:val="185" w:hRule="atLeast"/>
          <w:jc w:val="center"/>
        </w:trPr>
        <w:tc>
          <w:tcPr>
            <w:tcW w:w="540" w:type="dxa"/>
            <w:vMerge w:val="continue"/>
          </w:tcPr>
          <w:p w14:paraId="6853A82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vMerge w:val="continue"/>
          </w:tcPr>
          <w:p w14:paraId="21B62B1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1" w:type="dxa"/>
            <w:gridSpan w:val="2"/>
            <w:vMerge w:val="continue"/>
          </w:tcPr>
          <w:p w14:paraId="0B947D4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685E3B4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普通级</w:t>
            </w:r>
          </w:p>
        </w:tc>
        <w:tc>
          <w:tcPr>
            <w:tcW w:w="993" w:type="dxa"/>
            <w:gridSpan w:val="2"/>
          </w:tcPr>
          <w:p w14:paraId="116B58F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清洁级</w:t>
            </w:r>
          </w:p>
        </w:tc>
        <w:tc>
          <w:tcPr>
            <w:tcW w:w="1134" w:type="dxa"/>
          </w:tcPr>
          <w:p w14:paraId="2105BDA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SPF级</w:t>
            </w:r>
          </w:p>
        </w:tc>
        <w:tc>
          <w:tcPr>
            <w:tcW w:w="1134" w:type="dxa"/>
            <w:gridSpan w:val="2"/>
          </w:tcPr>
          <w:p w14:paraId="759F5E0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无菌级</w:t>
            </w:r>
          </w:p>
        </w:tc>
        <w:tc>
          <w:tcPr>
            <w:tcW w:w="850" w:type="dxa"/>
            <w:vMerge w:val="continue"/>
          </w:tcPr>
          <w:p w14:paraId="4587C3E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vMerge w:val="continue"/>
          </w:tcPr>
          <w:p w14:paraId="46A5A01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vMerge w:val="continue"/>
          </w:tcPr>
          <w:p w14:paraId="59048A8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vMerge w:val="continue"/>
          </w:tcPr>
          <w:p w14:paraId="6DFB3FC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vMerge w:val="continue"/>
          </w:tcPr>
          <w:p w14:paraId="4EEA0A8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B0B742D">
        <w:trPr>
          <w:jc w:val="center"/>
        </w:trPr>
        <w:tc>
          <w:tcPr>
            <w:tcW w:w="540" w:type="dxa"/>
            <w:vMerge w:val="restart"/>
          </w:tcPr>
          <w:p w14:paraId="5072608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sz w:val="24"/>
                <w:szCs w:val="24"/>
              </w:rPr>
              <w:t>标准实验用动物</w:t>
            </w:r>
          </w:p>
        </w:tc>
        <w:tc>
          <w:tcPr>
            <w:tcW w:w="954" w:type="dxa"/>
          </w:tcPr>
          <w:p w14:paraId="434064F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w:t>
            </w:r>
          </w:p>
        </w:tc>
        <w:tc>
          <w:tcPr>
            <w:tcW w:w="851" w:type="dxa"/>
            <w:gridSpan w:val="2"/>
          </w:tcPr>
          <w:p w14:paraId="7307259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小 鼠</w:t>
            </w:r>
          </w:p>
        </w:tc>
        <w:tc>
          <w:tcPr>
            <w:tcW w:w="850" w:type="dxa"/>
          </w:tcPr>
          <w:p w14:paraId="4DF1DFB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426B4FF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7592F0A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354CD6E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6CA23BD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5FB43BB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0C8326F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6CC2C7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1F7BA37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27540191">
        <w:trPr>
          <w:jc w:val="center"/>
        </w:trPr>
        <w:tc>
          <w:tcPr>
            <w:tcW w:w="540" w:type="dxa"/>
            <w:vMerge w:val="continue"/>
          </w:tcPr>
          <w:p w14:paraId="77DC962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448866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w:t>
            </w:r>
          </w:p>
        </w:tc>
        <w:tc>
          <w:tcPr>
            <w:tcW w:w="851" w:type="dxa"/>
            <w:gridSpan w:val="2"/>
          </w:tcPr>
          <w:p w14:paraId="6959786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大 鼠</w:t>
            </w:r>
          </w:p>
        </w:tc>
        <w:tc>
          <w:tcPr>
            <w:tcW w:w="850" w:type="dxa"/>
          </w:tcPr>
          <w:p w14:paraId="26ED7AE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7341D4E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6A2399C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424AC98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1B51995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75275A1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24F7D9C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7656546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17B59C7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1ADB4E49">
        <w:trPr>
          <w:jc w:val="center"/>
        </w:trPr>
        <w:tc>
          <w:tcPr>
            <w:tcW w:w="540" w:type="dxa"/>
            <w:vMerge w:val="continue"/>
          </w:tcPr>
          <w:p w14:paraId="6C0F92E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1BC0168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3</w:t>
            </w:r>
          </w:p>
        </w:tc>
        <w:tc>
          <w:tcPr>
            <w:tcW w:w="851" w:type="dxa"/>
            <w:gridSpan w:val="2"/>
          </w:tcPr>
          <w:p w14:paraId="0A95D4A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豚 鼠</w:t>
            </w:r>
          </w:p>
        </w:tc>
        <w:tc>
          <w:tcPr>
            <w:tcW w:w="850" w:type="dxa"/>
          </w:tcPr>
          <w:p w14:paraId="2BDF7BE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40745DE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14CD25D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15A7F48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3AE7AD8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2364B78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29BA15D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1D5523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6C93A23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38115B8">
        <w:trPr>
          <w:jc w:val="center"/>
        </w:trPr>
        <w:tc>
          <w:tcPr>
            <w:tcW w:w="540" w:type="dxa"/>
            <w:vMerge w:val="continue"/>
          </w:tcPr>
          <w:p w14:paraId="7B7ACC9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4ABA94F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4</w:t>
            </w:r>
          </w:p>
        </w:tc>
        <w:tc>
          <w:tcPr>
            <w:tcW w:w="851" w:type="dxa"/>
            <w:gridSpan w:val="2"/>
          </w:tcPr>
          <w:p w14:paraId="68FC1CB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地 鼠</w:t>
            </w:r>
          </w:p>
        </w:tc>
        <w:tc>
          <w:tcPr>
            <w:tcW w:w="850" w:type="dxa"/>
          </w:tcPr>
          <w:p w14:paraId="62D4209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7596E44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7EB1383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15C5069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1DE0647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5F1D9D3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3E3B0F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7756626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3F8D98B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74EAFCB">
        <w:trPr>
          <w:jc w:val="center"/>
        </w:trPr>
        <w:tc>
          <w:tcPr>
            <w:tcW w:w="540" w:type="dxa"/>
            <w:vMerge w:val="continue"/>
          </w:tcPr>
          <w:p w14:paraId="034666C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2700EA6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5</w:t>
            </w:r>
          </w:p>
        </w:tc>
        <w:tc>
          <w:tcPr>
            <w:tcW w:w="851" w:type="dxa"/>
            <w:gridSpan w:val="2"/>
          </w:tcPr>
          <w:p w14:paraId="11E3803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兔</w:t>
            </w:r>
          </w:p>
        </w:tc>
        <w:tc>
          <w:tcPr>
            <w:tcW w:w="850" w:type="dxa"/>
          </w:tcPr>
          <w:p w14:paraId="6ADC733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6079DF9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043614D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470D9EC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52F3DBB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4B555A1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5798E2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1AFF23F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0C0B216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6BAE3E6B">
        <w:trPr>
          <w:jc w:val="center"/>
        </w:trPr>
        <w:tc>
          <w:tcPr>
            <w:tcW w:w="540" w:type="dxa"/>
            <w:vMerge w:val="continue"/>
          </w:tcPr>
          <w:p w14:paraId="0C8B382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6948E80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6</w:t>
            </w:r>
          </w:p>
        </w:tc>
        <w:tc>
          <w:tcPr>
            <w:tcW w:w="851" w:type="dxa"/>
            <w:gridSpan w:val="2"/>
          </w:tcPr>
          <w:p w14:paraId="3D39F5B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犬</w:t>
            </w:r>
          </w:p>
        </w:tc>
        <w:tc>
          <w:tcPr>
            <w:tcW w:w="850" w:type="dxa"/>
          </w:tcPr>
          <w:p w14:paraId="579A891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0961588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1A6E20C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60F6060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0AB840A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468649C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71834EA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449CD2B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7CE77D9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14D81080">
        <w:trPr>
          <w:jc w:val="center"/>
        </w:trPr>
        <w:tc>
          <w:tcPr>
            <w:tcW w:w="540" w:type="dxa"/>
            <w:vMerge w:val="continue"/>
          </w:tcPr>
          <w:p w14:paraId="1143B35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DE00C7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7</w:t>
            </w:r>
          </w:p>
        </w:tc>
        <w:tc>
          <w:tcPr>
            <w:tcW w:w="851" w:type="dxa"/>
            <w:gridSpan w:val="2"/>
            <w:vAlign w:val="center"/>
          </w:tcPr>
          <w:p w14:paraId="5E85537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sz w:val="24"/>
                <w:szCs w:val="24"/>
              </w:rPr>
              <w:t>猴</w:t>
            </w:r>
          </w:p>
        </w:tc>
        <w:tc>
          <w:tcPr>
            <w:tcW w:w="850" w:type="dxa"/>
          </w:tcPr>
          <w:p w14:paraId="43F23BE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40C67FF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36B3DAC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10F94EF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79764A0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6B8B090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D76A0B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3020781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3F0B559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04829CEA">
        <w:trPr>
          <w:jc w:val="center"/>
        </w:trPr>
        <w:tc>
          <w:tcPr>
            <w:tcW w:w="540" w:type="dxa"/>
            <w:vMerge w:val="continue"/>
          </w:tcPr>
          <w:p w14:paraId="63B5D63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0756C91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8</w:t>
            </w:r>
          </w:p>
        </w:tc>
        <w:tc>
          <w:tcPr>
            <w:tcW w:w="851" w:type="dxa"/>
            <w:gridSpan w:val="2"/>
            <w:vAlign w:val="center"/>
          </w:tcPr>
          <w:p w14:paraId="606E6DA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sz w:val="24"/>
                <w:szCs w:val="24"/>
              </w:rPr>
              <w:t>猪</w:t>
            </w:r>
            <w:r>
              <w:rPr>
                <w:rFonts w:hint="eastAsia" w:ascii="仿宋_GB2312" w:hAnsi="仿宋_GB2312" w:eastAsia="仿宋_GB2312" w:cs="仿宋_GB2312"/>
                <w:sz w:val="24"/>
                <w:szCs w:val="24"/>
                <w:vertAlign w:val="superscript"/>
              </w:rPr>
              <w:t>*</w:t>
            </w:r>
          </w:p>
        </w:tc>
        <w:tc>
          <w:tcPr>
            <w:tcW w:w="850" w:type="dxa"/>
          </w:tcPr>
          <w:p w14:paraId="56EDB12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0AF049D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37B2CE4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6E876D4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13339FB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043419C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55E59C6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0C8AD3D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3F59CED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633CCAC7">
        <w:trPr>
          <w:jc w:val="center"/>
        </w:trPr>
        <w:tc>
          <w:tcPr>
            <w:tcW w:w="540" w:type="dxa"/>
            <w:vMerge w:val="continue"/>
          </w:tcPr>
          <w:p w14:paraId="6741C9A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486E338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9</w:t>
            </w:r>
          </w:p>
        </w:tc>
        <w:tc>
          <w:tcPr>
            <w:tcW w:w="851" w:type="dxa"/>
            <w:gridSpan w:val="2"/>
            <w:vAlign w:val="center"/>
          </w:tcPr>
          <w:p w14:paraId="558B71B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sz w:val="24"/>
                <w:szCs w:val="24"/>
              </w:rPr>
              <w:t>鸡</w:t>
            </w:r>
          </w:p>
        </w:tc>
        <w:tc>
          <w:tcPr>
            <w:tcW w:w="850" w:type="dxa"/>
          </w:tcPr>
          <w:p w14:paraId="0A2994E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4690178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1821A5E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2F9A4BE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5F5A9B5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6379A06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7BC13B5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2D003C6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6B79453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763FB023">
        <w:trPr>
          <w:jc w:val="center"/>
        </w:trPr>
        <w:tc>
          <w:tcPr>
            <w:tcW w:w="540" w:type="dxa"/>
            <w:vMerge w:val="restart"/>
          </w:tcPr>
          <w:p w14:paraId="120FE71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cs="仿宋_GB2312"/>
                <w:bCs/>
                <w:sz w:val="24"/>
                <w:szCs w:val="24"/>
                <w:lang w:eastAsia="zh-CN"/>
              </w:rPr>
              <w:t>其他</w:t>
            </w:r>
            <w:r>
              <w:rPr>
                <w:rFonts w:hint="eastAsia" w:ascii="仿宋_GB2312" w:hAnsi="仿宋_GB2312" w:eastAsia="仿宋_GB2312" w:cs="仿宋_GB2312"/>
                <w:bCs/>
                <w:sz w:val="24"/>
                <w:szCs w:val="24"/>
              </w:rPr>
              <w:t>实验用动物</w:t>
            </w:r>
          </w:p>
        </w:tc>
        <w:tc>
          <w:tcPr>
            <w:tcW w:w="954" w:type="dxa"/>
          </w:tcPr>
          <w:p w14:paraId="622F5EE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10</w:t>
            </w:r>
          </w:p>
        </w:tc>
        <w:tc>
          <w:tcPr>
            <w:tcW w:w="851" w:type="dxa"/>
            <w:gridSpan w:val="2"/>
          </w:tcPr>
          <w:p w14:paraId="1422AE8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545A506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780E267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221894D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02FD040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686A477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6A3FD59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626A007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50A750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598F246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1E8DBBC">
        <w:trPr>
          <w:jc w:val="center"/>
        </w:trPr>
        <w:tc>
          <w:tcPr>
            <w:tcW w:w="540" w:type="dxa"/>
            <w:vMerge w:val="continue"/>
          </w:tcPr>
          <w:p w14:paraId="2D23419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3D36EB3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11</w:t>
            </w:r>
          </w:p>
        </w:tc>
        <w:tc>
          <w:tcPr>
            <w:tcW w:w="851" w:type="dxa"/>
            <w:gridSpan w:val="2"/>
          </w:tcPr>
          <w:p w14:paraId="01BAA98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2730A0B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0F12A8C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4BF6004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07382D7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4BC71C9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2FDD8AA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03115A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70780F7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1F4582E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67FEB951">
        <w:trPr>
          <w:jc w:val="center"/>
        </w:trPr>
        <w:tc>
          <w:tcPr>
            <w:tcW w:w="540" w:type="dxa"/>
            <w:vMerge w:val="continue"/>
          </w:tcPr>
          <w:p w14:paraId="377A7B8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4FC7759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12</w:t>
            </w:r>
          </w:p>
        </w:tc>
        <w:tc>
          <w:tcPr>
            <w:tcW w:w="851" w:type="dxa"/>
            <w:gridSpan w:val="2"/>
          </w:tcPr>
          <w:p w14:paraId="6ACE039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595DA2C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4CA5BC5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198F962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0B2DDB5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2F51DD6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45F534C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099540A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6BD79A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7729439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D47B6C2">
        <w:trPr>
          <w:jc w:val="center"/>
        </w:trPr>
        <w:tc>
          <w:tcPr>
            <w:tcW w:w="540" w:type="dxa"/>
            <w:vMerge w:val="continue"/>
          </w:tcPr>
          <w:p w14:paraId="4C76763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E6632B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13</w:t>
            </w:r>
          </w:p>
        </w:tc>
        <w:tc>
          <w:tcPr>
            <w:tcW w:w="851" w:type="dxa"/>
            <w:gridSpan w:val="2"/>
          </w:tcPr>
          <w:p w14:paraId="4CEAD07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7A3F303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3802FCE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5212A55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2C8F330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2A901E6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3897261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3CBF90F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3CD0C95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7151D46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40FEB14D">
        <w:trPr>
          <w:jc w:val="center"/>
        </w:trPr>
        <w:tc>
          <w:tcPr>
            <w:tcW w:w="540" w:type="dxa"/>
            <w:vMerge w:val="continue"/>
          </w:tcPr>
          <w:p w14:paraId="7CE1E3E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8C6FCA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14</w:t>
            </w:r>
          </w:p>
        </w:tc>
        <w:tc>
          <w:tcPr>
            <w:tcW w:w="851" w:type="dxa"/>
            <w:gridSpan w:val="2"/>
          </w:tcPr>
          <w:p w14:paraId="29306B3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53E9A3B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253BE2B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58402D6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619AA75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25033A6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6C6F99A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1814B6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856528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5C2714C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0B7215F3">
        <w:trPr>
          <w:jc w:val="center"/>
        </w:trPr>
        <w:tc>
          <w:tcPr>
            <w:tcW w:w="540" w:type="dxa"/>
            <w:vMerge w:val="continue"/>
          </w:tcPr>
          <w:p w14:paraId="52A6327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530DE0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15</w:t>
            </w:r>
          </w:p>
        </w:tc>
        <w:tc>
          <w:tcPr>
            <w:tcW w:w="851" w:type="dxa"/>
            <w:gridSpan w:val="2"/>
          </w:tcPr>
          <w:p w14:paraId="6D972EF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655BEF6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20EA69B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6812167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19880D3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245A412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727D15A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32504A4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1A50A06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53CC922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34998AA">
        <w:trPr>
          <w:jc w:val="center"/>
        </w:trPr>
        <w:tc>
          <w:tcPr>
            <w:tcW w:w="540" w:type="dxa"/>
            <w:vMerge w:val="continue"/>
            <w:tcBorders>
              <w:bottom w:val="double" w:color="auto" w:sz="4" w:space="0"/>
            </w:tcBorders>
          </w:tcPr>
          <w:p w14:paraId="7C1AC88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Borders>
              <w:bottom w:val="double" w:color="auto" w:sz="4" w:space="0"/>
            </w:tcBorders>
          </w:tcPr>
          <w:p w14:paraId="257B878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16</w:t>
            </w:r>
          </w:p>
        </w:tc>
        <w:tc>
          <w:tcPr>
            <w:tcW w:w="851" w:type="dxa"/>
            <w:gridSpan w:val="2"/>
            <w:tcBorders>
              <w:bottom w:val="double" w:color="auto" w:sz="4" w:space="0"/>
            </w:tcBorders>
          </w:tcPr>
          <w:p w14:paraId="4865D88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Borders>
              <w:bottom w:val="double" w:color="auto" w:sz="4" w:space="0"/>
            </w:tcBorders>
          </w:tcPr>
          <w:p w14:paraId="366501D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Borders>
              <w:bottom w:val="double" w:color="auto" w:sz="4" w:space="0"/>
            </w:tcBorders>
          </w:tcPr>
          <w:p w14:paraId="1A95439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Borders>
              <w:bottom w:val="double" w:color="auto" w:sz="4" w:space="0"/>
            </w:tcBorders>
          </w:tcPr>
          <w:p w14:paraId="6551FAC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Borders>
              <w:bottom w:val="double" w:color="auto" w:sz="4" w:space="0"/>
            </w:tcBorders>
          </w:tcPr>
          <w:p w14:paraId="7ADCDBE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Borders>
              <w:bottom w:val="double" w:color="auto" w:sz="4" w:space="0"/>
            </w:tcBorders>
          </w:tcPr>
          <w:p w14:paraId="7CA6B5D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Borders>
              <w:bottom w:val="double" w:color="auto" w:sz="4" w:space="0"/>
            </w:tcBorders>
          </w:tcPr>
          <w:p w14:paraId="1C04357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Borders>
              <w:bottom w:val="double" w:color="auto" w:sz="4" w:space="0"/>
            </w:tcBorders>
          </w:tcPr>
          <w:p w14:paraId="4304E94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Borders>
              <w:bottom w:val="double" w:color="auto" w:sz="4" w:space="0"/>
            </w:tcBorders>
          </w:tcPr>
          <w:p w14:paraId="3659B70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Borders>
              <w:bottom w:val="double" w:color="auto" w:sz="4" w:space="0"/>
            </w:tcBorders>
          </w:tcPr>
          <w:p w14:paraId="0F0E078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2E809061">
        <w:trPr>
          <w:trHeight w:val="1159" w:hRule="atLeast"/>
          <w:jc w:val="center"/>
        </w:trPr>
        <w:tc>
          <w:tcPr>
            <w:tcW w:w="1494" w:type="dxa"/>
            <w:gridSpan w:val="2"/>
            <w:tcBorders>
              <w:top w:val="double" w:color="auto" w:sz="4" w:space="0"/>
            </w:tcBorders>
            <w:vAlign w:val="center"/>
          </w:tcPr>
          <w:p w14:paraId="27EB309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sz w:val="24"/>
                <w:szCs w:val="24"/>
              </w:rPr>
              <w:t>提供使用许可证单位部门盖章</w:t>
            </w:r>
          </w:p>
        </w:tc>
        <w:tc>
          <w:tcPr>
            <w:tcW w:w="13066" w:type="dxa"/>
            <w:gridSpan w:val="15"/>
            <w:tcBorders>
              <w:top w:val="double" w:color="auto" w:sz="4" w:space="0"/>
            </w:tcBorders>
          </w:tcPr>
          <w:p w14:paraId="3ADB383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bl>
    <w:p w14:paraId="5DA68767">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p w14:paraId="1C241441">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注：</w:t>
      </w:r>
    </w:p>
    <w:p w14:paraId="4ABB6BEF">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1、本表内容已纳入项目立项审核流程，请在正式提交后将本表（一份）打印盖章寄至</w:t>
      </w:r>
      <w:r>
        <w:rPr>
          <w:rFonts w:hint="eastAsia" w:ascii="仿宋_GB2312" w:hAnsi="仿宋_GB2312" w:eastAsia="仿宋_GB2312" w:cs="仿宋_GB2312"/>
          <w:b/>
          <w:color w:val="2D00C7"/>
          <w:sz w:val="24"/>
          <w:szCs w:val="24"/>
        </w:rPr>
        <w:t>上海市实验动物管理办公室</w:t>
      </w:r>
      <w:r>
        <w:rPr>
          <w:rFonts w:hint="eastAsia" w:ascii="仿宋_GB2312" w:hAnsi="仿宋_GB2312" w:eastAsia="仿宋_GB2312" w:cs="仿宋_GB2312"/>
          <w:color w:val="2D00C7"/>
          <w:sz w:val="24"/>
          <w:szCs w:val="24"/>
        </w:rPr>
        <w:t>，市科委将据此对本项目进行审核。</w:t>
      </w:r>
    </w:p>
    <w:p w14:paraId="572E85E6">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地址：浦东张江金科路3577号1号楼1210－1211室，邮编：201203，电话：58955325，50563529，50339079</w:t>
      </w:r>
    </w:p>
    <w:p w14:paraId="6F5DBE71">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outlineLvl w:val="1"/>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2、实验动物的种类、级别必须符合实验动物许可证的适用范围。</w:t>
      </w:r>
    </w:p>
    <w:p w14:paraId="3BABEF37">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3、其</w:t>
      </w:r>
      <w:r>
        <w:rPr>
          <w:rFonts w:hint="eastAsia" w:ascii="仿宋_GB2312" w:hAnsi="仿宋_GB2312" w:cs="仿宋_GB2312"/>
          <w:color w:val="2D00C7"/>
          <w:sz w:val="24"/>
          <w:szCs w:val="24"/>
          <w:lang w:val="en-US" w:eastAsia="zh-CN"/>
        </w:rPr>
        <w:t>他</w:t>
      </w:r>
      <w:r>
        <w:rPr>
          <w:rFonts w:hint="eastAsia" w:ascii="仿宋_GB2312" w:hAnsi="仿宋_GB2312" w:eastAsia="仿宋_GB2312" w:cs="仿宋_GB2312"/>
          <w:color w:val="2D00C7"/>
          <w:sz w:val="24"/>
          <w:szCs w:val="24"/>
        </w:rPr>
        <w:t>实验用动物部分：必须填写动物种类名、级别、用途和动物来源。</w:t>
      </w:r>
    </w:p>
    <w:p w14:paraId="491B320E">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4、以上动物实验不含放射性动物实验、感染性动物实验和化学毒性动物实验，如有以上相关实验，不填本表，请上</w:t>
      </w:r>
      <w:r>
        <w:rPr>
          <w:rFonts w:hint="eastAsia" w:ascii="仿宋_GB2312" w:hAnsi="仿宋_GB2312" w:eastAsia="仿宋_GB2312" w:cs="仿宋_GB2312"/>
          <w:color w:val="2D00C7"/>
          <w:sz w:val="24"/>
          <w:szCs w:val="24"/>
        </w:rPr>
        <w:fldChar w:fldCharType="begin"/>
      </w:r>
      <w:r>
        <w:rPr>
          <w:rFonts w:hint="eastAsia" w:ascii="仿宋_GB2312" w:hAnsi="仿宋_GB2312" w:eastAsia="仿宋_GB2312" w:cs="仿宋_GB2312"/>
          <w:color w:val="2D00C7"/>
          <w:sz w:val="24"/>
          <w:szCs w:val="24"/>
        </w:rPr>
        <w:instrText xml:space="preserve"> HYPERLINK "http://www.la-res.cn" </w:instrText>
      </w:r>
      <w:r>
        <w:rPr>
          <w:rFonts w:hint="eastAsia" w:ascii="仿宋_GB2312" w:hAnsi="仿宋_GB2312" w:eastAsia="仿宋_GB2312" w:cs="仿宋_GB2312"/>
          <w:color w:val="2D00C7"/>
          <w:sz w:val="24"/>
          <w:szCs w:val="24"/>
        </w:rPr>
        <w:fldChar w:fldCharType="separate"/>
      </w:r>
      <w:r>
        <w:rPr>
          <w:rFonts w:hint="eastAsia" w:ascii="仿宋_GB2312" w:hAnsi="仿宋_GB2312" w:eastAsia="仿宋_GB2312" w:cs="仿宋_GB2312"/>
          <w:color w:val="2D00C7"/>
          <w:sz w:val="24"/>
          <w:szCs w:val="24"/>
          <w:u w:val="single"/>
        </w:rPr>
        <w:t>www.la-res.cn</w:t>
      </w:r>
      <w:r>
        <w:rPr>
          <w:rFonts w:hint="eastAsia" w:ascii="仿宋_GB2312" w:hAnsi="仿宋_GB2312" w:eastAsia="仿宋_GB2312" w:cs="仿宋_GB2312"/>
          <w:color w:val="2D00C7"/>
          <w:sz w:val="24"/>
          <w:szCs w:val="24"/>
          <w:u w:val="single"/>
        </w:rPr>
        <w:fldChar w:fldCharType="end"/>
      </w:r>
      <w:r>
        <w:rPr>
          <w:rFonts w:hint="eastAsia" w:ascii="仿宋_GB2312" w:hAnsi="仿宋_GB2312" w:eastAsia="仿宋_GB2312" w:cs="仿宋_GB2312"/>
          <w:color w:val="2D00C7"/>
          <w:sz w:val="24"/>
          <w:szCs w:val="24"/>
        </w:rPr>
        <w:t>查询相关信息。</w:t>
      </w:r>
    </w:p>
    <w:p w14:paraId="12FC6403">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5、请项目单位如实填报本表并按表格内容实施，如有变更，请及时修改合同，否则将影响项目的验收及后续经费的拨付。</w:t>
      </w:r>
    </w:p>
    <w:p w14:paraId="6ECFA514">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6、市科委将定期对本表的实施情况进行检查，其结果将作为项目承担单位和承担人的科研诚信记录之一。</w:t>
      </w:r>
    </w:p>
    <w:p w14:paraId="2344D27F">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7、有关实验动物许可证申领和管理的详细情况请参阅“上海科技”网站（www.stcsm.gov.cn）上的网上办事事项- A02.1实验动物生产许可证和A02.2实验动物使用许可证。</w:t>
      </w:r>
    </w:p>
    <w:p w14:paraId="7A4F5032">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sectPr>
          <w:pgSz w:w="16838" w:h="11906" w:orient="landscape"/>
          <w:pgMar w:top="1531" w:right="1361" w:bottom="1361" w:left="1361" w:header="284" w:footer="425" w:gutter="0"/>
          <w:pgNumType w:fmt="decimal"/>
          <w:cols w:space="425" w:num="1"/>
          <w:docGrid w:type="lines" w:linePitch="381" w:charSpace="0"/>
        </w:sectPr>
      </w:pPr>
    </w:p>
    <w:p w14:paraId="31E64C32">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附表10 国际合作基本信息表</w:t>
      </w:r>
    </w:p>
    <w:p w14:paraId="7D20EFB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2D00C7"/>
          <w:kern w:val="2"/>
          <w:sz w:val="24"/>
          <w:szCs w:val="24"/>
          <w:lang w:val="en-US" w:eastAsia="zh-CN" w:bidi="ar-SA"/>
        </w:rPr>
      </w:pPr>
      <w:r>
        <w:rPr>
          <w:rFonts w:hint="eastAsia" w:ascii="仿宋_GB2312" w:hAnsi="仿宋_GB2312" w:eastAsia="仿宋_GB2312" w:cs="仿宋_GB2312"/>
          <w:color w:val="2D00C7"/>
          <w:kern w:val="2"/>
          <w:sz w:val="24"/>
          <w:szCs w:val="24"/>
          <w:lang w:val="en-US" w:eastAsia="zh-CN" w:bidi="ar-SA"/>
        </w:rPr>
        <w:t>（申请市科委科研计划项目无国际合作内容的，毋须填写本表）</w:t>
      </w:r>
    </w:p>
    <w:tbl>
      <w:tblPr>
        <w:tblStyle w:val="18"/>
        <w:tblW w:w="90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8"/>
        <w:gridCol w:w="964"/>
        <w:gridCol w:w="1751"/>
        <w:gridCol w:w="956"/>
        <w:gridCol w:w="805"/>
        <w:gridCol w:w="155"/>
        <w:gridCol w:w="822"/>
        <w:gridCol w:w="410"/>
        <w:gridCol w:w="551"/>
        <w:gridCol w:w="838"/>
        <w:gridCol w:w="1250"/>
      </w:tblGrid>
      <w:tr w14:paraId="4ECB4A51">
        <w:trPr>
          <w:trHeight w:val="550" w:hRule="atLeast"/>
        </w:trPr>
        <w:tc>
          <w:tcPr>
            <w:tcW w:w="1542" w:type="dxa"/>
            <w:gridSpan w:val="2"/>
            <w:vAlign w:val="center"/>
          </w:tcPr>
          <w:p w14:paraId="44D7FFB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合作方式</w:t>
            </w:r>
          </w:p>
          <w:p w14:paraId="01782D11">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（可多选）</w:t>
            </w:r>
          </w:p>
        </w:tc>
        <w:tc>
          <w:tcPr>
            <w:tcW w:w="7538" w:type="dxa"/>
            <w:gridSpan w:val="9"/>
          </w:tcPr>
          <w:p w14:paraId="44DE48A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01人员交流；</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02信息资料交流；</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03技术咨询培训；</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04引进技术；</w:t>
            </w:r>
          </w:p>
          <w:p w14:paraId="13B07D97">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05引进人员（来华工作）；</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06引进设备；</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07分工合作研发；</w:t>
            </w:r>
          </w:p>
          <w:p w14:paraId="4F1661D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08国外资源利用；</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09其他形式</w:t>
            </w:r>
          </w:p>
        </w:tc>
      </w:tr>
      <w:tr w14:paraId="615CF72B">
        <w:trPr>
          <w:trHeight w:val="297" w:hRule="atLeast"/>
        </w:trPr>
        <w:tc>
          <w:tcPr>
            <w:tcW w:w="1542" w:type="dxa"/>
            <w:gridSpan w:val="2"/>
            <w:vAlign w:val="center"/>
          </w:tcPr>
          <w:p w14:paraId="487D25BB">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项目合作协议</w:t>
            </w:r>
          </w:p>
        </w:tc>
        <w:tc>
          <w:tcPr>
            <w:tcW w:w="7538" w:type="dxa"/>
            <w:gridSpan w:val="9"/>
          </w:tcPr>
          <w:p w14:paraId="6FF3B42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有，名称：</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无</w:t>
            </w:r>
          </w:p>
        </w:tc>
      </w:tr>
      <w:tr w14:paraId="000CEA3A">
        <w:trPr>
          <w:trHeight w:val="143" w:hRule="atLeast"/>
        </w:trPr>
        <w:tc>
          <w:tcPr>
            <w:tcW w:w="1542" w:type="dxa"/>
            <w:gridSpan w:val="2"/>
            <w:vAlign w:val="center"/>
          </w:tcPr>
          <w:p w14:paraId="5D7DBCC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项目合作</w:t>
            </w:r>
          </w:p>
          <w:p w14:paraId="761C643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起止日期</w:t>
            </w:r>
          </w:p>
        </w:tc>
        <w:tc>
          <w:tcPr>
            <w:tcW w:w="7538" w:type="dxa"/>
            <w:gridSpan w:val="9"/>
            <w:vAlign w:val="center"/>
          </w:tcPr>
          <w:p w14:paraId="5CB148A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240" w:firstLineChars="10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年 </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月  至  </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年 </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月                                 </w:t>
            </w:r>
          </w:p>
        </w:tc>
      </w:tr>
      <w:tr w14:paraId="2175419E">
        <w:trPr>
          <w:trHeight w:val="143" w:hRule="atLeast"/>
        </w:trPr>
        <w:tc>
          <w:tcPr>
            <w:tcW w:w="1542" w:type="dxa"/>
            <w:gridSpan w:val="2"/>
            <w:vAlign w:val="center"/>
          </w:tcPr>
          <w:p w14:paraId="119A790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合作国别</w:t>
            </w:r>
          </w:p>
        </w:tc>
        <w:tc>
          <w:tcPr>
            <w:tcW w:w="3512" w:type="dxa"/>
            <w:gridSpan w:val="3"/>
          </w:tcPr>
          <w:p w14:paraId="2792D8D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240" w:firstLineChars="100"/>
              <w:textAlignment w:val="auto"/>
              <w:rPr>
                <w:rFonts w:hint="eastAsia" w:ascii="仿宋_GB2312" w:hAnsi="仿宋_GB2312" w:eastAsia="仿宋_GB2312" w:cs="仿宋_GB2312"/>
                <w:sz w:val="24"/>
                <w:szCs w:val="24"/>
                <w:u w:val="single"/>
              </w:rPr>
            </w:pPr>
          </w:p>
        </w:tc>
        <w:tc>
          <w:tcPr>
            <w:tcW w:w="1938" w:type="dxa"/>
            <w:gridSpan w:val="4"/>
          </w:tcPr>
          <w:p w14:paraId="4CB7511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省级行政区域名称</w:t>
            </w:r>
          </w:p>
        </w:tc>
        <w:tc>
          <w:tcPr>
            <w:tcW w:w="2088" w:type="dxa"/>
            <w:gridSpan w:val="2"/>
          </w:tcPr>
          <w:p w14:paraId="2BD2DDD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61ECF2E7">
        <w:trPr>
          <w:trHeight w:val="327" w:hRule="atLeast"/>
        </w:trPr>
        <w:tc>
          <w:tcPr>
            <w:tcW w:w="578" w:type="dxa"/>
            <w:vMerge w:val="restart"/>
          </w:tcPr>
          <w:p w14:paraId="7E56FB2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合作外方</w:t>
            </w:r>
          </w:p>
        </w:tc>
        <w:tc>
          <w:tcPr>
            <w:tcW w:w="964" w:type="dxa"/>
          </w:tcPr>
          <w:p w14:paraId="112A9FD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机构名称</w:t>
            </w:r>
          </w:p>
        </w:tc>
        <w:tc>
          <w:tcPr>
            <w:tcW w:w="7538" w:type="dxa"/>
            <w:gridSpan w:val="9"/>
          </w:tcPr>
          <w:p w14:paraId="60FBE91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0D784863">
        <w:trPr>
          <w:trHeight w:val="307" w:hRule="atLeast"/>
        </w:trPr>
        <w:tc>
          <w:tcPr>
            <w:tcW w:w="578" w:type="dxa"/>
            <w:vMerge w:val="continue"/>
          </w:tcPr>
          <w:p w14:paraId="30FB1A3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tcPr>
          <w:p w14:paraId="1C92825A">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外方负责人</w:t>
            </w:r>
          </w:p>
        </w:tc>
        <w:tc>
          <w:tcPr>
            <w:tcW w:w="3512" w:type="dxa"/>
            <w:gridSpan w:val="3"/>
          </w:tcPr>
          <w:p w14:paraId="4C0B6E1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1387" w:type="dxa"/>
            <w:gridSpan w:val="3"/>
          </w:tcPr>
          <w:p w14:paraId="66C8CB93">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电子邮件</w:t>
            </w:r>
          </w:p>
        </w:tc>
        <w:tc>
          <w:tcPr>
            <w:tcW w:w="2639" w:type="dxa"/>
            <w:gridSpan w:val="3"/>
          </w:tcPr>
          <w:p w14:paraId="64C84E6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6FCE0632">
        <w:trPr>
          <w:trHeight w:val="297" w:hRule="atLeast"/>
        </w:trPr>
        <w:tc>
          <w:tcPr>
            <w:tcW w:w="578" w:type="dxa"/>
            <w:vMerge w:val="continue"/>
          </w:tcPr>
          <w:p w14:paraId="650E75C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tcPr>
          <w:p w14:paraId="338B828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通讯地址</w:t>
            </w:r>
          </w:p>
        </w:tc>
        <w:tc>
          <w:tcPr>
            <w:tcW w:w="7538" w:type="dxa"/>
            <w:gridSpan w:val="9"/>
          </w:tcPr>
          <w:p w14:paraId="6A56D94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38D3DEC6">
        <w:trPr>
          <w:trHeight w:val="306" w:hRule="atLeast"/>
        </w:trPr>
        <w:tc>
          <w:tcPr>
            <w:tcW w:w="578" w:type="dxa"/>
            <w:vMerge w:val="continue"/>
          </w:tcPr>
          <w:p w14:paraId="347E374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tcPr>
          <w:p w14:paraId="6B04AB03">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传    真</w:t>
            </w:r>
          </w:p>
        </w:tc>
        <w:tc>
          <w:tcPr>
            <w:tcW w:w="3512" w:type="dxa"/>
            <w:gridSpan w:val="3"/>
          </w:tcPr>
          <w:p w14:paraId="648EA1FA">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77" w:type="dxa"/>
            <w:gridSpan w:val="2"/>
          </w:tcPr>
          <w:p w14:paraId="5965900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电   话</w:t>
            </w:r>
          </w:p>
        </w:tc>
        <w:tc>
          <w:tcPr>
            <w:tcW w:w="3049" w:type="dxa"/>
            <w:gridSpan w:val="4"/>
          </w:tcPr>
          <w:p w14:paraId="3CFA3FF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4668876E">
        <w:trPr>
          <w:trHeight w:val="290" w:hRule="atLeast"/>
        </w:trPr>
        <w:tc>
          <w:tcPr>
            <w:tcW w:w="578" w:type="dxa"/>
            <w:vMerge w:val="restart"/>
            <w:vAlign w:val="center"/>
          </w:tcPr>
          <w:p w14:paraId="03818008">
            <w:pPr>
              <w:keepNext w:val="0"/>
              <w:keepLines w:val="0"/>
              <w:pageBreakBefore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外方合作投入</w:t>
            </w:r>
          </w:p>
          <w:p w14:paraId="060848DB">
            <w:pPr>
              <w:keepNext w:val="0"/>
              <w:keepLines w:val="0"/>
              <w:pageBreakBefore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与</w:t>
            </w:r>
          </w:p>
          <w:p w14:paraId="08CE572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人才技术引进</w:t>
            </w:r>
          </w:p>
        </w:tc>
        <w:tc>
          <w:tcPr>
            <w:tcW w:w="964" w:type="dxa"/>
          </w:tcPr>
          <w:p w14:paraId="53607B3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1、经费投入</w:t>
            </w:r>
          </w:p>
        </w:tc>
        <w:tc>
          <w:tcPr>
            <w:tcW w:w="4489" w:type="dxa"/>
            <w:gridSpan w:val="5"/>
          </w:tcPr>
          <w:p w14:paraId="1FD71A5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用于中方：</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 万元（人民币）</w:t>
            </w:r>
          </w:p>
        </w:tc>
        <w:tc>
          <w:tcPr>
            <w:tcW w:w="3049" w:type="dxa"/>
            <w:gridSpan w:val="4"/>
          </w:tcPr>
          <w:p w14:paraId="531DE60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用于外方：</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 万元（人民币）</w:t>
            </w:r>
          </w:p>
        </w:tc>
      </w:tr>
      <w:tr w14:paraId="03B973ED">
        <w:trPr>
          <w:trHeight w:val="140" w:hRule="atLeast"/>
        </w:trPr>
        <w:tc>
          <w:tcPr>
            <w:tcW w:w="578" w:type="dxa"/>
            <w:vMerge w:val="continue"/>
          </w:tcPr>
          <w:p w14:paraId="35519AF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tcPr>
          <w:p w14:paraId="5EB128B3">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2、关键技术</w:t>
            </w:r>
          </w:p>
        </w:tc>
        <w:tc>
          <w:tcPr>
            <w:tcW w:w="1751" w:type="dxa"/>
          </w:tcPr>
          <w:p w14:paraId="0F74C98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引进</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项</w:t>
            </w:r>
          </w:p>
        </w:tc>
        <w:tc>
          <w:tcPr>
            <w:tcW w:w="1916" w:type="dxa"/>
            <w:gridSpan w:val="3"/>
          </w:tcPr>
          <w:p w14:paraId="509B977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u w:val="single"/>
              </w:rPr>
            </w:pPr>
            <w:r>
              <w:rPr>
                <w:rFonts w:hint="eastAsia" w:ascii="仿宋_GB2312" w:hAnsi="仿宋_GB2312" w:eastAsia="仿宋_GB2312" w:cs="仿宋_GB2312"/>
                <w:sz w:val="24"/>
                <w:szCs w:val="24"/>
              </w:rPr>
              <w:t>技术名称</w:t>
            </w:r>
          </w:p>
        </w:tc>
        <w:tc>
          <w:tcPr>
            <w:tcW w:w="3871" w:type="dxa"/>
            <w:gridSpan w:val="5"/>
          </w:tcPr>
          <w:p w14:paraId="07531D0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u w:val="single"/>
              </w:rPr>
            </w:pPr>
          </w:p>
        </w:tc>
      </w:tr>
      <w:tr w14:paraId="6227FC2D">
        <w:trPr>
          <w:trHeight w:val="170" w:hRule="atLeast"/>
        </w:trPr>
        <w:tc>
          <w:tcPr>
            <w:tcW w:w="578" w:type="dxa"/>
            <w:vMerge w:val="continue"/>
          </w:tcPr>
          <w:p w14:paraId="1E898F8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vMerge w:val="restart"/>
            <w:vAlign w:val="center"/>
          </w:tcPr>
          <w:p w14:paraId="7E3FC7B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3、关键设备</w:t>
            </w:r>
          </w:p>
        </w:tc>
        <w:tc>
          <w:tcPr>
            <w:tcW w:w="1751" w:type="dxa"/>
          </w:tcPr>
          <w:p w14:paraId="5E2A98F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投入</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项</w:t>
            </w:r>
          </w:p>
        </w:tc>
        <w:tc>
          <w:tcPr>
            <w:tcW w:w="1916" w:type="dxa"/>
            <w:gridSpan w:val="3"/>
          </w:tcPr>
          <w:p w14:paraId="7256CE3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设备名称</w:t>
            </w:r>
          </w:p>
        </w:tc>
        <w:tc>
          <w:tcPr>
            <w:tcW w:w="3871" w:type="dxa"/>
            <w:gridSpan w:val="5"/>
          </w:tcPr>
          <w:p w14:paraId="26103A4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27A17F3C">
        <w:trPr>
          <w:trHeight w:val="200" w:hRule="atLeast"/>
        </w:trPr>
        <w:tc>
          <w:tcPr>
            <w:tcW w:w="578" w:type="dxa"/>
            <w:vMerge w:val="continue"/>
          </w:tcPr>
          <w:p w14:paraId="3C5ACFB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vMerge w:val="continue"/>
          </w:tcPr>
          <w:p w14:paraId="1AB96CB0">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1751" w:type="dxa"/>
          </w:tcPr>
          <w:p w14:paraId="025BB47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引进</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项</w:t>
            </w:r>
          </w:p>
        </w:tc>
        <w:tc>
          <w:tcPr>
            <w:tcW w:w="1916" w:type="dxa"/>
            <w:gridSpan w:val="3"/>
          </w:tcPr>
          <w:p w14:paraId="019F1677">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设备名称</w:t>
            </w:r>
          </w:p>
        </w:tc>
        <w:tc>
          <w:tcPr>
            <w:tcW w:w="3871" w:type="dxa"/>
            <w:gridSpan w:val="5"/>
          </w:tcPr>
          <w:p w14:paraId="1D6B0A80">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1939E7C7">
        <w:trPr>
          <w:trHeight w:val="210" w:hRule="atLeast"/>
        </w:trPr>
        <w:tc>
          <w:tcPr>
            <w:tcW w:w="578" w:type="dxa"/>
            <w:vMerge w:val="continue"/>
          </w:tcPr>
          <w:p w14:paraId="04E15F4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vMerge w:val="restart"/>
          </w:tcPr>
          <w:p w14:paraId="7017A5C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4、特有资源、信息、资料投入</w:t>
            </w:r>
          </w:p>
        </w:tc>
        <w:tc>
          <w:tcPr>
            <w:tcW w:w="1751" w:type="dxa"/>
          </w:tcPr>
          <w:p w14:paraId="7168116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物种数</w:t>
            </w:r>
          </w:p>
        </w:tc>
        <w:tc>
          <w:tcPr>
            <w:tcW w:w="956" w:type="dxa"/>
          </w:tcPr>
          <w:p w14:paraId="74B0034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样本量</w:t>
            </w:r>
          </w:p>
        </w:tc>
        <w:tc>
          <w:tcPr>
            <w:tcW w:w="960" w:type="dxa"/>
            <w:gridSpan w:val="2"/>
          </w:tcPr>
          <w:p w14:paraId="3EAC78FA">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数据量</w:t>
            </w:r>
          </w:p>
        </w:tc>
        <w:tc>
          <w:tcPr>
            <w:tcW w:w="1232" w:type="dxa"/>
            <w:gridSpan w:val="2"/>
          </w:tcPr>
          <w:p w14:paraId="5157B4B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图纸数</w:t>
            </w:r>
          </w:p>
        </w:tc>
        <w:tc>
          <w:tcPr>
            <w:tcW w:w="2639" w:type="dxa"/>
            <w:gridSpan w:val="3"/>
          </w:tcPr>
          <w:p w14:paraId="7DA6F0B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其他（名称：</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w:t>
            </w:r>
          </w:p>
        </w:tc>
      </w:tr>
      <w:tr w14:paraId="40A592BD">
        <w:trPr>
          <w:trHeight w:val="240" w:hRule="atLeast"/>
        </w:trPr>
        <w:tc>
          <w:tcPr>
            <w:tcW w:w="578" w:type="dxa"/>
            <w:vMerge w:val="continue"/>
          </w:tcPr>
          <w:p w14:paraId="29D3B74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vMerge w:val="continue"/>
          </w:tcPr>
          <w:p w14:paraId="43B5029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1751" w:type="dxa"/>
          </w:tcPr>
          <w:p w14:paraId="46184C9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56" w:type="dxa"/>
          </w:tcPr>
          <w:p w14:paraId="6A07666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0" w:type="dxa"/>
            <w:gridSpan w:val="2"/>
          </w:tcPr>
          <w:p w14:paraId="43D9427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1232" w:type="dxa"/>
            <w:gridSpan w:val="2"/>
          </w:tcPr>
          <w:p w14:paraId="1F772AD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2639" w:type="dxa"/>
            <w:gridSpan w:val="3"/>
          </w:tcPr>
          <w:p w14:paraId="1853804B">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43D66C85">
        <w:trPr>
          <w:trHeight w:val="250" w:hRule="atLeast"/>
        </w:trPr>
        <w:tc>
          <w:tcPr>
            <w:tcW w:w="578" w:type="dxa"/>
            <w:vMerge w:val="continue"/>
          </w:tcPr>
          <w:p w14:paraId="5A7C6F5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64" w:type="dxa"/>
            <w:vMerge w:val="restart"/>
            <w:vAlign w:val="center"/>
          </w:tcPr>
          <w:p w14:paraId="7715F0C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5、人才引进</w:t>
            </w:r>
          </w:p>
        </w:tc>
        <w:tc>
          <w:tcPr>
            <w:tcW w:w="1751" w:type="dxa"/>
          </w:tcPr>
          <w:p w14:paraId="12C32AF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cs="仿宋_GB2312"/>
                <w:sz w:val="24"/>
                <w:szCs w:val="24"/>
                <w:lang w:val="en-US" w:eastAsia="zh-CN"/>
              </w:rPr>
              <w:t>合</w:t>
            </w:r>
            <w:r>
              <w:rPr>
                <w:rFonts w:hint="eastAsia" w:ascii="仿宋_GB2312" w:hAnsi="仿宋_GB2312" w:eastAsia="仿宋_GB2312" w:cs="仿宋_GB2312"/>
                <w:sz w:val="24"/>
                <w:szCs w:val="24"/>
              </w:rPr>
              <w:t>计：</w:t>
            </w:r>
            <w:r>
              <w:rPr>
                <w:rFonts w:hint="eastAsia" w:ascii="仿宋_GB2312" w:hAnsi="仿宋_GB2312" w:eastAsia="仿宋_GB2312" w:cs="仿宋_GB2312"/>
                <w:sz w:val="24"/>
                <w:szCs w:val="24"/>
              </w:rPr>
              <w:br w:type="textWrapping"/>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人</w:t>
            </w:r>
          </w:p>
        </w:tc>
        <w:tc>
          <w:tcPr>
            <w:tcW w:w="1916" w:type="dxa"/>
            <w:gridSpan w:val="3"/>
          </w:tcPr>
          <w:p w14:paraId="1D4A624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博士后</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 </w:t>
            </w:r>
          </w:p>
        </w:tc>
        <w:tc>
          <w:tcPr>
            <w:tcW w:w="1232" w:type="dxa"/>
            <w:gridSpan w:val="2"/>
          </w:tcPr>
          <w:p w14:paraId="5630DB6A">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博士</w:t>
            </w:r>
            <w:r>
              <w:rPr>
                <w:rFonts w:hint="eastAsia" w:ascii="仿宋_GB2312" w:hAnsi="仿宋_GB2312" w:eastAsia="仿宋_GB2312" w:cs="仿宋_GB2312"/>
                <w:sz w:val="24"/>
                <w:szCs w:val="24"/>
                <w:u w:val="single"/>
              </w:rPr>
              <w:t xml:space="preserve">    </w:t>
            </w:r>
          </w:p>
        </w:tc>
        <w:tc>
          <w:tcPr>
            <w:tcW w:w="1389" w:type="dxa"/>
            <w:gridSpan w:val="2"/>
          </w:tcPr>
          <w:p w14:paraId="2CB4833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硕士</w:t>
            </w:r>
            <w:r>
              <w:rPr>
                <w:rFonts w:hint="eastAsia" w:ascii="仿宋_GB2312" w:hAnsi="仿宋_GB2312" w:eastAsia="仿宋_GB2312" w:cs="仿宋_GB2312"/>
                <w:sz w:val="24"/>
                <w:szCs w:val="24"/>
                <w:u w:val="single"/>
              </w:rPr>
              <w:t xml:space="preserve">     </w:t>
            </w:r>
          </w:p>
        </w:tc>
        <w:tc>
          <w:tcPr>
            <w:tcW w:w="1250" w:type="dxa"/>
          </w:tcPr>
          <w:p w14:paraId="005C018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技术工程人员</w:t>
            </w:r>
            <w:r>
              <w:rPr>
                <w:rFonts w:hint="eastAsia" w:ascii="仿宋_GB2312" w:hAnsi="仿宋_GB2312" w:eastAsia="仿宋_GB2312" w:cs="仿宋_GB2312"/>
                <w:sz w:val="24"/>
                <w:szCs w:val="24"/>
                <w:u w:val="single"/>
              </w:rPr>
              <w:t xml:space="preserve">    </w:t>
            </w:r>
          </w:p>
        </w:tc>
      </w:tr>
      <w:tr w14:paraId="66337A53">
        <w:trPr>
          <w:trHeight w:val="300" w:hRule="atLeast"/>
        </w:trPr>
        <w:tc>
          <w:tcPr>
            <w:tcW w:w="578" w:type="dxa"/>
            <w:vMerge w:val="continue"/>
          </w:tcPr>
          <w:p w14:paraId="6776B51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64" w:type="dxa"/>
            <w:vMerge w:val="continue"/>
            <w:vAlign w:val="center"/>
          </w:tcPr>
          <w:p w14:paraId="0EDC839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3667" w:type="dxa"/>
            <w:gridSpan w:val="4"/>
          </w:tcPr>
          <w:p w14:paraId="120E945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cs="仿宋_GB2312"/>
                <w:sz w:val="24"/>
                <w:szCs w:val="24"/>
                <w:lang w:val="en-US" w:eastAsia="zh-CN"/>
              </w:rPr>
              <w:t>合</w:t>
            </w:r>
            <w:r>
              <w:rPr>
                <w:rFonts w:hint="eastAsia" w:ascii="仿宋_GB2312" w:hAnsi="仿宋_GB2312" w:eastAsia="仿宋_GB2312" w:cs="仿宋_GB2312"/>
                <w:sz w:val="24"/>
                <w:szCs w:val="24"/>
              </w:rPr>
              <w:t>计来华工作：</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人月</w:t>
            </w:r>
          </w:p>
        </w:tc>
        <w:tc>
          <w:tcPr>
            <w:tcW w:w="3871" w:type="dxa"/>
            <w:gridSpan w:val="5"/>
          </w:tcPr>
          <w:p w14:paraId="5BF3A74B">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其中：正高级职称人员</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人，来华工作</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人月</w:t>
            </w:r>
          </w:p>
        </w:tc>
      </w:tr>
      <w:tr w14:paraId="5BFD7543">
        <w:trPr>
          <w:trHeight w:val="2260" w:hRule="atLeast"/>
        </w:trPr>
        <w:tc>
          <w:tcPr>
            <w:tcW w:w="1542" w:type="dxa"/>
            <w:gridSpan w:val="2"/>
            <w:vAlign w:val="center"/>
          </w:tcPr>
          <w:p w14:paraId="54AD5D2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合作外方主要成员简历（学历、工作经历、论著、近三年重要成果及获奖情况等） </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rPr>
              <w:t>300字以内</w:t>
            </w:r>
            <w:r>
              <w:rPr>
                <w:rFonts w:hint="eastAsia" w:ascii="仿宋_GB2312" w:hAnsi="仿宋_GB2312" w:cs="仿宋_GB2312"/>
                <w:sz w:val="24"/>
                <w:szCs w:val="24"/>
                <w:lang w:eastAsia="zh-CN"/>
              </w:rPr>
              <w:t>）</w:t>
            </w:r>
          </w:p>
        </w:tc>
        <w:tc>
          <w:tcPr>
            <w:tcW w:w="7538" w:type="dxa"/>
            <w:gridSpan w:val="9"/>
          </w:tcPr>
          <w:p w14:paraId="10D20E70">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3965A512">
        <w:trPr>
          <w:trHeight w:val="2118" w:hRule="atLeast"/>
        </w:trPr>
        <w:tc>
          <w:tcPr>
            <w:tcW w:w="1542" w:type="dxa"/>
            <w:gridSpan w:val="2"/>
            <w:vAlign w:val="center"/>
          </w:tcPr>
          <w:p w14:paraId="404FD5C3">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合作双方的研究优势互补性及合作分工</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rPr>
              <w:t>300字以内</w:t>
            </w:r>
            <w:r>
              <w:rPr>
                <w:rFonts w:hint="eastAsia" w:ascii="仿宋_GB2312" w:hAnsi="仿宋_GB2312" w:cs="仿宋_GB2312"/>
                <w:sz w:val="24"/>
                <w:szCs w:val="24"/>
                <w:lang w:eastAsia="zh-CN"/>
              </w:rPr>
              <w:t>）</w:t>
            </w:r>
          </w:p>
        </w:tc>
        <w:tc>
          <w:tcPr>
            <w:tcW w:w="7538" w:type="dxa"/>
            <w:gridSpan w:val="9"/>
          </w:tcPr>
          <w:p w14:paraId="41F96DA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7156EDC3">
        <w:trPr>
          <w:trHeight w:val="3732" w:hRule="atLeast"/>
        </w:trPr>
        <w:tc>
          <w:tcPr>
            <w:tcW w:w="1542" w:type="dxa"/>
            <w:gridSpan w:val="2"/>
            <w:vAlign w:val="center"/>
          </w:tcPr>
          <w:p w14:paraId="1728FF4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外方在本合作项目上是否获得了所在国项目或经费支持 </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rPr>
              <w:t>300字以内</w:t>
            </w:r>
            <w:r>
              <w:rPr>
                <w:rFonts w:hint="eastAsia" w:ascii="仿宋_GB2312" w:hAnsi="仿宋_GB2312" w:cs="仿宋_GB2312"/>
                <w:sz w:val="24"/>
                <w:szCs w:val="24"/>
                <w:lang w:eastAsia="zh-CN"/>
              </w:rPr>
              <w:t>）</w:t>
            </w:r>
          </w:p>
        </w:tc>
        <w:tc>
          <w:tcPr>
            <w:tcW w:w="7538" w:type="dxa"/>
            <w:gridSpan w:val="9"/>
          </w:tcPr>
          <w:p w14:paraId="1CCC490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3E4433E8">
        <w:trPr>
          <w:trHeight w:val="3732" w:hRule="atLeast"/>
        </w:trPr>
        <w:tc>
          <w:tcPr>
            <w:tcW w:w="1542" w:type="dxa"/>
            <w:gridSpan w:val="2"/>
            <w:vAlign w:val="center"/>
          </w:tcPr>
          <w:p w14:paraId="0AD787F6">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主要研究目标、内容、合作理由</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rPr>
              <w:t>300字以内</w:t>
            </w:r>
            <w:r>
              <w:rPr>
                <w:rFonts w:hint="eastAsia" w:ascii="仿宋_GB2312" w:hAnsi="仿宋_GB2312" w:cs="仿宋_GB2312"/>
                <w:sz w:val="24"/>
                <w:szCs w:val="24"/>
                <w:lang w:eastAsia="zh-CN"/>
              </w:rPr>
              <w:t>）</w:t>
            </w:r>
          </w:p>
        </w:tc>
        <w:tc>
          <w:tcPr>
            <w:tcW w:w="7538" w:type="dxa"/>
            <w:gridSpan w:val="9"/>
          </w:tcPr>
          <w:p w14:paraId="47815B5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bl>
    <w:p w14:paraId="7B6BCE16">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b/>
          <w:sz w:val="24"/>
          <w:szCs w:val="24"/>
        </w:rPr>
      </w:pPr>
    </w:p>
    <w:p w14:paraId="72851907">
      <w:pPr>
        <w:keepNext w:val="0"/>
        <w:keepLines w:val="0"/>
        <w:pageBreakBefore w:val="0"/>
        <w:widowControl/>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 </w:t>
      </w:r>
    </w:p>
    <w:p w14:paraId="667CCE52">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宋体" w:hAnsi="宋体" w:cs="Times New Roman"/>
          <w:sz w:val="18"/>
          <w:szCs w:val="18"/>
        </w:rPr>
      </w:pPr>
      <w:r>
        <w:rPr>
          <w:rFonts w:hint="eastAsia" w:ascii="宋体" w:hAnsi="宋体" w:cs="Times New Roman"/>
          <w:sz w:val="18"/>
          <w:szCs w:val="18"/>
        </w:rPr>
        <w:br w:type="page"/>
      </w:r>
    </w:p>
    <w:p w14:paraId="3DF8BF99">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eastAsia"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附表11 涉及人类遗传资源情况表</w:t>
      </w:r>
    </w:p>
    <w:p w14:paraId="02579FBC">
      <w:pPr>
        <w:pageBreakBefore w:val="0"/>
        <w:kinsoku/>
        <w:wordWrap/>
        <w:overflowPunct/>
        <w:topLinePunct w:val="0"/>
        <w:autoSpaceDE w:val="0"/>
        <w:autoSpaceDN w:val="0"/>
        <w:bidi w:val="0"/>
        <w:adjustRightInd/>
        <w:spacing w:line="560" w:lineRule="exact"/>
        <w:ind w:left="0" w:firstLine="0" w:firstLineChars="0"/>
        <w:textAlignment w:val="auto"/>
        <w:rPr>
          <w:rFonts w:hint="eastAsia" w:eastAsia="仿宋_GB2312" w:cs="Times New Roman"/>
          <w:color w:val="2D00C7"/>
          <w:sz w:val="24"/>
          <w:szCs w:val="21"/>
          <w:lang w:eastAsia="zh-CN"/>
        </w:rPr>
      </w:pPr>
      <w:r>
        <w:rPr>
          <w:rFonts w:hint="eastAsia" w:cs="Times New Roman"/>
          <w:color w:val="2D00C7"/>
          <w:sz w:val="24"/>
          <w:szCs w:val="21"/>
          <w:lang w:eastAsia="zh-CN"/>
        </w:rPr>
        <w:t>（如不涉及，</w:t>
      </w:r>
      <w:r>
        <w:rPr>
          <w:rFonts w:hint="eastAsia" w:cs="Times New Roman"/>
          <w:color w:val="2D00C7"/>
          <w:sz w:val="24"/>
          <w:szCs w:val="21"/>
          <w:lang w:val="en-US" w:eastAsia="zh-CN"/>
        </w:rPr>
        <w:t>可</w:t>
      </w:r>
      <w:r>
        <w:rPr>
          <w:rFonts w:hint="eastAsia" w:cs="Times New Roman"/>
          <w:color w:val="2D00C7"/>
          <w:sz w:val="24"/>
          <w:szCs w:val="21"/>
          <w:lang w:eastAsia="zh-CN"/>
        </w:rPr>
        <w:t>不填）</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11C8BB3">
        <w:trPr>
          <w:trHeight w:val="1127" w:hRule="atLeast"/>
        </w:trPr>
        <w:tc>
          <w:tcPr>
            <w:tcW w:w="1942" w:type="dxa"/>
            <w:vAlign w:val="center"/>
          </w:tcPr>
          <w:p w14:paraId="5DC9CAF8">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序号</w:t>
            </w:r>
          </w:p>
        </w:tc>
        <w:tc>
          <w:tcPr>
            <w:tcW w:w="1942" w:type="dxa"/>
            <w:vAlign w:val="center"/>
          </w:tcPr>
          <w:p w14:paraId="2BC8D5C0">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涉及人类遗传资源活动类型</w:t>
            </w:r>
          </w:p>
        </w:tc>
        <w:tc>
          <w:tcPr>
            <w:tcW w:w="1942" w:type="dxa"/>
            <w:vAlign w:val="center"/>
          </w:tcPr>
          <w:p w14:paraId="59719540">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涉及活动相关内容</w:t>
            </w:r>
          </w:p>
        </w:tc>
        <w:tc>
          <w:tcPr>
            <w:tcW w:w="1943" w:type="dxa"/>
            <w:vAlign w:val="center"/>
          </w:tcPr>
          <w:p w14:paraId="0B105568">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审批书号/备案号</w:t>
            </w:r>
          </w:p>
        </w:tc>
        <w:tc>
          <w:tcPr>
            <w:tcW w:w="1943" w:type="dxa"/>
            <w:vAlign w:val="center"/>
          </w:tcPr>
          <w:p w14:paraId="26BCA17B">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项目名称</w:t>
            </w:r>
          </w:p>
        </w:tc>
      </w:tr>
      <w:tr w14:paraId="7D2D736F">
        <w:trPr>
          <w:trHeight w:val="726" w:hRule="atLeast"/>
        </w:trPr>
        <w:tc>
          <w:tcPr>
            <w:tcW w:w="1942" w:type="dxa"/>
            <w:vAlign w:val="center"/>
          </w:tcPr>
          <w:p w14:paraId="30016B6B">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536C1EE7">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63D022B6">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1A249E42">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22B0AC73">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r>
      <w:tr w14:paraId="0329403C">
        <w:trPr>
          <w:trHeight w:val="726" w:hRule="atLeast"/>
        </w:trPr>
        <w:tc>
          <w:tcPr>
            <w:tcW w:w="1942" w:type="dxa"/>
            <w:vAlign w:val="center"/>
          </w:tcPr>
          <w:p w14:paraId="18A14857">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32638715">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69C7F189">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237F1D58">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3D45D38C">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r>
      <w:tr w14:paraId="469AC846">
        <w:trPr>
          <w:trHeight w:val="726" w:hRule="atLeast"/>
        </w:trPr>
        <w:tc>
          <w:tcPr>
            <w:tcW w:w="1942" w:type="dxa"/>
            <w:vAlign w:val="center"/>
          </w:tcPr>
          <w:p w14:paraId="6E5F0F83">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0789F262">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16B158A0">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446C899D">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79B04102">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r>
    </w:tbl>
    <w:p w14:paraId="328681B2">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p>
    <w:p w14:paraId="021E7881">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p>
    <w:p w14:paraId="2EE9E031">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r>
        <w:rPr>
          <w:rFonts w:hint="eastAsia" w:cs="Times New Roman"/>
        </w:rPr>
        <w:br w:type="page"/>
      </w:r>
    </w:p>
    <w:p w14:paraId="16F7004D">
      <w:pPr>
        <w:pageBreakBefore w:val="0"/>
        <w:kinsoku/>
        <w:wordWrap/>
        <w:overflowPunct/>
        <w:topLinePunct w:val="0"/>
        <w:autoSpaceDE w:val="0"/>
        <w:autoSpaceDN w:val="0"/>
        <w:bidi w:val="0"/>
        <w:adjustRightInd/>
        <w:spacing w:line="560" w:lineRule="exact"/>
        <w:ind w:left="0" w:firstLine="0" w:firstLineChars="0"/>
        <w:textAlignment w:val="auto"/>
        <w:rPr>
          <w:rFonts w:hint="default"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附表12 伦理审查情况表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1"/>
        <w:gridCol w:w="4271"/>
      </w:tblGrid>
      <w:tr w14:paraId="1B71195E">
        <w:trPr>
          <w:trHeight w:val="1641" w:hRule="atLeast"/>
        </w:trPr>
        <w:tc>
          <w:tcPr>
            <w:tcW w:w="4630" w:type="dxa"/>
          </w:tcPr>
          <w:p w14:paraId="7CF935A5">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kern w:val="2"/>
                <w:sz w:val="24"/>
                <w:szCs w:val="21"/>
                <w:vertAlign w:val="baseline"/>
                <w:lang w:val="en-US" w:eastAsia="zh-CN" w:bidi="ar-SA"/>
                <w14:ligatures w14:val="standardContextual"/>
              </w:rPr>
              <w:t>是否涉及伦理审查</w:t>
            </w:r>
          </w:p>
        </w:tc>
        <w:tc>
          <w:tcPr>
            <w:tcW w:w="4630" w:type="dxa"/>
          </w:tcPr>
          <w:p w14:paraId="1BD7A2DB">
            <w:pPr>
              <w:pageBreakBefore w:val="0"/>
              <w:kinsoku/>
              <w:wordWrap/>
              <w:overflowPunct/>
              <w:topLinePunct w:val="0"/>
              <w:autoSpaceDE w:val="0"/>
              <w:autoSpaceDN w:val="0"/>
              <w:bidi w:val="0"/>
              <w:adjustRightInd/>
              <w:spacing w:line="560" w:lineRule="exact"/>
              <w:ind w:left="0" w:firstLine="0" w:firstLineChars="0"/>
              <w:textAlignment w:val="auto"/>
              <w:rPr>
                <w:rFonts w:hint="default" w:ascii="仿宋_GB2312" w:hAnsi="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kern w:val="2"/>
                <w:sz w:val="24"/>
                <w:szCs w:val="21"/>
                <w:vertAlign w:val="baseline"/>
                <w:lang w:val="en-US" w:eastAsia="zh-CN" w:bidi="ar-SA"/>
                <w14:ligatures w14:val="standardContextual"/>
              </w:rPr>
              <w:sym w:font="Wingdings 2" w:char="00A3"/>
            </w:r>
            <w:r>
              <w:rPr>
                <w:rFonts w:hint="eastAsia" w:ascii="仿宋_GB2312" w:hAnsi="仿宋_GB2312" w:cs="仿宋_GB2312"/>
                <w:kern w:val="2"/>
                <w:sz w:val="24"/>
                <w:szCs w:val="21"/>
                <w:vertAlign w:val="baseline"/>
                <w:lang w:val="en-US" w:eastAsia="zh-CN" w:bidi="ar-SA"/>
                <w14:ligatures w14:val="standardContextual"/>
              </w:rPr>
              <w:t xml:space="preserve">是        </w:t>
            </w:r>
            <w:r>
              <w:rPr>
                <w:rFonts w:hint="eastAsia" w:ascii="仿宋_GB2312" w:hAnsi="仿宋_GB2312" w:cs="仿宋_GB2312"/>
                <w:kern w:val="2"/>
                <w:sz w:val="24"/>
                <w:szCs w:val="21"/>
                <w:vertAlign w:val="baseline"/>
                <w:lang w:val="en-US" w:eastAsia="zh-CN" w:bidi="ar-SA"/>
                <w14:ligatures w14:val="standardContextual"/>
              </w:rPr>
              <w:sym w:font="Wingdings 2" w:char="00A3"/>
            </w:r>
            <w:r>
              <w:rPr>
                <w:rFonts w:hint="eastAsia" w:ascii="仿宋_GB2312" w:hAnsi="仿宋_GB2312" w:cs="仿宋_GB2312"/>
                <w:kern w:val="2"/>
                <w:sz w:val="24"/>
                <w:szCs w:val="21"/>
                <w:vertAlign w:val="baseline"/>
                <w:lang w:val="en-US" w:eastAsia="zh-CN" w:bidi="ar-SA"/>
                <w14:ligatures w14:val="standardContextual"/>
              </w:rPr>
              <w:t>否</w:t>
            </w:r>
          </w:p>
        </w:tc>
      </w:tr>
      <w:tr w14:paraId="004782CB">
        <w:trPr>
          <w:trHeight w:val="594" w:hRule="atLeast"/>
        </w:trPr>
        <w:tc>
          <w:tcPr>
            <w:tcW w:w="9260" w:type="dxa"/>
            <w:gridSpan w:val="2"/>
          </w:tcPr>
          <w:p w14:paraId="366A3538">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kern w:val="2"/>
                <w:sz w:val="24"/>
                <w:szCs w:val="21"/>
                <w:vertAlign w:val="baseline"/>
                <w:lang w:val="en-US" w:eastAsia="zh-CN" w:bidi="ar-SA"/>
                <w14:ligatures w14:val="standardContextual"/>
              </w:rPr>
              <w:t>相关情况说明</w:t>
            </w:r>
          </w:p>
        </w:tc>
      </w:tr>
      <w:tr w14:paraId="296A182F">
        <w:trPr>
          <w:trHeight w:val="2439" w:hRule="atLeast"/>
        </w:trPr>
        <w:tc>
          <w:tcPr>
            <w:tcW w:w="9260" w:type="dxa"/>
            <w:gridSpan w:val="2"/>
          </w:tcPr>
          <w:p w14:paraId="2974BC3B">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color w:val="2D00C7"/>
                <w:kern w:val="2"/>
                <w:sz w:val="24"/>
                <w:szCs w:val="21"/>
                <w:vertAlign w:val="baseline"/>
                <w:lang w:val="en-US" w:eastAsia="zh-CN" w:bidi="ar-SA"/>
                <w14:ligatures w14:val="standardContextual"/>
              </w:rPr>
              <w:t>（如不涉及，以下不填）</w:t>
            </w:r>
          </w:p>
        </w:tc>
      </w:tr>
      <w:tr w14:paraId="22512486">
        <w:trPr>
          <w:trHeight w:val="641" w:hRule="atLeast"/>
        </w:trPr>
        <w:tc>
          <w:tcPr>
            <w:tcW w:w="9260" w:type="dxa"/>
            <w:gridSpan w:val="2"/>
          </w:tcPr>
          <w:p w14:paraId="0D82E512">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kern w:val="2"/>
                <w:sz w:val="24"/>
                <w:szCs w:val="21"/>
                <w:vertAlign w:val="baseline"/>
                <w:lang w:val="en-US" w:eastAsia="zh-CN" w:bidi="ar-SA"/>
                <w14:ligatures w14:val="standardContextual"/>
              </w:rPr>
              <w:t>附件</w:t>
            </w:r>
          </w:p>
        </w:tc>
      </w:tr>
      <w:tr w14:paraId="1204931A">
        <w:trPr>
          <w:trHeight w:val="2496" w:hRule="atLeast"/>
        </w:trPr>
        <w:tc>
          <w:tcPr>
            <w:tcW w:w="9260" w:type="dxa"/>
            <w:gridSpan w:val="2"/>
          </w:tcPr>
          <w:p w14:paraId="1C41E211">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color w:val="2D00C7"/>
                <w:kern w:val="2"/>
                <w:sz w:val="24"/>
                <w:szCs w:val="21"/>
                <w:vertAlign w:val="baseline"/>
                <w:lang w:val="en-US" w:eastAsia="zh-CN" w:bidi="ar-SA"/>
                <w14:ligatures w14:val="standardContextual"/>
              </w:rPr>
              <w:t>（如不涉及，以下不填）</w:t>
            </w:r>
          </w:p>
        </w:tc>
      </w:tr>
    </w:tbl>
    <w:p w14:paraId="64255BF3">
      <w:pPr>
        <w:pageBreakBefore w:val="0"/>
        <w:kinsoku/>
        <w:wordWrap/>
        <w:overflowPunct/>
        <w:topLinePunct w:val="0"/>
        <w:autoSpaceDE w:val="0"/>
        <w:autoSpaceDN w:val="0"/>
        <w:bidi w:val="0"/>
        <w:adjustRightInd/>
        <w:spacing w:line="560" w:lineRule="exact"/>
        <w:ind w:left="0" w:firstLine="0" w:firstLineChars="0"/>
        <w:textAlignment w:val="auto"/>
        <w:rPr>
          <w:rFonts w:hint="default" w:ascii="黑体" w:hAnsi="黑体" w:eastAsia="黑体" w:cs="Times New Roman"/>
          <w:kern w:val="2"/>
          <w:sz w:val="32"/>
          <w:szCs w:val="24"/>
          <w:lang w:val="en-US" w:eastAsia="zh-CN" w:bidi="ar-SA"/>
        </w:rPr>
      </w:pPr>
    </w:p>
    <w:p w14:paraId="7E351D39">
      <w:pPr>
        <w:rPr>
          <w:rFonts w:hint="default"/>
          <w:lang w:val="en-US" w:eastAsia="zh-CN"/>
        </w:rPr>
      </w:pPr>
    </w:p>
    <w:p w14:paraId="4F630B4B">
      <w:pPr>
        <w:spacing w:line="360" w:lineRule="auto"/>
        <w:ind w:right="26"/>
        <w:jc w:val="left"/>
        <w:rPr>
          <w:rFonts w:hint="eastAsia"/>
        </w:rPr>
      </w:pPr>
    </w:p>
    <w:sectPr>
      <w:footerReference r:id="rId7"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00"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文鼎大标宋简">
    <w:altName w:val="汉仪书宋二KW"/>
    <w:panose1 w:val="00000000000000000000"/>
    <w:charset w:val="86"/>
    <w:family w:val="modern"/>
    <w:pitch w:val="default"/>
    <w:sig w:usb0="00000000" w:usb1="00000000" w:usb2="00000010"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2010609030101010101"/>
    <w:charset w:val="86"/>
    <w:family w:val="modern"/>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新宋体">
    <w:altName w:val="方正书宋_GBK"/>
    <w:panose1 w:val="02010609030101010101"/>
    <w:charset w:val="86"/>
    <w:family w:val="modern"/>
    <w:pitch w:val="default"/>
    <w:sig w:usb0="00000000" w:usb1="00000000" w:usb2="00000006" w:usb3="00000000" w:csb0="00040001" w:csb1="00000000"/>
  </w:font>
  <w:font w:name="楷体">
    <w:altName w:val="汉仪楷体KW"/>
    <w:panose1 w:val="02010609060101010101"/>
    <w:charset w:val="86"/>
    <w:family w:val="auto"/>
    <w:pitch w:val="default"/>
    <w:sig w:usb0="00000000" w:usb1="00000000" w:usb2="00000016" w:usb3="00000000" w:csb0="00040001" w:csb1="00000000"/>
  </w:font>
  <w:font w:name="Wingdings 2">
    <w:panose1 w:val="050201020105070707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方正书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555B2">
    <w:pPr>
      <w:widowControl w:val="0"/>
      <w:tabs>
        <w:tab w:val="center" w:pos="4153"/>
        <w:tab w:val="right" w:pos="8306"/>
      </w:tabs>
      <w:autoSpaceDE w:val="0"/>
      <w:autoSpaceDN w:val="0"/>
      <w:snapToGrid w:val="0"/>
      <w:spacing w:line="600" w:lineRule="exact"/>
      <w:ind w:firstLine="0" w:firstLineChars="0"/>
      <w:jc w:val="center"/>
      <w:rPr>
        <w:rFonts w:ascii="Times New Roman" w:hAnsi="Times New Roman" w:eastAsia="仿宋_GB2312"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F1E1B">
    <w:pPr>
      <w:widowControl w:val="0"/>
      <w:tabs>
        <w:tab w:val="center" w:pos="4153"/>
        <w:tab w:val="right" w:pos="8306"/>
      </w:tabs>
      <w:autoSpaceDE w:val="0"/>
      <w:autoSpaceDN w:val="0"/>
      <w:snapToGrid w:val="0"/>
      <w:spacing w:line="600" w:lineRule="exact"/>
      <w:ind w:firstLine="0" w:firstLineChars="0"/>
      <w:jc w:val="center"/>
      <w:rPr>
        <w:rFonts w:ascii="Times New Roman" w:hAnsi="Times New Roman" w:eastAsia="仿宋_GB2312" w:cs="Times New Roman"/>
        <w:kern w:val="2"/>
        <w:sz w:val="18"/>
        <w:szCs w:val="18"/>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C5D4A">
    <w:pPr>
      <w:pStyle w:val="12"/>
      <w:ind w:left="560"/>
      <w:jc w:val="center"/>
    </w:pPr>
    <w:r>
      <w:fldChar w:fldCharType="begin"/>
    </w:r>
    <w:r>
      <w:instrText xml:space="preserve">PAGE   \* MERGEFORMAT</w:instrText>
    </w:r>
    <w:r>
      <w:fldChar w:fldCharType="separate"/>
    </w:r>
    <w:r>
      <w:rPr>
        <w:lang w:val="zh-CN"/>
      </w:rPr>
      <w:t>65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9A65D">
    <w:pPr>
      <w:widowControl w:val="0"/>
      <w:pBdr>
        <w:bottom w:val="single" w:color="auto" w:sz="6" w:space="1"/>
      </w:pBdr>
      <w:tabs>
        <w:tab w:val="center" w:pos="4153"/>
        <w:tab w:val="right" w:pos="8306"/>
      </w:tabs>
      <w:autoSpaceDE w:val="0"/>
      <w:autoSpaceDN w:val="0"/>
      <w:snapToGrid w:val="0"/>
      <w:spacing w:line="600" w:lineRule="exact"/>
      <w:ind w:firstLine="0" w:firstLineChars="0"/>
      <w:jc w:val="center"/>
      <w:rPr>
        <w:rFonts w:ascii="Times New Roman" w:hAnsi="Times New Roman" w:eastAsia="仿宋_GB2312" w:cs="Times New Roman"/>
        <w:kern w:val="2"/>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AAE65">
    <w:pPr>
      <w:widowControl w:val="0"/>
      <w:pBdr>
        <w:bottom w:val="single" w:color="auto" w:sz="6" w:space="1"/>
      </w:pBdr>
      <w:tabs>
        <w:tab w:val="center" w:pos="4153"/>
        <w:tab w:val="right" w:pos="8306"/>
      </w:tabs>
      <w:autoSpaceDE w:val="0"/>
      <w:autoSpaceDN w:val="0"/>
      <w:snapToGrid w:val="0"/>
      <w:spacing w:line="600" w:lineRule="exact"/>
      <w:ind w:firstLine="0" w:firstLineChars="0"/>
      <w:jc w:val="center"/>
      <w:rPr>
        <w:rFonts w:ascii="Times New Roman" w:hAnsi="Times New Roman" w:eastAsia="仿宋_GB2312" w:cs="Times New Roman"/>
        <w:kern w:val="2"/>
        <w:sz w:val="18"/>
        <w:szCs w:val="18"/>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9D27F"/>
    <w:multiLevelType w:val="singleLevel"/>
    <w:tmpl w:val="8B59D27F"/>
    <w:lvl w:ilvl="0" w:tentative="0">
      <w:start w:val="1"/>
      <w:numFmt w:val="decimal"/>
      <w:lvlText w:val="%1."/>
      <w:lvlJc w:val="left"/>
      <w:pPr>
        <w:ind w:left="425" w:hanging="425"/>
      </w:pPr>
      <w:rPr>
        <w:rFonts w:hint="default"/>
      </w:rPr>
    </w:lvl>
  </w:abstractNum>
  <w:abstractNum w:abstractNumId="1">
    <w:nsid w:val="A7AECC3D"/>
    <w:multiLevelType w:val="singleLevel"/>
    <w:tmpl w:val="A7AECC3D"/>
    <w:lvl w:ilvl="0" w:tentative="0">
      <w:start w:val="1"/>
      <w:numFmt w:val="bullet"/>
      <w:lvlText w:val=""/>
      <w:lvlJc w:val="left"/>
      <w:pPr>
        <w:tabs>
          <w:tab w:val="left" w:pos="420"/>
        </w:tabs>
        <w:ind w:left="840" w:hanging="420"/>
      </w:pPr>
      <w:rPr>
        <w:rFonts w:hint="default" w:ascii="Wingdings" w:hAnsi="Wingdings"/>
      </w:rPr>
    </w:lvl>
  </w:abstractNum>
  <w:abstractNum w:abstractNumId="2">
    <w:nsid w:val="A7F7616F"/>
    <w:multiLevelType w:val="singleLevel"/>
    <w:tmpl w:val="A7F7616F"/>
    <w:lvl w:ilvl="0" w:tentative="0">
      <w:start w:val="1"/>
      <w:numFmt w:val="bullet"/>
      <w:lvlText w:val=""/>
      <w:lvlJc w:val="left"/>
      <w:pPr>
        <w:tabs>
          <w:tab w:val="left" w:pos="420"/>
        </w:tabs>
        <w:ind w:left="840" w:hanging="420"/>
      </w:pPr>
      <w:rPr>
        <w:rFonts w:hint="default" w:ascii="Wingdings" w:hAnsi="Wingdings"/>
      </w:rPr>
    </w:lvl>
  </w:abstractNum>
  <w:abstractNum w:abstractNumId="3">
    <w:nsid w:val="AE342956"/>
    <w:multiLevelType w:val="singleLevel"/>
    <w:tmpl w:val="AE342956"/>
    <w:lvl w:ilvl="0" w:tentative="0">
      <w:start w:val="1"/>
      <w:numFmt w:val="decimal"/>
      <w:lvlText w:val="(%1)"/>
      <w:lvlJc w:val="left"/>
      <w:pPr>
        <w:tabs>
          <w:tab w:val="left" w:pos="840"/>
        </w:tabs>
        <w:ind w:left="1265" w:hanging="425"/>
      </w:pPr>
      <w:rPr>
        <w:rFonts w:hint="default"/>
      </w:rPr>
    </w:lvl>
  </w:abstractNum>
  <w:abstractNum w:abstractNumId="4">
    <w:nsid w:val="B3F7C9F0"/>
    <w:multiLevelType w:val="singleLevel"/>
    <w:tmpl w:val="B3F7C9F0"/>
    <w:lvl w:ilvl="0" w:tentative="0">
      <w:start w:val="1"/>
      <w:numFmt w:val="decimal"/>
      <w:lvlText w:val="%1."/>
      <w:lvlJc w:val="left"/>
      <w:pPr>
        <w:tabs>
          <w:tab w:val="left" w:pos="840"/>
        </w:tabs>
        <w:ind w:left="1265" w:hanging="425"/>
      </w:pPr>
      <w:rPr>
        <w:rFonts w:hint="default"/>
      </w:rPr>
    </w:lvl>
  </w:abstractNum>
  <w:abstractNum w:abstractNumId="5">
    <w:nsid w:val="BBCD991F"/>
    <w:multiLevelType w:val="singleLevel"/>
    <w:tmpl w:val="BBCD991F"/>
    <w:lvl w:ilvl="0" w:tentative="0">
      <w:start w:val="1"/>
      <w:numFmt w:val="bullet"/>
      <w:lvlText w:val=""/>
      <w:lvlJc w:val="left"/>
      <w:pPr>
        <w:tabs>
          <w:tab w:val="left" w:pos="420"/>
        </w:tabs>
        <w:ind w:left="840" w:hanging="420"/>
      </w:pPr>
      <w:rPr>
        <w:rFonts w:hint="default" w:ascii="Wingdings" w:hAnsi="Wingdings"/>
      </w:rPr>
    </w:lvl>
  </w:abstractNum>
  <w:abstractNum w:abstractNumId="6">
    <w:nsid w:val="BEB10179"/>
    <w:multiLevelType w:val="singleLevel"/>
    <w:tmpl w:val="BEB10179"/>
    <w:lvl w:ilvl="0" w:tentative="0">
      <w:start w:val="2"/>
      <w:numFmt w:val="decimal"/>
      <w:suff w:val="nothing"/>
      <w:lvlText w:val="%1、"/>
      <w:lvlJc w:val="left"/>
      <w:pPr>
        <w:ind w:left="480" w:leftChars="0" w:firstLine="0" w:firstLineChars="0"/>
      </w:pPr>
    </w:lvl>
  </w:abstractNum>
  <w:abstractNum w:abstractNumId="7">
    <w:nsid w:val="CB84BAB0"/>
    <w:multiLevelType w:val="singleLevel"/>
    <w:tmpl w:val="CB84BAB0"/>
    <w:lvl w:ilvl="0" w:tentative="0">
      <w:start w:val="1"/>
      <w:numFmt w:val="decimal"/>
      <w:suff w:val="space"/>
      <w:lvlText w:val="（%1）"/>
      <w:lvlJc w:val="left"/>
    </w:lvl>
  </w:abstractNum>
  <w:abstractNum w:abstractNumId="8">
    <w:nsid w:val="D5FF5B12"/>
    <w:multiLevelType w:val="singleLevel"/>
    <w:tmpl w:val="D5FF5B12"/>
    <w:lvl w:ilvl="0" w:tentative="0">
      <w:start w:val="1"/>
      <w:numFmt w:val="bullet"/>
      <w:lvlText w:val=""/>
      <w:lvlJc w:val="left"/>
      <w:pPr>
        <w:tabs>
          <w:tab w:val="left" w:pos="420"/>
        </w:tabs>
        <w:ind w:left="840" w:hanging="420"/>
      </w:pPr>
      <w:rPr>
        <w:rFonts w:hint="default" w:ascii="Wingdings" w:hAnsi="Wingdings"/>
      </w:rPr>
    </w:lvl>
  </w:abstractNum>
  <w:abstractNum w:abstractNumId="9">
    <w:nsid w:val="D67FE269"/>
    <w:multiLevelType w:val="singleLevel"/>
    <w:tmpl w:val="D67FE269"/>
    <w:lvl w:ilvl="0" w:tentative="0">
      <w:start w:val="1"/>
      <w:numFmt w:val="decimal"/>
      <w:lvlText w:val="%1."/>
      <w:lvlJc w:val="left"/>
      <w:pPr>
        <w:tabs>
          <w:tab w:val="left" w:pos="420"/>
        </w:tabs>
        <w:ind w:left="845" w:hanging="425"/>
      </w:pPr>
      <w:rPr>
        <w:rFonts w:hint="default"/>
      </w:rPr>
    </w:lvl>
  </w:abstractNum>
  <w:abstractNum w:abstractNumId="10">
    <w:nsid w:val="DA274A7C"/>
    <w:multiLevelType w:val="singleLevel"/>
    <w:tmpl w:val="DA274A7C"/>
    <w:lvl w:ilvl="0" w:tentative="0">
      <w:start w:val="1"/>
      <w:numFmt w:val="bullet"/>
      <w:lvlText w:val=""/>
      <w:lvlJc w:val="left"/>
      <w:pPr>
        <w:ind w:left="420" w:hanging="420"/>
      </w:pPr>
      <w:rPr>
        <w:rFonts w:hint="default" w:ascii="Wingdings" w:hAnsi="Wingdings"/>
      </w:rPr>
    </w:lvl>
  </w:abstractNum>
  <w:abstractNum w:abstractNumId="11">
    <w:nsid w:val="DCFE81B9"/>
    <w:multiLevelType w:val="singleLevel"/>
    <w:tmpl w:val="DCFE81B9"/>
    <w:lvl w:ilvl="0" w:tentative="0">
      <w:start w:val="1"/>
      <w:numFmt w:val="decimal"/>
      <w:lvlText w:val="(%1)"/>
      <w:lvlJc w:val="left"/>
      <w:pPr>
        <w:tabs>
          <w:tab w:val="left" w:pos="840"/>
        </w:tabs>
        <w:ind w:left="1265" w:hanging="425"/>
      </w:pPr>
      <w:rPr>
        <w:rFonts w:hint="default"/>
      </w:rPr>
    </w:lvl>
  </w:abstractNum>
  <w:abstractNum w:abstractNumId="12">
    <w:nsid w:val="DEDA5A5E"/>
    <w:multiLevelType w:val="singleLevel"/>
    <w:tmpl w:val="DEDA5A5E"/>
    <w:lvl w:ilvl="0" w:tentative="0">
      <w:start w:val="1"/>
      <w:numFmt w:val="bullet"/>
      <w:lvlText w:val=""/>
      <w:lvlJc w:val="left"/>
      <w:pPr>
        <w:tabs>
          <w:tab w:val="left" w:pos="420"/>
        </w:tabs>
        <w:ind w:left="840" w:hanging="420"/>
      </w:pPr>
      <w:rPr>
        <w:rFonts w:hint="default" w:ascii="Wingdings" w:hAnsi="Wingdings"/>
      </w:rPr>
    </w:lvl>
  </w:abstractNum>
  <w:abstractNum w:abstractNumId="13">
    <w:nsid w:val="EB614A22"/>
    <w:multiLevelType w:val="singleLevel"/>
    <w:tmpl w:val="EB614A22"/>
    <w:lvl w:ilvl="0" w:tentative="0">
      <w:start w:val="1"/>
      <w:numFmt w:val="bullet"/>
      <w:lvlText w:val=""/>
      <w:lvlJc w:val="left"/>
      <w:pPr>
        <w:ind w:left="420" w:hanging="420"/>
      </w:pPr>
      <w:rPr>
        <w:rFonts w:hint="default" w:ascii="Wingdings" w:hAnsi="Wingdings"/>
      </w:rPr>
    </w:lvl>
  </w:abstractNum>
  <w:abstractNum w:abstractNumId="14">
    <w:nsid w:val="EEE781C3"/>
    <w:multiLevelType w:val="multilevel"/>
    <w:tmpl w:val="EEE781C3"/>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5">
    <w:nsid w:val="EFFDED48"/>
    <w:multiLevelType w:val="singleLevel"/>
    <w:tmpl w:val="EFFDED48"/>
    <w:lvl w:ilvl="0" w:tentative="0">
      <w:start w:val="1"/>
      <w:numFmt w:val="decimal"/>
      <w:lvlText w:val="%1."/>
      <w:lvlJc w:val="left"/>
      <w:pPr>
        <w:tabs>
          <w:tab w:val="left" w:pos="840"/>
        </w:tabs>
        <w:ind w:left="1265" w:hanging="425"/>
      </w:pPr>
      <w:rPr>
        <w:rFonts w:hint="default"/>
      </w:rPr>
    </w:lvl>
  </w:abstractNum>
  <w:abstractNum w:abstractNumId="16">
    <w:nsid w:val="F3DBD706"/>
    <w:multiLevelType w:val="singleLevel"/>
    <w:tmpl w:val="F3DBD706"/>
    <w:lvl w:ilvl="0" w:tentative="0">
      <w:start w:val="1"/>
      <w:numFmt w:val="bullet"/>
      <w:lvlText w:val=""/>
      <w:lvlJc w:val="left"/>
      <w:pPr>
        <w:tabs>
          <w:tab w:val="left" w:pos="420"/>
        </w:tabs>
        <w:ind w:left="840" w:hanging="420"/>
      </w:pPr>
      <w:rPr>
        <w:rFonts w:hint="default" w:ascii="Wingdings" w:hAnsi="Wingdings"/>
      </w:rPr>
    </w:lvl>
  </w:abstractNum>
  <w:abstractNum w:abstractNumId="17">
    <w:nsid w:val="F4F8D4DA"/>
    <w:multiLevelType w:val="multilevel"/>
    <w:tmpl w:val="F4F8D4DA"/>
    <w:lvl w:ilvl="0" w:tentative="0">
      <w:start w:val="1"/>
      <w:numFmt w:val="bullet"/>
      <w:lvlText w:val=""/>
      <w:lvlJc w:val="left"/>
      <w:pPr>
        <w:tabs>
          <w:tab w:val="left" w:pos="0"/>
        </w:tabs>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F65F8940"/>
    <w:multiLevelType w:val="singleLevel"/>
    <w:tmpl w:val="F65F8940"/>
    <w:lvl w:ilvl="0" w:tentative="0">
      <w:start w:val="1"/>
      <w:numFmt w:val="bullet"/>
      <w:lvlText w:val=""/>
      <w:lvlJc w:val="left"/>
      <w:pPr>
        <w:tabs>
          <w:tab w:val="left" w:pos="420"/>
        </w:tabs>
        <w:ind w:left="840" w:hanging="420"/>
      </w:pPr>
      <w:rPr>
        <w:rFonts w:hint="default" w:ascii="Wingdings" w:hAnsi="Wingdings"/>
      </w:rPr>
    </w:lvl>
  </w:abstractNum>
  <w:abstractNum w:abstractNumId="19">
    <w:nsid w:val="F7FE149C"/>
    <w:multiLevelType w:val="singleLevel"/>
    <w:tmpl w:val="F7FE149C"/>
    <w:lvl w:ilvl="0" w:tentative="0">
      <w:start w:val="1"/>
      <w:numFmt w:val="bullet"/>
      <w:lvlText w:val=""/>
      <w:lvlJc w:val="left"/>
      <w:pPr>
        <w:tabs>
          <w:tab w:val="left" w:pos="420"/>
        </w:tabs>
        <w:ind w:left="840" w:hanging="420"/>
      </w:pPr>
      <w:rPr>
        <w:rFonts w:hint="default" w:ascii="Wingdings" w:hAnsi="Wingdings"/>
      </w:rPr>
    </w:lvl>
  </w:abstractNum>
  <w:abstractNum w:abstractNumId="20">
    <w:nsid w:val="F7FE2A15"/>
    <w:multiLevelType w:val="multilevel"/>
    <w:tmpl w:val="F7FE2A15"/>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21">
    <w:nsid w:val="F9FD386D"/>
    <w:multiLevelType w:val="singleLevel"/>
    <w:tmpl w:val="F9FD386D"/>
    <w:lvl w:ilvl="0" w:tentative="0">
      <w:start w:val="1"/>
      <w:numFmt w:val="decimal"/>
      <w:lvlText w:val="%1."/>
      <w:lvlJc w:val="left"/>
      <w:pPr>
        <w:tabs>
          <w:tab w:val="left" w:pos="840"/>
        </w:tabs>
        <w:ind w:left="1265" w:hanging="425"/>
      </w:pPr>
      <w:rPr>
        <w:rFonts w:hint="default"/>
      </w:rPr>
    </w:lvl>
  </w:abstractNum>
  <w:abstractNum w:abstractNumId="22">
    <w:nsid w:val="FBF711F6"/>
    <w:multiLevelType w:val="singleLevel"/>
    <w:tmpl w:val="FBF711F6"/>
    <w:lvl w:ilvl="0" w:tentative="0">
      <w:start w:val="1"/>
      <w:numFmt w:val="decimal"/>
      <w:lvlText w:val="(%1)"/>
      <w:lvlJc w:val="left"/>
      <w:pPr>
        <w:tabs>
          <w:tab w:val="left" w:pos="840"/>
        </w:tabs>
        <w:ind w:left="1265" w:hanging="425"/>
      </w:pPr>
      <w:rPr>
        <w:rFonts w:hint="default"/>
      </w:rPr>
    </w:lvl>
  </w:abstractNum>
  <w:abstractNum w:abstractNumId="23">
    <w:nsid w:val="FD7754AE"/>
    <w:multiLevelType w:val="singleLevel"/>
    <w:tmpl w:val="FD7754AE"/>
    <w:lvl w:ilvl="0" w:tentative="0">
      <w:start w:val="1"/>
      <w:numFmt w:val="decimal"/>
      <w:lvlText w:val="%1."/>
      <w:lvlJc w:val="left"/>
      <w:pPr>
        <w:tabs>
          <w:tab w:val="left" w:pos="840"/>
        </w:tabs>
        <w:ind w:left="1265" w:hanging="425"/>
      </w:pPr>
      <w:rPr>
        <w:rFonts w:hint="default"/>
      </w:rPr>
    </w:lvl>
  </w:abstractNum>
  <w:abstractNum w:abstractNumId="24">
    <w:nsid w:val="FDBFB2C7"/>
    <w:multiLevelType w:val="singleLevel"/>
    <w:tmpl w:val="FDBFB2C7"/>
    <w:lvl w:ilvl="0" w:tentative="0">
      <w:start w:val="1"/>
      <w:numFmt w:val="decimal"/>
      <w:lvlText w:val="(%1)"/>
      <w:lvlJc w:val="left"/>
      <w:pPr>
        <w:tabs>
          <w:tab w:val="left" w:pos="840"/>
        </w:tabs>
        <w:ind w:left="1265" w:hanging="425"/>
      </w:pPr>
      <w:rPr>
        <w:rFonts w:hint="default"/>
      </w:rPr>
    </w:lvl>
  </w:abstractNum>
  <w:abstractNum w:abstractNumId="25">
    <w:nsid w:val="FE58DA4E"/>
    <w:multiLevelType w:val="multilevel"/>
    <w:tmpl w:val="FE58DA4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6">
    <w:nsid w:val="FE6929CC"/>
    <w:multiLevelType w:val="singleLevel"/>
    <w:tmpl w:val="FE6929CC"/>
    <w:lvl w:ilvl="0" w:tentative="0">
      <w:start w:val="2"/>
      <w:numFmt w:val="chineseCounting"/>
      <w:suff w:val="nothing"/>
      <w:lvlText w:val="（%1）"/>
      <w:lvlJc w:val="left"/>
      <w:rPr>
        <w:rFonts w:hint="eastAsia"/>
      </w:rPr>
    </w:lvl>
  </w:abstractNum>
  <w:abstractNum w:abstractNumId="27">
    <w:nsid w:val="FEFE2039"/>
    <w:multiLevelType w:val="singleLevel"/>
    <w:tmpl w:val="FEFE2039"/>
    <w:lvl w:ilvl="0" w:tentative="0">
      <w:start w:val="1"/>
      <w:numFmt w:val="bullet"/>
      <w:lvlText w:val=""/>
      <w:lvlJc w:val="left"/>
      <w:pPr>
        <w:tabs>
          <w:tab w:val="left" w:pos="420"/>
        </w:tabs>
        <w:ind w:left="840" w:hanging="420"/>
      </w:pPr>
      <w:rPr>
        <w:rFonts w:hint="default" w:ascii="Wingdings" w:hAnsi="Wingdings"/>
      </w:rPr>
    </w:lvl>
  </w:abstractNum>
  <w:abstractNum w:abstractNumId="28">
    <w:nsid w:val="FF5EB8E0"/>
    <w:multiLevelType w:val="singleLevel"/>
    <w:tmpl w:val="FF5EB8E0"/>
    <w:lvl w:ilvl="0" w:tentative="0">
      <w:start w:val="1"/>
      <w:numFmt w:val="bullet"/>
      <w:lvlText w:val=""/>
      <w:lvlJc w:val="left"/>
      <w:pPr>
        <w:tabs>
          <w:tab w:val="left" w:pos="420"/>
        </w:tabs>
        <w:ind w:left="840" w:hanging="420"/>
      </w:pPr>
      <w:rPr>
        <w:rFonts w:hint="default" w:ascii="Wingdings" w:hAnsi="Wingdings"/>
      </w:rPr>
    </w:lvl>
  </w:abstractNum>
  <w:abstractNum w:abstractNumId="29">
    <w:nsid w:val="FFD0308F"/>
    <w:multiLevelType w:val="singleLevel"/>
    <w:tmpl w:val="FFD0308F"/>
    <w:lvl w:ilvl="0" w:tentative="0">
      <w:start w:val="1"/>
      <w:numFmt w:val="bullet"/>
      <w:lvlText w:val=""/>
      <w:lvlJc w:val="left"/>
      <w:pPr>
        <w:tabs>
          <w:tab w:val="left" w:pos="420"/>
        </w:tabs>
        <w:ind w:left="840" w:hanging="420"/>
      </w:pPr>
      <w:rPr>
        <w:rFonts w:hint="default" w:ascii="Wingdings" w:hAnsi="Wingdings"/>
      </w:rPr>
    </w:lvl>
  </w:abstractNum>
  <w:abstractNum w:abstractNumId="30">
    <w:nsid w:val="FFF93C7E"/>
    <w:multiLevelType w:val="singleLevel"/>
    <w:tmpl w:val="FFF93C7E"/>
    <w:lvl w:ilvl="0" w:tentative="0">
      <w:start w:val="1"/>
      <w:numFmt w:val="bullet"/>
      <w:lvlText w:val=""/>
      <w:lvlJc w:val="left"/>
      <w:pPr>
        <w:tabs>
          <w:tab w:val="left" w:pos="420"/>
        </w:tabs>
        <w:ind w:left="840" w:hanging="420"/>
      </w:pPr>
      <w:rPr>
        <w:rFonts w:hint="default" w:ascii="Wingdings" w:hAnsi="Wingdings"/>
      </w:rPr>
    </w:lvl>
  </w:abstractNum>
  <w:abstractNum w:abstractNumId="31">
    <w:nsid w:val="3334CADE"/>
    <w:multiLevelType w:val="singleLevel"/>
    <w:tmpl w:val="3334CADE"/>
    <w:lvl w:ilvl="0" w:tentative="0">
      <w:start w:val="1"/>
      <w:numFmt w:val="bullet"/>
      <w:lvlText w:val=""/>
      <w:lvlJc w:val="left"/>
      <w:pPr>
        <w:ind w:left="420" w:hanging="420"/>
      </w:pPr>
      <w:rPr>
        <w:rFonts w:hint="default" w:ascii="Wingdings" w:hAnsi="Wingdings"/>
      </w:rPr>
    </w:lvl>
  </w:abstractNum>
  <w:abstractNum w:abstractNumId="32">
    <w:nsid w:val="3FEFFA35"/>
    <w:multiLevelType w:val="singleLevel"/>
    <w:tmpl w:val="3FEFFA35"/>
    <w:lvl w:ilvl="0" w:tentative="0">
      <w:start w:val="1"/>
      <w:numFmt w:val="bullet"/>
      <w:lvlText w:val=""/>
      <w:lvlJc w:val="left"/>
      <w:pPr>
        <w:tabs>
          <w:tab w:val="left" w:pos="420"/>
        </w:tabs>
        <w:ind w:left="840" w:hanging="420"/>
      </w:pPr>
      <w:rPr>
        <w:rFonts w:hint="default" w:ascii="Wingdings" w:hAnsi="Wingdings"/>
      </w:rPr>
    </w:lvl>
  </w:abstractNum>
  <w:abstractNum w:abstractNumId="33">
    <w:nsid w:val="5BCF1DFB"/>
    <w:multiLevelType w:val="singleLevel"/>
    <w:tmpl w:val="5BCF1DFB"/>
    <w:lvl w:ilvl="0" w:tentative="0">
      <w:start w:val="1"/>
      <w:numFmt w:val="bullet"/>
      <w:lvlText w:val=""/>
      <w:lvlJc w:val="left"/>
      <w:pPr>
        <w:tabs>
          <w:tab w:val="left" w:pos="420"/>
        </w:tabs>
        <w:ind w:left="840" w:hanging="420"/>
      </w:pPr>
      <w:rPr>
        <w:rFonts w:hint="default" w:ascii="Wingdings" w:hAnsi="Wingdings"/>
      </w:rPr>
    </w:lvl>
  </w:abstractNum>
  <w:abstractNum w:abstractNumId="34">
    <w:nsid w:val="5CFD2E55"/>
    <w:multiLevelType w:val="multilevel"/>
    <w:tmpl w:val="5CFD2E55"/>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35">
    <w:nsid w:val="5E7C13DA"/>
    <w:multiLevelType w:val="singleLevel"/>
    <w:tmpl w:val="5E7C13DA"/>
    <w:lvl w:ilvl="0" w:tentative="0">
      <w:start w:val="1"/>
      <w:numFmt w:val="decimal"/>
      <w:suff w:val="space"/>
      <w:lvlText w:val="%1."/>
      <w:lvlJc w:val="left"/>
    </w:lvl>
  </w:abstractNum>
  <w:abstractNum w:abstractNumId="36">
    <w:nsid w:val="5F668615"/>
    <w:multiLevelType w:val="singleLevel"/>
    <w:tmpl w:val="5F668615"/>
    <w:lvl w:ilvl="0" w:tentative="0">
      <w:start w:val="1"/>
      <w:numFmt w:val="decimal"/>
      <w:lvlText w:val="%1."/>
      <w:lvlJc w:val="left"/>
      <w:pPr>
        <w:tabs>
          <w:tab w:val="left" w:pos="420"/>
        </w:tabs>
        <w:ind w:left="845" w:hanging="425"/>
      </w:pPr>
      <w:rPr>
        <w:rFonts w:hint="default"/>
      </w:rPr>
    </w:lvl>
  </w:abstractNum>
  <w:abstractNum w:abstractNumId="37">
    <w:nsid w:val="5FBFEECE"/>
    <w:multiLevelType w:val="singleLevel"/>
    <w:tmpl w:val="5FBFEECE"/>
    <w:lvl w:ilvl="0" w:tentative="0">
      <w:start w:val="1"/>
      <w:numFmt w:val="decimal"/>
      <w:lvlText w:val="%1."/>
      <w:lvlJc w:val="left"/>
      <w:pPr>
        <w:tabs>
          <w:tab w:val="left" w:pos="420"/>
        </w:tabs>
        <w:ind w:left="845" w:hanging="425"/>
      </w:pPr>
      <w:rPr>
        <w:rFonts w:hint="default"/>
      </w:rPr>
    </w:lvl>
  </w:abstractNum>
  <w:abstractNum w:abstractNumId="38">
    <w:nsid w:val="64EC7FD3"/>
    <w:multiLevelType w:val="singleLevel"/>
    <w:tmpl w:val="64EC7FD3"/>
    <w:lvl w:ilvl="0" w:tentative="0">
      <w:start w:val="1"/>
      <w:numFmt w:val="decimal"/>
      <w:suff w:val="space"/>
      <w:lvlText w:val="（%1）"/>
      <w:lvlJc w:val="left"/>
    </w:lvl>
  </w:abstractNum>
  <w:abstractNum w:abstractNumId="39">
    <w:nsid w:val="71C26698"/>
    <w:multiLevelType w:val="multilevel"/>
    <w:tmpl w:val="71C26698"/>
    <w:lvl w:ilvl="0" w:tentative="0">
      <w:start w:val="2"/>
      <w:numFmt w:val="bullet"/>
      <w:lvlText w:val="□"/>
      <w:lvlJc w:val="left"/>
      <w:pPr>
        <w:tabs>
          <w:tab w:val="left" w:pos="360"/>
        </w:tabs>
        <w:ind w:left="360" w:hanging="360"/>
      </w:pPr>
      <w:rPr>
        <w:rFonts w:hint="eastAsia" w:ascii="宋体" w:hAnsi="宋体" w:eastAsia="宋体"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0">
    <w:nsid w:val="72FD575D"/>
    <w:multiLevelType w:val="singleLevel"/>
    <w:tmpl w:val="72FD575D"/>
    <w:lvl w:ilvl="0" w:tentative="0">
      <w:start w:val="1"/>
      <w:numFmt w:val="bullet"/>
      <w:lvlText w:val=""/>
      <w:lvlJc w:val="left"/>
      <w:pPr>
        <w:tabs>
          <w:tab w:val="left" w:pos="420"/>
        </w:tabs>
        <w:ind w:left="840" w:hanging="420"/>
      </w:pPr>
      <w:rPr>
        <w:rFonts w:hint="default" w:ascii="Wingdings" w:hAnsi="Wingdings"/>
      </w:rPr>
    </w:lvl>
  </w:abstractNum>
  <w:num w:numId="1">
    <w:abstractNumId w:val="26"/>
  </w:num>
  <w:num w:numId="2">
    <w:abstractNumId w:val="7"/>
  </w:num>
  <w:num w:numId="3">
    <w:abstractNumId w:val="4"/>
  </w:num>
  <w:num w:numId="4">
    <w:abstractNumId w:val="3"/>
  </w:num>
  <w:num w:numId="5">
    <w:abstractNumId w:val="11"/>
  </w:num>
  <w:num w:numId="6">
    <w:abstractNumId w:val="15"/>
  </w:num>
  <w:num w:numId="7">
    <w:abstractNumId w:val="24"/>
  </w:num>
  <w:num w:numId="8">
    <w:abstractNumId w:val="22"/>
  </w:num>
  <w:num w:numId="9">
    <w:abstractNumId w:val="21"/>
  </w:num>
  <w:num w:numId="10">
    <w:abstractNumId w:val="23"/>
  </w:num>
  <w:num w:numId="11">
    <w:abstractNumId w:val="36"/>
  </w:num>
  <w:num w:numId="12">
    <w:abstractNumId w:val="17"/>
  </w:num>
  <w:num w:numId="13">
    <w:abstractNumId w:val="33"/>
  </w:num>
  <w:num w:numId="14">
    <w:abstractNumId w:val="34"/>
  </w:num>
  <w:num w:numId="15">
    <w:abstractNumId w:val="2"/>
  </w:num>
  <w:num w:numId="16">
    <w:abstractNumId w:val="9"/>
  </w:num>
  <w:num w:numId="17">
    <w:abstractNumId w:val="8"/>
  </w:num>
  <w:num w:numId="18">
    <w:abstractNumId w:val="27"/>
  </w:num>
  <w:num w:numId="19">
    <w:abstractNumId w:val="40"/>
  </w:num>
  <w:num w:numId="20">
    <w:abstractNumId w:val="30"/>
  </w:num>
  <w:num w:numId="21">
    <w:abstractNumId w:val="28"/>
  </w:num>
  <w:num w:numId="22">
    <w:abstractNumId w:val="19"/>
  </w:num>
  <w:num w:numId="23">
    <w:abstractNumId w:val="20"/>
  </w:num>
  <w:num w:numId="24">
    <w:abstractNumId w:val="37"/>
  </w:num>
  <w:num w:numId="25">
    <w:abstractNumId w:val="32"/>
  </w:num>
  <w:num w:numId="26">
    <w:abstractNumId w:val="16"/>
  </w:num>
  <w:num w:numId="27">
    <w:abstractNumId w:val="18"/>
  </w:num>
  <w:num w:numId="28">
    <w:abstractNumId w:val="1"/>
  </w:num>
  <w:num w:numId="29">
    <w:abstractNumId w:val="12"/>
  </w:num>
  <w:num w:numId="30">
    <w:abstractNumId w:val="29"/>
  </w:num>
  <w:num w:numId="31">
    <w:abstractNumId w:val="5"/>
  </w:num>
  <w:num w:numId="32">
    <w:abstractNumId w:val="14"/>
  </w:num>
  <w:num w:numId="33">
    <w:abstractNumId w:val="25"/>
  </w:num>
  <w:num w:numId="34">
    <w:abstractNumId w:val="35"/>
  </w:num>
  <w:num w:numId="35">
    <w:abstractNumId w:val="38"/>
  </w:num>
  <w:num w:numId="36">
    <w:abstractNumId w:val="10"/>
  </w:num>
  <w:num w:numId="37">
    <w:abstractNumId w:val="13"/>
  </w:num>
  <w:num w:numId="38">
    <w:abstractNumId w:val="31"/>
  </w:num>
  <w:num w:numId="39">
    <w:abstractNumId w:val="6"/>
  </w:num>
  <w:num w:numId="40">
    <w:abstractNumId w:val="0"/>
  </w:num>
  <w:num w:numId="4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bordersDoNotSurroundHeader w:val="0"/>
  <w:bordersDoNotSurroundFooter w:val="0"/>
  <w:hideSpellingErrors/>
  <w:documentProtection w:enforcement="0"/>
  <w:defaultTabStop w:val="420"/>
  <w:drawingGridHorizontalSpacing w:val="144"/>
  <w:drawingGridVerticalSpacing w:val="19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4ZTQyMzY5YmJjOWIwOTQ1OWUyYTU1NTk0NTM4MjkifQ=="/>
  </w:docVars>
  <w:rsids>
    <w:rsidRoot w:val="33BD49B9"/>
    <w:rsid w:val="00002D15"/>
    <w:rsid w:val="0000344C"/>
    <w:rsid w:val="000044C9"/>
    <w:rsid w:val="00004BD7"/>
    <w:rsid w:val="00005C82"/>
    <w:rsid w:val="000061C2"/>
    <w:rsid w:val="00006BF6"/>
    <w:rsid w:val="00006E0B"/>
    <w:rsid w:val="00007064"/>
    <w:rsid w:val="00010561"/>
    <w:rsid w:val="000114D7"/>
    <w:rsid w:val="00011F7A"/>
    <w:rsid w:val="000120F7"/>
    <w:rsid w:val="00012C65"/>
    <w:rsid w:val="0001350B"/>
    <w:rsid w:val="000144B8"/>
    <w:rsid w:val="00017CC8"/>
    <w:rsid w:val="000203A1"/>
    <w:rsid w:val="00020D14"/>
    <w:rsid w:val="00020F29"/>
    <w:rsid w:val="00021644"/>
    <w:rsid w:val="0002267C"/>
    <w:rsid w:val="000226D1"/>
    <w:rsid w:val="00022FFA"/>
    <w:rsid w:val="0002436A"/>
    <w:rsid w:val="00025759"/>
    <w:rsid w:val="00025B7F"/>
    <w:rsid w:val="00025EC4"/>
    <w:rsid w:val="00026206"/>
    <w:rsid w:val="00026208"/>
    <w:rsid w:val="000263DE"/>
    <w:rsid w:val="000267CC"/>
    <w:rsid w:val="000272EA"/>
    <w:rsid w:val="0002757C"/>
    <w:rsid w:val="00027E2A"/>
    <w:rsid w:val="00030F03"/>
    <w:rsid w:val="00030F7D"/>
    <w:rsid w:val="000315D6"/>
    <w:rsid w:val="00034077"/>
    <w:rsid w:val="00035486"/>
    <w:rsid w:val="00035B95"/>
    <w:rsid w:val="0004014A"/>
    <w:rsid w:val="000404BB"/>
    <w:rsid w:val="00041CA3"/>
    <w:rsid w:val="00043EBE"/>
    <w:rsid w:val="000442B1"/>
    <w:rsid w:val="00044EA4"/>
    <w:rsid w:val="0004648A"/>
    <w:rsid w:val="00047017"/>
    <w:rsid w:val="00047910"/>
    <w:rsid w:val="00047958"/>
    <w:rsid w:val="00050175"/>
    <w:rsid w:val="0005136C"/>
    <w:rsid w:val="0005148C"/>
    <w:rsid w:val="000518F8"/>
    <w:rsid w:val="00051918"/>
    <w:rsid w:val="00055E46"/>
    <w:rsid w:val="00056954"/>
    <w:rsid w:val="00056B8F"/>
    <w:rsid w:val="00056CB2"/>
    <w:rsid w:val="00057CB4"/>
    <w:rsid w:val="0006022F"/>
    <w:rsid w:val="00060911"/>
    <w:rsid w:val="00062242"/>
    <w:rsid w:val="000625D1"/>
    <w:rsid w:val="000626CC"/>
    <w:rsid w:val="00062EF3"/>
    <w:rsid w:val="00063C33"/>
    <w:rsid w:val="00064E7D"/>
    <w:rsid w:val="00065EED"/>
    <w:rsid w:val="000663E8"/>
    <w:rsid w:val="00066558"/>
    <w:rsid w:val="00070375"/>
    <w:rsid w:val="000708E0"/>
    <w:rsid w:val="00070C21"/>
    <w:rsid w:val="000718F7"/>
    <w:rsid w:val="00072AEE"/>
    <w:rsid w:val="00072C86"/>
    <w:rsid w:val="00073800"/>
    <w:rsid w:val="00073B08"/>
    <w:rsid w:val="00073DF1"/>
    <w:rsid w:val="0007547F"/>
    <w:rsid w:val="00075EFB"/>
    <w:rsid w:val="00075FD4"/>
    <w:rsid w:val="000763E3"/>
    <w:rsid w:val="0007761D"/>
    <w:rsid w:val="00081486"/>
    <w:rsid w:val="000825FA"/>
    <w:rsid w:val="00082CF2"/>
    <w:rsid w:val="00083965"/>
    <w:rsid w:val="0008465B"/>
    <w:rsid w:val="0008531E"/>
    <w:rsid w:val="0008555E"/>
    <w:rsid w:val="00085944"/>
    <w:rsid w:val="00087635"/>
    <w:rsid w:val="00087BF2"/>
    <w:rsid w:val="0009038A"/>
    <w:rsid w:val="00093DEC"/>
    <w:rsid w:val="000944EA"/>
    <w:rsid w:val="000945B2"/>
    <w:rsid w:val="000945C6"/>
    <w:rsid w:val="000945F2"/>
    <w:rsid w:val="000955CC"/>
    <w:rsid w:val="0009643B"/>
    <w:rsid w:val="0009660E"/>
    <w:rsid w:val="00097A73"/>
    <w:rsid w:val="00097C6A"/>
    <w:rsid w:val="000A5C84"/>
    <w:rsid w:val="000A5F43"/>
    <w:rsid w:val="000A7091"/>
    <w:rsid w:val="000B0BAB"/>
    <w:rsid w:val="000B14DF"/>
    <w:rsid w:val="000B1941"/>
    <w:rsid w:val="000B27C6"/>
    <w:rsid w:val="000B2857"/>
    <w:rsid w:val="000B2B95"/>
    <w:rsid w:val="000B2DFE"/>
    <w:rsid w:val="000B2FA8"/>
    <w:rsid w:val="000B31C1"/>
    <w:rsid w:val="000B3ABC"/>
    <w:rsid w:val="000B42DE"/>
    <w:rsid w:val="000B4CB2"/>
    <w:rsid w:val="000B5BED"/>
    <w:rsid w:val="000B63B1"/>
    <w:rsid w:val="000B6AD8"/>
    <w:rsid w:val="000B7F5B"/>
    <w:rsid w:val="000C14C7"/>
    <w:rsid w:val="000C1691"/>
    <w:rsid w:val="000C1725"/>
    <w:rsid w:val="000C2180"/>
    <w:rsid w:val="000C3BB3"/>
    <w:rsid w:val="000C5015"/>
    <w:rsid w:val="000C6000"/>
    <w:rsid w:val="000C66A2"/>
    <w:rsid w:val="000C6797"/>
    <w:rsid w:val="000C6B5B"/>
    <w:rsid w:val="000C732F"/>
    <w:rsid w:val="000C759F"/>
    <w:rsid w:val="000D24CA"/>
    <w:rsid w:val="000D2588"/>
    <w:rsid w:val="000D2E09"/>
    <w:rsid w:val="000D3501"/>
    <w:rsid w:val="000D3C2A"/>
    <w:rsid w:val="000D42C9"/>
    <w:rsid w:val="000D46C0"/>
    <w:rsid w:val="000D7614"/>
    <w:rsid w:val="000D78A6"/>
    <w:rsid w:val="000D7B0E"/>
    <w:rsid w:val="000E04F1"/>
    <w:rsid w:val="000E0658"/>
    <w:rsid w:val="000E113B"/>
    <w:rsid w:val="000E1417"/>
    <w:rsid w:val="000E1AA4"/>
    <w:rsid w:val="000E210E"/>
    <w:rsid w:val="000E2C70"/>
    <w:rsid w:val="000E2F15"/>
    <w:rsid w:val="000E3279"/>
    <w:rsid w:val="000E3E1E"/>
    <w:rsid w:val="000E5E59"/>
    <w:rsid w:val="000E6D8C"/>
    <w:rsid w:val="000E6E7D"/>
    <w:rsid w:val="000E74B9"/>
    <w:rsid w:val="000F097B"/>
    <w:rsid w:val="000F1F6E"/>
    <w:rsid w:val="000F1F70"/>
    <w:rsid w:val="000F227D"/>
    <w:rsid w:val="000F2CE5"/>
    <w:rsid w:val="000F3185"/>
    <w:rsid w:val="000F3288"/>
    <w:rsid w:val="000F3297"/>
    <w:rsid w:val="000F473B"/>
    <w:rsid w:val="000F56C4"/>
    <w:rsid w:val="000F5CFD"/>
    <w:rsid w:val="000F6C9B"/>
    <w:rsid w:val="000F6F98"/>
    <w:rsid w:val="001010A4"/>
    <w:rsid w:val="00101CEC"/>
    <w:rsid w:val="00102491"/>
    <w:rsid w:val="001025C9"/>
    <w:rsid w:val="00105DEA"/>
    <w:rsid w:val="00106AD4"/>
    <w:rsid w:val="0011056D"/>
    <w:rsid w:val="00110806"/>
    <w:rsid w:val="0011275D"/>
    <w:rsid w:val="00112E44"/>
    <w:rsid w:val="00114634"/>
    <w:rsid w:val="00114A30"/>
    <w:rsid w:val="00115310"/>
    <w:rsid w:val="001158DD"/>
    <w:rsid w:val="00115B6A"/>
    <w:rsid w:val="001160E0"/>
    <w:rsid w:val="00116ABD"/>
    <w:rsid w:val="00116FC2"/>
    <w:rsid w:val="001174CC"/>
    <w:rsid w:val="0011775C"/>
    <w:rsid w:val="001178FB"/>
    <w:rsid w:val="00120648"/>
    <w:rsid w:val="00122208"/>
    <w:rsid w:val="00124537"/>
    <w:rsid w:val="00124565"/>
    <w:rsid w:val="0012575C"/>
    <w:rsid w:val="001266A1"/>
    <w:rsid w:val="00127076"/>
    <w:rsid w:val="001302CF"/>
    <w:rsid w:val="00131980"/>
    <w:rsid w:val="0013238E"/>
    <w:rsid w:val="00132FAA"/>
    <w:rsid w:val="00133627"/>
    <w:rsid w:val="00134261"/>
    <w:rsid w:val="00134994"/>
    <w:rsid w:val="001352DF"/>
    <w:rsid w:val="0013558D"/>
    <w:rsid w:val="00135C54"/>
    <w:rsid w:val="0013610F"/>
    <w:rsid w:val="001365D4"/>
    <w:rsid w:val="00136735"/>
    <w:rsid w:val="00141006"/>
    <w:rsid w:val="001425B3"/>
    <w:rsid w:val="00144219"/>
    <w:rsid w:val="00144F9E"/>
    <w:rsid w:val="001454E6"/>
    <w:rsid w:val="00145B12"/>
    <w:rsid w:val="00147FBF"/>
    <w:rsid w:val="00150C75"/>
    <w:rsid w:val="00151088"/>
    <w:rsid w:val="00151164"/>
    <w:rsid w:val="00151A9D"/>
    <w:rsid w:val="001527EE"/>
    <w:rsid w:val="00152A76"/>
    <w:rsid w:val="00152B1C"/>
    <w:rsid w:val="001530C6"/>
    <w:rsid w:val="00153B48"/>
    <w:rsid w:val="001540B8"/>
    <w:rsid w:val="00156E85"/>
    <w:rsid w:val="00157907"/>
    <w:rsid w:val="00157FB6"/>
    <w:rsid w:val="00161E41"/>
    <w:rsid w:val="00163939"/>
    <w:rsid w:val="00164A2B"/>
    <w:rsid w:val="00164AD4"/>
    <w:rsid w:val="00165302"/>
    <w:rsid w:val="001678DC"/>
    <w:rsid w:val="00172C09"/>
    <w:rsid w:val="0017559A"/>
    <w:rsid w:val="0017654E"/>
    <w:rsid w:val="00177331"/>
    <w:rsid w:val="001775F0"/>
    <w:rsid w:val="001779BD"/>
    <w:rsid w:val="00180227"/>
    <w:rsid w:val="00182554"/>
    <w:rsid w:val="00183A86"/>
    <w:rsid w:val="00183D0A"/>
    <w:rsid w:val="00184141"/>
    <w:rsid w:val="00184480"/>
    <w:rsid w:val="00184656"/>
    <w:rsid w:val="00184C55"/>
    <w:rsid w:val="001853F5"/>
    <w:rsid w:val="00185EBE"/>
    <w:rsid w:val="0018602B"/>
    <w:rsid w:val="00187740"/>
    <w:rsid w:val="001904A5"/>
    <w:rsid w:val="0019161C"/>
    <w:rsid w:val="001929BE"/>
    <w:rsid w:val="001942EE"/>
    <w:rsid w:val="001948D6"/>
    <w:rsid w:val="001948EA"/>
    <w:rsid w:val="00194C08"/>
    <w:rsid w:val="00195EF4"/>
    <w:rsid w:val="00196360"/>
    <w:rsid w:val="00196B87"/>
    <w:rsid w:val="00196E05"/>
    <w:rsid w:val="001970B1"/>
    <w:rsid w:val="00197174"/>
    <w:rsid w:val="0019792C"/>
    <w:rsid w:val="00197AD8"/>
    <w:rsid w:val="001A2170"/>
    <w:rsid w:val="001A2D2C"/>
    <w:rsid w:val="001A324A"/>
    <w:rsid w:val="001A3722"/>
    <w:rsid w:val="001A5686"/>
    <w:rsid w:val="001A5749"/>
    <w:rsid w:val="001A68B7"/>
    <w:rsid w:val="001A70D6"/>
    <w:rsid w:val="001A798B"/>
    <w:rsid w:val="001A79C3"/>
    <w:rsid w:val="001B03A2"/>
    <w:rsid w:val="001B1622"/>
    <w:rsid w:val="001B1F58"/>
    <w:rsid w:val="001B1FA6"/>
    <w:rsid w:val="001B299A"/>
    <w:rsid w:val="001B2C8B"/>
    <w:rsid w:val="001B4CBB"/>
    <w:rsid w:val="001B5E90"/>
    <w:rsid w:val="001B69C8"/>
    <w:rsid w:val="001C085E"/>
    <w:rsid w:val="001C1C27"/>
    <w:rsid w:val="001C23E2"/>
    <w:rsid w:val="001C366D"/>
    <w:rsid w:val="001C3C5C"/>
    <w:rsid w:val="001C54AE"/>
    <w:rsid w:val="001C6122"/>
    <w:rsid w:val="001C6292"/>
    <w:rsid w:val="001C6CD7"/>
    <w:rsid w:val="001D0489"/>
    <w:rsid w:val="001D1D0B"/>
    <w:rsid w:val="001D6A2B"/>
    <w:rsid w:val="001D7346"/>
    <w:rsid w:val="001D78DB"/>
    <w:rsid w:val="001E0481"/>
    <w:rsid w:val="001E112F"/>
    <w:rsid w:val="001E27C7"/>
    <w:rsid w:val="001E306A"/>
    <w:rsid w:val="001E3188"/>
    <w:rsid w:val="001E4280"/>
    <w:rsid w:val="001E4ACE"/>
    <w:rsid w:val="001E54D8"/>
    <w:rsid w:val="001E7345"/>
    <w:rsid w:val="001E74FF"/>
    <w:rsid w:val="001E7545"/>
    <w:rsid w:val="001F244E"/>
    <w:rsid w:val="001F2E10"/>
    <w:rsid w:val="001F730E"/>
    <w:rsid w:val="001F79B1"/>
    <w:rsid w:val="002001E1"/>
    <w:rsid w:val="00200AA8"/>
    <w:rsid w:val="00200DE8"/>
    <w:rsid w:val="0020110D"/>
    <w:rsid w:val="002012ED"/>
    <w:rsid w:val="00201433"/>
    <w:rsid w:val="00201928"/>
    <w:rsid w:val="0020205F"/>
    <w:rsid w:val="00202BD5"/>
    <w:rsid w:val="00202E57"/>
    <w:rsid w:val="00203885"/>
    <w:rsid w:val="00203E6A"/>
    <w:rsid w:val="002050F0"/>
    <w:rsid w:val="00205286"/>
    <w:rsid w:val="002055B7"/>
    <w:rsid w:val="00206AAB"/>
    <w:rsid w:val="0020775F"/>
    <w:rsid w:val="00210D50"/>
    <w:rsid w:val="00211A09"/>
    <w:rsid w:val="00211CDD"/>
    <w:rsid w:val="002129E9"/>
    <w:rsid w:val="00212D21"/>
    <w:rsid w:val="00213E4D"/>
    <w:rsid w:val="00213F21"/>
    <w:rsid w:val="002149DD"/>
    <w:rsid w:val="00215BD5"/>
    <w:rsid w:val="0021606D"/>
    <w:rsid w:val="00217039"/>
    <w:rsid w:val="00217321"/>
    <w:rsid w:val="0021759E"/>
    <w:rsid w:val="00220FAA"/>
    <w:rsid w:val="002213D1"/>
    <w:rsid w:val="00222D03"/>
    <w:rsid w:val="002260C7"/>
    <w:rsid w:val="0022638E"/>
    <w:rsid w:val="002270AD"/>
    <w:rsid w:val="002274DA"/>
    <w:rsid w:val="00230841"/>
    <w:rsid w:val="00231C72"/>
    <w:rsid w:val="00231E82"/>
    <w:rsid w:val="0023318D"/>
    <w:rsid w:val="002341A9"/>
    <w:rsid w:val="00235BBB"/>
    <w:rsid w:val="00235C27"/>
    <w:rsid w:val="0023662F"/>
    <w:rsid w:val="00236AC1"/>
    <w:rsid w:val="002379D9"/>
    <w:rsid w:val="00240928"/>
    <w:rsid w:val="00241084"/>
    <w:rsid w:val="00241844"/>
    <w:rsid w:val="00241896"/>
    <w:rsid w:val="002423BA"/>
    <w:rsid w:val="002429D1"/>
    <w:rsid w:val="002432B2"/>
    <w:rsid w:val="0024521C"/>
    <w:rsid w:val="00245865"/>
    <w:rsid w:val="00247439"/>
    <w:rsid w:val="00252895"/>
    <w:rsid w:val="00252CC5"/>
    <w:rsid w:val="00253D9E"/>
    <w:rsid w:val="0025477E"/>
    <w:rsid w:val="00255730"/>
    <w:rsid w:val="0025798B"/>
    <w:rsid w:val="00257AEA"/>
    <w:rsid w:val="0026012D"/>
    <w:rsid w:val="002606D5"/>
    <w:rsid w:val="00260A6E"/>
    <w:rsid w:val="00261913"/>
    <w:rsid w:val="002620CF"/>
    <w:rsid w:val="00262983"/>
    <w:rsid w:val="00264AD4"/>
    <w:rsid w:val="00264C54"/>
    <w:rsid w:val="002652CA"/>
    <w:rsid w:val="0026609F"/>
    <w:rsid w:val="002665D2"/>
    <w:rsid w:val="00267D7F"/>
    <w:rsid w:val="00267DA4"/>
    <w:rsid w:val="00270813"/>
    <w:rsid w:val="002721FD"/>
    <w:rsid w:val="002729B6"/>
    <w:rsid w:val="002735DB"/>
    <w:rsid w:val="002737AA"/>
    <w:rsid w:val="002738AA"/>
    <w:rsid w:val="0027564D"/>
    <w:rsid w:val="00276BF0"/>
    <w:rsid w:val="0027765D"/>
    <w:rsid w:val="002812F3"/>
    <w:rsid w:val="002825CF"/>
    <w:rsid w:val="002833C9"/>
    <w:rsid w:val="00283FAD"/>
    <w:rsid w:val="00284F1C"/>
    <w:rsid w:val="00285232"/>
    <w:rsid w:val="00285484"/>
    <w:rsid w:val="002876B1"/>
    <w:rsid w:val="00287F9B"/>
    <w:rsid w:val="00290038"/>
    <w:rsid w:val="002900D1"/>
    <w:rsid w:val="00290E2D"/>
    <w:rsid w:val="00292436"/>
    <w:rsid w:val="00292F08"/>
    <w:rsid w:val="0029336A"/>
    <w:rsid w:val="002935A0"/>
    <w:rsid w:val="0029374E"/>
    <w:rsid w:val="002949CF"/>
    <w:rsid w:val="00294EB9"/>
    <w:rsid w:val="00295A2B"/>
    <w:rsid w:val="00295B0A"/>
    <w:rsid w:val="00295C7E"/>
    <w:rsid w:val="0029693A"/>
    <w:rsid w:val="00296C8D"/>
    <w:rsid w:val="002A085D"/>
    <w:rsid w:val="002A0883"/>
    <w:rsid w:val="002A29B3"/>
    <w:rsid w:val="002A36BA"/>
    <w:rsid w:val="002A4F08"/>
    <w:rsid w:val="002A51E7"/>
    <w:rsid w:val="002A58AA"/>
    <w:rsid w:val="002A5CED"/>
    <w:rsid w:val="002A6826"/>
    <w:rsid w:val="002A6D50"/>
    <w:rsid w:val="002B3D59"/>
    <w:rsid w:val="002B4334"/>
    <w:rsid w:val="002B45B6"/>
    <w:rsid w:val="002B5698"/>
    <w:rsid w:val="002B7CF6"/>
    <w:rsid w:val="002C091C"/>
    <w:rsid w:val="002C21F9"/>
    <w:rsid w:val="002C455F"/>
    <w:rsid w:val="002C51AA"/>
    <w:rsid w:val="002C641C"/>
    <w:rsid w:val="002C6A2D"/>
    <w:rsid w:val="002C6EF2"/>
    <w:rsid w:val="002C724E"/>
    <w:rsid w:val="002C7CFA"/>
    <w:rsid w:val="002D136E"/>
    <w:rsid w:val="002D1F34"/>
    <w:rsid w:val="002D4FE6"/>
    <w:rsid w:val="002D55D7"/>
    <w:rsid w:val="002D6C9C"/>
    <w:rsid w:val="002D6CD4"/>
    <w:rsid w:val="002D7495"/>
    <w:rsid w:val="002E02EE"/>
    <w:rsid w:val="002E1E97"/>
    <w:rsid w:val="002E32A1"/>
    <w:rsid w:val="002E3985"/>
    <w:rsid w:val="002E3C29"/>
    <w:rsid w:val="002E3F1A"/>
    <w:rsid w:val="002E58F1"/>
    <w:rsid w:val="002E6F7D"/>
    <w:rsid w:val="002E7245"/>
    <w:rsid w:val="002E7F2C"/>
    <w:rsid w:val="002F1D7F"/>
    <w:rsid w:val="002F37BE"/>
    <w:rsid w:val="002F4184"/>
    <w:rsid w:val="002F5550"/>
    <w:rsid w:val="003000FD"/>
    <w:rsid w:val="003009C1"/>
    <w:rsid w:val="003021FB"/>
    <w:rsid w:val="00302750"/>
    <w:rsid w:val="00302A94"/>
    <w:rsid w:val="00302DBC"/>
    <w:rsid w:val="00306089"/>
    <w:rsid w:val="0030637A"/>
    <w:rsid w:val="0030698A"/>
    <w:rsid w:val="00306E8C"/>
    <w:rsid w:val="003102DF"/>
    <w:rsid w:val="00310698"/>
    <w:rsid w:val="0031120C"/>
    <w:rsid w:val="00311A98"/>
    <w:rsid w:val="00314A5D"/>
    <w:rsid w:val="00314C66"/>
    <w:rsid w:val="0031638B"/>
    <w:rsid w:val="00316C11"/>
    <w:rsid w:val="0032040C"/>
    <w:rsid w:val="003215C4"/>
    <w:rsid w:val="00322C0F"/>
    <w:rsid w:val="00323789"/>
    <w:rsid w:val="00324D3A"/>
    <w:rsid w:val="0032728E"/>
    <w:rsid w:val="00327B5F"/>
    <w:rsid w:val="003308C9"/>
    <w:rsid w:val="00331BF6"/>
    <w:rsid w:val="00333A20"/>
    <w:rsid w:val="00335898"/>
    <w:rsid w:val="00335B38"/>
    <w:rsid w:val="00335CA8"/>
    <w:rsid w:val="00335D14"/>
    <w:rsid w:val="003361DE"/>
    <w:rsid w:val="0033642C"/>
    <w:rsid w:val="00336556"/>
    <w:rsid w:val="00337155"/>
    <w:rsid w:val="00337541"/>
    <w:rsid w:val="00337982"/>
    <w:rsid w:val="003402FA"/>
    <w:rsid w:val="0034098D"/>
    <w:rsid w:val="00340C67"/>
    <w:rsid w:val="00341377"/>
    <w:rsid w:val="003420E3"/>
    <w:rsid w:val="003424A7"/>
    <w:rsid w:val="0034278A"/>
    <w:rsid w:val="003448F5"/>
    <w:rsid w:val="00344F66"/>
    <w:rsid w:val="00345893"/>
    <w:rsid w:val="00346618"/>
    <w:rsid w:val="00346D1E"/>
    <w:rsid w:val="003477DD"/>
    <w:rsid w:val="00347BEE"/>
    <w:rsid w:val="00350198"/>
    <w:rsid w:val="00350598"/>
    <w:rsid w:val="003509A8"/>
    <w:rsid w:val="0035166B"/>
    <w:rsid w:val="0035172A"/>
    <w:rsid w:val="00352FED"/>
    <w:rsid w:val="0035319D"/>
    <w:rsid w:val="0035346D"/>
    <w:rsid w:val="00353510"/>
    <w:rsid w:val="00354584"/>
    <w:rsid w:val="00354D9A"/>
    <w:rsid w:val="003550CC"/>
    <w:rsid w:val="0035589E"/>
    <w:rsid w:val="00357314"/>
    <w:rsid w:val="00357A07"/>
    <w:rsid w:val="00361643"/>
    <w:rsid w:val="00361ED6"/>
    <w:rsid w:val="003630D6"/>
    <w:rsid w:val="0036424E"/>
    <w:rsid w:val="003658D3"/>
    <w:rsid w:val="00366309"/>
    <w:rsid w:val="00367017"/>
    <w:rsid w:val="0037001B"/>
    <w:rsid w:val="00372964"/>
    <w:rsid w:val="003767FD"/>
    <w:rsid w:val="0037680B"/>
    <w:rsid w:val="003774E1"/>
    <w:rsid w:val="003779FF"/>
    <w:rsid w:val="0038047C"/>
    <w:rsid w:val="003804AB"/>
    <w:rsid w:val="00380AF4"/>
    <w:rsid w:val="003820A1"/>
    <w:rsid w:val="003821E0"/>
    <w:rsid w:val="00382AB9"/>
    <w:rsid w:val="00382B43"/>
    <w:rsid w:val="00382C0B"/>
    <w:rsid w:val="0038317F"/>
    <w:rsid w:val="00383626"/>
    <w:rsid w:val="003839A9"/>
    <w:rsid w:val="00383CB1"/>
    <w:rsid w:val="003842C0"/>
    <w:rsid w:val="00384620"/>
    <w:rsid w:val="003850E7"/>
    <w:rsid w:val="0038608C"/>
    <w:rsid w:val="003866CD"/>
    <w:rsid w:val="003869F6"/>
    <w:rsid w:val="00387E1B"/>
    <w:rsid w:val="00390CD9"/>
    <w:rsid w:val="003926DD"/>
    <w:rsid w:val="0039295B"/>
    <w:rsid w:val="00393306"/>
    <w:rsid w:val="003947A6"/>
    <w:rsid w:val="00394C30"/>
    <w:rsid w:val="00394D1B"/>
    <w:rsid w:val="00395135"/>
    <w:rsid w:val="003955AC"/>
    <w:rsid w:val="00395CE8"/>
    <w:rsid w:val="00396425"/>
    <w:rsid w:val="0039670C"/>
    <w:rsid w:val="0039797A"/>
    <w:rsid w:val="003A02FE"/>
    <w:rsid w:val="003A0357"/>
    <w:rsid w:val="003A042A"/>
    <w:rsid w:val="003A1BD4"/>
    <w:rsid w:val="003A205D"/>
    <w:rsid w:val="003A29AD"/>
    <w:rsid w:val="003A37BF"/>
    <w:rsid w:val="003A46E9"/>
    <w:rsid w:val="003A4782"/>
    <w:rsid w:val="003A4AF9"/>
    <w:rsid w:val="003A4E4B"/>
    <w:rsid w:val="003A4EEC"/>
    <w:rsid w:val="003B0FDB"/>
    <w:rsid w:val="003B1178"/>
    <w:rsid w:val="003B22F7"/>
    <w:rsid w:val="003B2637"/>
    <w:rsid w:val="003B43F8"/>
    <w:rsid w:val="003B441E"/>
    <w:rsid w:val="003B4846"/>
    <w:rsid w:val="003B50B0"/>
    <w:rsid w:val="003B6619"/>
    <w:rsid w:val="003B69AD"/>
    <w:rsid w:val="003B73A0"/>
    <w:rsid w:val="003B7AC9"/>
    <w:rsid w:val="003C09D7"/>
    <w:rsid w:val="003C1CFD"/>
    <w:rsid w:val="003C2832"/>
    <w:rsid w:val="003C3BC5"/>
    <w:rsid w:val="003C3CC3"/>
    <w:rsid w:val="003C40DB"/>
    <w:rsid w:val="003C43D4"/>
    <w:rsid w:val="003C47C6"/>
    <w:rsid w:val="003C47FD"/>
    <w:rsid w:val="003C4801"/>
    <w:rsid w:val="003C4B6B"/>
    <w:rsid w:val="003C5192"/>
    <w:rsid w:val="003C5E4A"/>
    <w:rsid w:val="003C6346"/>
    <w:rsid w:val="003C72C5"/>
    <w:rsid w:val="003C781C"/>
    <w:rsid w:val="003C7C65"/>
    <w:rsid w:val="003D1CE3"/>
    <w:rsid w:val="003D2589"/>
    <w:rsid w:val="003D4603"/>
    <w:rsid w:val="003D5D90"/>
    <w:rsid w:val="003D6034"/>
    <w:rsid w:val="003D6BA9"/>
    <w:rsid w:val="003E02F8"/>
    <w:rsid w:val="003E2D9A"/>
    <w:rsid w:val="003E3216"/>
    <w:rsid w:val="003E4BE7"/>
    <w:rsid w:val="003E4F8E"/>
    <w:rsid w:val="003E514B"/>
    <w:rsid w:val="003E52D0"/>
    <w:rsid w:val="003E556C"/>
    <w:rsid w:val="003E598F"/>
    <w:rsid w:val="003E62C4"/>
    <w:rsid w:val="003E6AE1"/>
    <w:rsid w:val="003E7C4C"/>
    <w:rsid w:val="003F00D9"/>
    <w:rsid w:val="003F0718"/>
    <w:rsid w:val="003F0BCF"/>
    <w:rsid w:val="003F123B"/>
    <w:rsid w:val="003F146C"/>
    <w:rsid w:val="003F17DB"/>
    <w:rsid w:val="003F21D2"/>
    <w:rsid w:val="003F3793"/>
    <w:rsid w:val="003F4003"/>
    <w:rsid w:val="003F42BE"/>
    <w:rsid w:val="003F4D97"/>
    <w:rsid w:val="003F5421"/>
    <w:rsid w:val="003F5C6B"/>
    <w:rsid w:val="003F5D4C"/>
    <w:rsid w:val="003F7D79"/>
    <w:rsid w:val="00400092"/>
    <w:rsid w:val="004008AC"/>
    <w:rsid w:val="00401FBB"/>
    <w:rsid w:val="0040312D"/>
    <w:rsid w:val="004047E8"/>
    <w:rsid w:val="00405197"/>
    <w:rsid w:val="00405863"/>
    <w:rsid w:val="00406392"/>
    <w:rsid w:val="0040666D"/>
    <w:rsid w:val="00407193"/>
    <w:rsid w:val="00407535"/>
    <w:rsid w:val="00407556"/>
    <w:rsid w:val="00407673"/>
    <w:rsid w:val="004104C3"/>
    <w:rsid w:val="0041150B"/>
    <w:rsid w:val="004125FA"/>
    <w:rsid w:val="0041294A"/>
    <w:rsid w:val="00413A78"/>
    <w:rsid w:val="00415655"/>
    <w:rsid w:val="00416039"/>
    <w:rsid w:val="0041677D"/>
    <w:rsid w:val="00421A14"/>
    <w:rsid w:val="00421E97"/>
    <w:rsid w:val="004224CA"/>
    <w:rsid w:val="00422E29"/>
    <w:rsid w:val="00423D32"/>
    <w:rsid w:val="00424301"/>
    <w:rsid w:val="004272C3"/>
    <w:rsid w:val="00427788"/>
    <w:rsid w:val="00427BF8"/>
    <w:rsid w:val="00431BE9"/>
    <w:rsid w:val="00432BF8"/>
    <w:rsid w:val="00432D93"/>
    <w:rsid w:val="00433692"/>
    <w:rsid w:val="004347C2"/>
    <w:rsid w:val="00434EFA"/>
    <w:rsid w:val="00435F33"/>
    <w:rsid w:val="00435F84"/>
    <w:rsid w:val="0043631B"/>
    <w:rsid w:val="00437273"/>
    <w:rsid w:val="00437B4E"/>
    <w:rsid w:val="004407EA"/>
    <w:rsid w:val="0044179D"/>
    <w:rsid w:val="00441E02"/>
    <w:rsid w:val="00442339"/>
    <w:rsid w:val="00443F83"/>
    <w:rsid w:val="0044479B"/>
    <w:rsid w:val="00444AFF"/>
    <w:rsid w:val="00445BE4"/>
    <w:rsid w:val="00446482"/>
    <w:rsid w:val="00446512"/>
    <w:rsid w:val="00446732"/>
    <w:rsid w:val="00446890"/>
    <w:rsid w:val="0045053C"/>
    <w:rsid w:val="00451711"/>
    <w:rsid w:val="00451F51"/>
    <w:rsid w:val="0045241E"/>
    <w:rsid w:val="0045242C"/>
    <w:rsid w:val="004527E7"/>
    <w:rsid w:val="00453F13"/>
    <w:rsid w:val="00454D23"/>
    <w:rsid w:val="00454E17"/>
    <w:rsid w:val="00454F75"/>
    <w:rsid w:val="00455945"/>
    <w:rsid w:val="00456CB0"/>
    <w:rsid w:val="00456FCA"/>
    <w:rsid w:val="00457417"/>
    <w:rsid w:val="00457F05"/>
    <w:rsid w:val="00460BC0"/>
    <w:rsid w:val="00460D75"/>
    <w:rsid w:val="00461CAA"/>
    <w:rsid w:val="00463478"/>
    <w:rsid w:val="004649C4"/>
    <w:rsid w:val="00464B42"/>
    <w:rsid w:val="00465D84"/>
    <w:rsid w:val="0046643F"/>
    <w:rsid w:val="0046646A"/>
    <w:rsid w:val="00466D80"/>
    <w:rsid w:val="0046714D"/>
    <w:rsid w:val="00470A16"/>
    <w:rsid w:val="00470F9F"/>
    <w:rsid w:val="00471ACE"/>
    <w:rsid w:val="00473BB3"/>
    <w:rsid w:val="00474356"/>
    <w:rsid w:val="00474642"/>
    <w:rsid w:val="0047616D"/>
    <w:rsid w:val="004762CB"/>
    <w:rsid w:val="00476600"/>
    <w:rsid w:val="004804C5"/>
    <w:rsid w:val="00482151"/>
    <w:rsid w:val="00483111"/>
    <w:rsid w:val="004835F3"/>
    <w:rsid w:val="00483F01"/>
    <w:rsid w:val="00485456"/>
    <w:rsid w:val="0048562D"/>
    <w:rsid w:val="00485CF8"/>
    <w:rsid w:val="0048675F"/>
    <w:rsid w:val="00486F12"/>
    <w:rsid w:val="00487E56"/>
    <w:rsid w:val="00490204"/>
    <w:rsid w:val="0049035D"/>
    <w:rsid w:val="0049165D"/>
    <w:rsid w:val="004922AD"/>
    <w:rsid w:val="00492483"/>
    <w:rsid w:val="0049315B"/>
    <w:rsid w:val="00493330"/>
    <w:rsid w:val="004935AF"/>
    <w:rsid w:val="004936A5"/>
    <w:rsid w:val="004938DB"/>
    <w:rsid w:val="00494097"/>
    <w:rsid w:val="004948A4"/>
    <w:rsid w:val="00494A4A"/>
    <w:rsid w:val="0049546A"/>
    <w:rsid w:val="00495C48"/>
    <w:rsid w:val="004A1300"/>
    <w:rsid w:val="004A2918"/>
    <w:rsid w:val="004A2996"/>
    <w:rsid w:val="004A3172"/>
    <w:rsid w:val="004A3937"/>
    <w:rsid w:val="004A4232"/>
    <w:rsid w:val="004A4494"/>
    <w:rsid w:val="004A6902"/>
    <w:rsid w:val="004A711B"/>
    <w:rsid w:val="004B1F16"/>
    <w:rsid w:val="004B31A6"/>
    <w:rsid w:val="004B36BB"/>
    <w:rsid w:val="004B3FD7"/>
    <w:rsid w:val="004B4A68"/>
    <w:rsid w:val="004B5425"/>
    <w:rsid w:val="004B5933"/>
    <w:rsid w:val="004B5CFD"/>
    <w:rsid w:val="004C0496"/>
    <w:rsid w:val="004C125C"/>
    <w:rsid w:val="004C194D"/>
    <w:rsid w:val="004C1DC8"/>
    <w:rsid w:val="004C2A66"/>
    <w:rsid w:val="004C2EEB"/>
    <w:rsid w:val="004C2FF0"/>
    <w:rsid w:val="004C3494"/>
    <w:rsid w:val="004C413F"/>
    <w:rsid w:val="004C58E2"/>
    <w:rsid w:val="004C596D"/>
    <w:rsid w:val="004C662F"/>
    <w:rsid w:val="004C79A3"/>
    <w:rsid w:val="004C7F0D"/>
    <w:rsid w:val="004D081C"/>
    <w:rsid w:val="004D15EE"/>
    <w:rsid w:val="004D711C"/>
    <w:rsid w:val="004D7253"/>
    <w:rsid w:val="004E0DCC"/>
    <w:rsid w:val="004E0ED5"/>
    <w:rsid w:val="004E2829"/>
    <w:rsid w:val="004E31C2"/>
    <w:rsid w:val="004E355A"/>
    <w:rsid w:val="004E5FED"/>
    <w:rsid w:val="004E70A9"/>
    <w:rsid w:val="004E7401"/>
    <w:rsid w:val="004F1733"/>
    <w:rsid w:val="004F3480"/>
    <w:rsid w:val="004F3992"/>
    <w:rsid w:val="004F4A4B"/>
    <w:rsid w:val="004F5209"/>
    <w:rsid w:val="004F5FE3"/>
    <w:rsid w:val="004F6057"/>
    <w:rsid w:val="004F7257"/>
    <w:rsid w:val="004F7FEC"/>
    <w:rsid w:val="00500F8E"/>
    <w:rsid w:val="00501139"/>
    <w:rsid w:val="00501975"/>
    <w:rsid w:val="00501B2F"/>
    <w:rsid w:val="00501B54"/>
    <w:rsid w:val="005061A3"/>
    <w:rsid w:val="00507534"/>
    <w:rsid w:val="00507A02"/>
    <w:rsid w:val="00510C6C"/>
    <w:rsid w:val="005118EA"/>
    <w:rsid w:val="0051239B"/>
    <w:rsid w:val="00512B8C"/>
    <w:rsid w:val="00512D1A"/>
    <w:rsid w:val="005132F1"/>
    <w:rsid w:val="0051341B"/>
    <w:rsid w:val="00515A8A"/>
    <w:rsid w:val="005163DD"/>
    <w:rsid w:val="00516539"/>
    <w:rsid w:val="00516865"/>
    <w:rsid w:val="00517B10"/>
    <w:rsid w:val="00517EAE"/>
    <w:rsid w:val="005207C8"/>
    <w:rsid w:val="00520A28"/>
    <w:rsid w:val="00520D9C"/>
    <w:rsid w:val="005211E7"/>
    <w:rsid w:val="005231C4"/>
    <w:rsid w:val="00526BEE"/>
    <w:rsid w:val="0052706C"/>
    <w:rsid w:val="00527540"/>
    <w:rsid w:val="005279C5"/>
    <w:rsid w:val="005348EA"/>
    <w:rsid w:val="00534CF7"/>
    <w:rsid w:val="00535451"/>
    <w:rsid w:val="00536423"/>
    <w:rsid w:val="00540757"/>
    <w:rsid w:val="0054118D"/>
    <w:rsid w:val="005416B6"/>
    <w:rsid w:val="00542125"/>
    <w:rsid w:val="005433E6"/>
    <w:rsid w:val="00543B00"/>
    <w:rsid w:val="005447A2"/>
    <w:rsid w:val="00544EB2"/>
    <w:rsid w:val="00545267"/>
    <w:rsid w:val="00546718"/>
    <w:rsid w:val="0055005D"/>
    <w:rsid w:val="00551F8F"/>
    <w:rsid w:val="005522BF"/>
    <w:rsid w:val="005530BA"/>
    <w:rsid w:val="0055349E"/>
    <w:rsid w:val="00553FFD"/>
    <w:rsid w:val="005542E6"/>
    <w:rsid w:val="00557A9F"/>
    <w:rsid w:val="00557BB5"/>
    <w:rsid w:val="00560B8B"/>
    <w:rsid w:val="00562A58"/>
    <w:rsid w:val="0056426A"/>
    <w:rsid w:val="00564C56"/>
    <w:rsid w:val="00565DD4"/>
    <w:rsid w:val="00567229"/>
    <w:rsid w:val="005676EB"/>
    <w:rsid w:val="00570CDD"/>
    <w:rsid w:val="00573390"/>
    <w:rsid w:val="005733CA"/>
    <w:rsid w:val="005737EC"/>
    <w:rsid w:val="00573C21"/>
    <w:rsid w:val="005749D7"/>
    <w:rsid w:val="00574D32"/>
    <w:rsid w:val="00580148"/>
    <w:rsid w:val="00580BB4"/>
    <w:rsid w:val="005813E6"/>
    <w:rsid w:val="005816E3"/>
    <w:rsid w:val="00582449"/>
    <w:rsid w:val="00582910"/>
    <w:rsid w:val="005851E5"/>
    <w:rsid w:val="0058545C"/>
    <w:rsid w:val="00585518"/>
    <w:rsid w:val="00586160"/>
    <w:rsid w:val="0058622C"/>
    <w:rsid w:val="00586F82"/>
    <w:rsid w:val="00587037"/>
    <w:rsid w:val="00591612"/>
    <w:rsid w:val="0059210E"/>
    <w:rsid w:val="00592DAB"/>
    <w:rsid w:val="00592EDA"/>
    <w:rsid w:val="005931D7"/>
    <w:rsid w:val="00593F4B"/>
    <w:rsid w:val="00594DD0"/>
    <w:rsid w:val="005957A8"/>
    <w:rsid w:val="005959DD"/>
    <w:rsid w:val="0059752B"/>
    <w:rsid w:val="00597587"/>
    <w:rsid w:val="005975D6"/>
    <w:rsid w:val="005A02D7"/>
    <w:rsid w:val="005A0985"/>
    <w:rsid w:val="005A1334"/>
    <w:rsid w:val="005A1424"/>
    <w:rsid w:val="005A145B"/>
    <w:rsid w:val="005A39F7"/>
    <w:rsid w:val="005A4276"/>
    <w:rsid w:val="005A539A"/>
    <w:rsid w:val="005A5B86"/>
    <w:rsid w:val="005A6655"/>
    <w:rsid w:val="005A6BD9"/>
    <w:rsid w:val="005A6C45"/>
    <w:rsid w:val="005B0E5A"/>
    <w:rsid w:val="005B108C"/>
    <w:rsid w:val="005B2F6E"/>
    <w:rsid w:val="005B3745"/>
    <w:rsid w:val="005B3B51"/>
    <w:rsid w:val="005B4A3D"/>
    <w:rsid w:val="005B5106"/>
    <w:rsid w:val="005B6545"/>
    <w:rsid w:val="005B6BDC"/>
    <w:rsid w:val="005B76C9"/>
    <w:rsid w:val="005C06DF"/>
    <w:rsid w:val="005C08CD"/>
    <w:rsid w:val="005C340E"/>
    <w:rsid w:val="005C44D1"/>
    <w:rsid w:val="005C662A"/>
    <w:rsid w:val="005C6A52"/>
    <w:rsid w:val="005C7D55"/>
    <w:rsid w:val="005C7D8C"/>
    <w:rsid w:val="005C7DB9"/>
    <w:rsid w:val="005D0E57"/>
    <w:rsid w:val="005D1079"/>
    <w:rsid w:val="005D1105"/>
    <w:rsid w:val="005D2117"/>
    <w:rsid w:val="005D2715"/>
    <w:rsid w:val="005D33D7"/>
    <w:rsid w:val="005D37A4"/>
    <w:rsid w:val="005D3B6E"/>
    <w:rsid w:val="005D4720"/>
    <w:rsid w:val="005D4F5D"/>
    <w:rsid w:val="005D59E1"/>
    <w:rsid w:val="005D6BF0"/>
    <w:rsid w:val="005D6E73"/>
    <w:rsid w:val="005D6EB3"/>
    <w:rsid w:val="005D7240"/>
    <w:rsid w:val="005E074E"/>
    <w:rsid w:val="005E22D8"/>
    <w:rsid w:val="005E25C4"/>
    <w:rsid w:val="005E3135"/>
    <w:rsid w:val="005E33A7"/>
    <w:rsid w:val="005E55FB"/>
    <w:rsid w:val="005E588C"/>
    <w:rsid w:val="005E5EAF"/>
    <w:rsid w:val="005E659B"/>
    <w:rsid w:val="005E6BFA"/>
    <w:rsid w:val="005F1489"/>
    <w:rsid w:val="005F1E4D"/>
    <w:rsid w:val="005F25B3"/>
    <w:rsid w:val="005F2C49"/>
    <w:rsid w:val="005F3435"/>
    <w:rsid w:val="005F502C"/>
    <w:rsid w:val="005F65A6"/>
    <w:rsid w:val="006016CA"/>
    <w:rsid w:val="0060171F"/>
    <w:rsid w:val="00602492"/>
    <w:rsid w:val="00603C35"/>
    <w:rsid w:val="00603D93"/>
    <w:rsid w:val="00603EC4"/>
    <w:rsid w:val="00604D49"/>
    <w:rsid w:val="00606D30"/>
    <w:rsid w:val="0061048B"/>
    <w:rsid w:val="00612DF9"/>
    <w:rsid w:val="00613C81"/>
    <w:rsid w:val="00614FF0"/>
    <w:rsid w:val="006153EA"/>
    <w:rsid w:val="00615684"/>
    <w:rsid w:val="006158DC"/>
    <w:rsid w:val="0061621E"/>
    <w:rsid w:val="00616559"/>
    <w:rsid w:val="00616D7D"/>
    <w:rsid w:val="0062150D"/>
    <w:rsid w:val="00621BC7"/>
    <w:rsid w:val="00622317"/>
    <w:rsid w:val="00622EBC"/>
    <w:rsid w:val="006235E8"/>
    <w:rsid w:val="00625340"/>
    <w:rsid w:val="00625A58"/>
    <w:rsid w:val="00625D8B"/>
    <w:rsid w:val="0062663B"/>
    <w:rsid w:val="006273F0"/>
    <w:rsid w:val="00627D05"/>
    <w:rsid w:val="006334F2"/>
    <w:rsid w:val="006335C5"/>
    <w:rsid w:val="00635278"/>
    <w:rsid w:val="00635EED"/>
    <w:rsid w:val="0063638C"/>
    <w:rsid w:val="0063661D"/>
    <w:rsid w:val="00637187"/>
    <w:rsid w:val="00641660"/>
    <w:rsid w:val="00641768"/>
    <w:rsid w:val="00642721"/>
    <w:rsid w:val="006429C6"/>
    <w:rsid w:val="00643014"/>
    <w:rsid w:val="00643DB8"/>
    <w:rsid w:val="00643DD7"/>
    <w:rsid w:val="0064663B"/>
    <w:rsid w:val="00650FC4"/>
    <w:rsid w:val="00651C0D"/>
    <w:rsid w:val="00651FC4"/>
    <w:rsid w:val="00653330"/>
    <w:rsid w:val="006542E2"/>
    <w:rsid w:val="006552A1"/>
    <w:rsid w:val="00656944"/>
    <w:rsid w:val="00656AEA"/>
    <w:rsid w:val="00656D9A"/>
    <w:rsid w:val="00660948"/>
    <w:rsid w:val="00660F81"/>
    <w:rsid w:val="00661F83"/>
    <w:rsid w:val="00662147"/>
    <w:rsid w:val="006627A1"/>
    <w:rsid w:val="006627F2"/>
    <w:rsid w:val="006629EF"/>
    <w:rsid w:val="00663666"/>
    <w:rsid w:val="00663EF8"/>
    <w:rsid w:val="00664605"/>
    <w:rsid w:val="00665032"/>
    <w:rsid w:val="00665282"/>
    <w:rsid w:val="0066570D"/>
    <w:rsid w:val="00666D08"/>
    <w:rsid w:val="00667F3B"/>
    <w:rsid w:val="00670131"/>
    <w:rsid w:val="00670C75"/>
    <w:rsid w:val="00670DCD"/>
    <w:rsid w:val="00670EE5"/>
    <w:rsid w:val="00671E5B"/>
    <w:rsid w:val="00672305"/>
    <w:rsid w:val="00676CE6"/>
    <w:rsid w:val="006777C7"/>
    <w:rsid w:val="0067784E"/>
    <w:rsid w:val="00677B1A"/>
    <w:rsid w:val="0068008E"/>
    <w:rsid w:val="0068099E"/>
    <w:rsid w:val="00681C44"/>
    <w:rsid w:val="00682526"/>
    <w:rsid w:val="006832C3"/>
    <w:rsid w:val="00683563"/>
    <w:rsid w:val="00683B77"/>
    <w:rsid w:val="00686993"/>
    <w:rsid w:val="00690BE3"/>
    <w:rsid w:val="00691A71"/>
    <w:rsid w:val="006920B8"/>
    <w:rsid w:val="006933C7"/>
    <w:rsid w:val="006937E2"/>
    <w:rsid w:val="00693A20"/>
    <w:rsid w:val="006945B0"/>
    <w:rsid w:val="006947C5"/>
    <w:rsid w:val="00695CF9"/>
    <w:rsid w:val="00696418"/>
    <w:rsid w:val="00696D44"/>
    <w:rsid w:val="006A089E"/>
    <w:rsid w:val="006A1E84"/>
    <w:rsid w:val="006A40F5"/>
    <w:rsid w:val="006A61BC"/>
    <w:rsid w:val="006A7EFA"/>
    <w:rsid w:val="006B0BE6"/>
    <w:rsid w:val="006B399B"/>
    <w:rsid w:val="006B3D18"/>
    <w:rsid w:val="006B4825"/>
    <w:rsid w:val="006B4E9E"/>
    <w:rsid w:val="006B5119"/>
    <w:rsid w:val="006C07AF"/>
    <w:rsid w:val="006C0B93"/>
    <w:rsid w:val="006C1C3D"/>
    <w:rsid w:val="006C1D1A"/>
    <w:rsid w:val="006C2952"/>
    <w:rsid w:val="006C2C49"/>
    <w:rsid w:val="006C5443"/>
    <w:rsid w:val="006D1B16"/>
    <w:rsid w:val="006D3C6C"/>
    <w:rsid w:val="006D4520"/>
    <w:rsid w:val="006D4CFD"/>
    <w:rsid w:val="006D5984"/>
    <w:rsid w:val="006D615B"/>
    <w:rsid w:val="006D629A"/>
    <w:rsid w:val="006D6940"/>
    <w:rsid w:val="006E1990"/>
    <w:rsid w:val="006E291F"/>
    <w:rsid w:val="006E2D79"/>
    <w:rsid w:val="006E2E0D"/>
    <w:rsid w:val="006E3037"/>
    <w:rsid w:val="006E3237"/>
    <w:rsid w:val="006E400A"/>
    <w:rsid w:val="006E559A"/>
    <w:rsid w:val="006E5A59"/>
    <w:rsid w:val="006E5ECA"/>
    <w:rsid w:val="006E69EE"/>
    <w:rsid w:val="006E6D4B"/>
    <w:rsid w:val="006F08CB"/>
    <w:rsid w:val="006F0B3D"/>
    <w:rsid w:val="006F1EED"/>
    <w:rsid w:val="006F2369"/>
    <w:rsid w:val="006F2A24"/>
    <w:rsid w:val="006F348D"/>
    <w:rsid w:val="006F414C"/>
    <w:rsid w:val="006F4388"/>
    <w:rsid w:val="006F4E23"/>
    <w:rsid w:val="006F5A26"/>
    <w:rsid w:val="006F6740"/>
    <w:rsid w:val="00700195"/>
    <w:rsid w:val="00700E5D"/>
    <w:rsid w:val="0070116A"/>
    <w:rsid w:val="00703157"/>
    <w:rsid w:val="00704D5F"/>
    <w:rsid w:val="00706670"/>
    <w:rsid w:val="00706D10"/>
    <w:rsid w:val="00710CFF"/>
    <w:rsid w:val="007117DC"/>
    <w:rsid w:val="00711DD8"/>
    <w:rsid w:val="0071290B"/>
    <w:rsid w:val="00712B23"/>
    <w:rsid w:val="00712FFB"/>
    <w:rsid w:val="007139D6"/>
    <w:rsid w:val="0071410F"/>
    <w:rsid w:val="00714AC6"/>
    <w:rsid w:val="007153A7"/>
    <w:rsid w:val="00717FD7"/>
    <w:rsid w:val="007212BE"/>
    <w:rsid w:val="007245DB"/>
    <w:rsid w:val="00724A1D"/>
    <w:rsid w:val="00725757"/>
    <w:rsid w:val="00726B54"/>
    <w:rsid w:val="00727C1A"/>
    <w:rsid w:val="0073063A"/>
    <w:rsid w:val="007309A1"/>
    <w:rsid w:val="00730D09"/>
    <w:rsid w:val="00730E18"/>
    <w:rsid w:val="00730EBA"/>
    <w:rsid w:val="00731AD2"/>
    <w:rsid w:val="00733623"/>
    <w:rsid w:val="00733F13"/>
    <w:rsid w:val="00734C82"/>
    <w:rsid w:val="00735474"/>
    <w:rsid w:val="00736101"/>
    <w:rsid w:val="007364D8"/>
    <w:rsid w:val="00740CE1"/>
    <w:rsid w:val="00741B6E"/>
    <w:rsid w:val="00741E83"/>
    <w:rsid w:val="0074290F"/>
    <w:rsid w:val="00742C90"/>
    <w:rsid w:val="00742D08"/>
    <w:rsid w:val="00745C3D"/>
    <w:rsid w:val="00745CAE"/>
    <w:rsid w:val="0075108E"/>
    <w:rsid w:val="007518E7"/>
    <w:rsid w:val="00751918"/>
    <w:rsid w:val="00751CAC"/>
    <w:rsid w:val="00752261"/>
    <w:rsid w:val="007526B6"/>
    <w:rsid w:val="00754DCB"/>
    <w:rsid w:val="00755491"/>
    <w:rsid w:val="00756AA7"/>
    <w:rsid w:val="0075734D"/>
    <w:rsid w:val="00757E13"/>
    <w:rsid w:val="00757FAB"/>
    <w:rsid w:val="00760059"/>
    <w:rsid w:val="007607DE"/>
    <w:rsid w:val="00760C15"/>
    <w:rsid w:val="00763716"/>
    <w:rsid w:val="00764FBD"/>
    <w:rsid w:val="0076587F"/>
    <w:rsid w:val="00766282"/>
    <w:rsid w:val="00766A5D"/>
    <w:rsid w:val="00766EEF"/>
    <w:rsid w:val="00770248"/>
    <w:rsid w:val="007716B7"/>
    <w:rsid w:val="007719DC"/>
    <w:rsid w:val="00772C01"/>
    <w:rsid w:val="00773736"/>
    <w:rsid w:val="00773A7E"/>
    <w:rsid w:val="0077473F"/>
    <w:rsid w:val="0077687D"/>
    <w:rsid w:val="00776DEA"/>
    <w:rsid w:val="00777253"/>
    <w:rsid w:val="00777BF8"/>
    <w:rsid w:val="007805C2"/>
    <w:rsid w:val="007814BE"/>
    <w:rsid w:val="00781688"/>
    <w:rsid w:val="007818AE"/>
    <w:rsid w:val="0078195A"/>
    <w:rsid w:val="00782E0F"/>
    <w:rsid w:val="0078522F"/>
    <w:rsid w:val="00785363"/>
    <w:rsid w:val="007857BA"/>
    <w:rsid w:val="00786224"/>
    <w:rsid w:val="007862A3"/>
    <w:rsid w:val="00786BE1"/>
    <w:rsid w:val="00787E53"/>
    <w:rsid w:val="0079062C"/>
    <w:rsid w:val="00790FDE"/>
    <w:rsid w:val="0079177D"/>
    <w:rsid w:val="00792CE6"/>
    <w:rsid w:val="00793699"/>
    <w:rsid w:val="007939D1"/>
    <w:rsid w:val="00794F93"/>
    <w:rsid w:val="00795962"/>
    <w:rsid w:val="00795D8F"/>
    <w:rsid w:val="00796862"/>
    <w:rsid w:val="00796EC3"/>
    <w:rsid w:val="007973AF"/>
    <w:rsid w:val="007975BB"/>
    <w:rsid w:val="007976A9"/>
    <w:rsid w:val="00797BE3"/>
    <w:rsid w:val="007A03EF"/>
    <w:rsid w:val="007A15A8"/>
    <w:rsid w:val="007A15F5"/>
    <w:rsid w:val="007A1687"/>
    <w:rsid w:val="007A19AA"/>
    <w:rsid w:val="007A2296"/>
    <w:rsid w:val="007A2795"/>
    <w:rsid w:val="007A443D"/>
    <w:rsid w:val="007A5656"/>
    <w:rsid w:val="007A57BC"/>
    <w:rsid w:val="007B10B3"/>
    <w:rsid w:val="007B1665"/>
    <w:rsid w:val="007B31FF"/>
    <w:rsid w:val="007B4C52"/>
    <w:rsid w:val="007B6357"/>
    <w:rsid w:val="007B63D2"/>
    <w:rsid w:val="007B66CD"/>
    <w:rsid w:val="007B6795"/>
    <w:rsid w:val="007B76FE"/>
    <w:rsid w:val="007C0393"/>
    <w:rsid w:val="007C0AB6"/>
    <w:rsid w:val="007C1003"/>
    <w:rsid w:val="007C13C1"/>
    <w:rsid w:val="007C15CA"/>
    <w:rsid w:val="007C20CC"/>
    <w:rsid w:val="007C2262"/>
    <w:rsid w:val="007C2803"/>
    <w:rsid w:val="007C39C1"/>
    <w:rsid w:val="007C5506"/>
    <w:rsid w:val="007C5CF1"/>
    <w:rsid w:val="007C7186"/>
    <w:rsid w:val="007D06D8"/>
    <w:rsid w:val="007D2AEC"/>
    <w:rsid w:val="007D313C"/>
    <w:rsid w:val="007D38F0"/>
    <w:rsid w:val="007D4474"/>
    <w:rsid w:val="007D47FE"/>
    <w:rsid w:val="007D490E"/>
    <w:rsid w:val="007D67C0"/>
    <w:rsid w:val="007D7BD6"/>
    <w:rsid w:val="007E10F6"/>
    <w:rsid w:val="007E1935"/>
    <w:rsid w:val="007E1A9C"/>
    <w:rsid w:val="007E2A82"/>
    <w:rsid w:val="007E2F5E"/>
    <w:rsid w:val="007E47F5"/>
    <w:rsid w:val="007E5D8B"/>
    <w:rsid w:val="007E6213"/>
    <w:rsid w:val="007F1A25"/>
    <w:rsid w:val="007F484A"/>
    <w:rsid w:val="007F5331"/>
    <w:rsid w:val="007F62A1"/>
    <w:rsid w:val="007F7228"/>
    <w:rsid w:val="007F77F3"/>
    <w:rsid w:val="007F7CA8"/>
    <w:rsid w:val="00801186"/>
    <w:rsid w:val="00801C1D"/>
    <w:rsid w:val="00801C88"/>
    <w:rsid w:val="00803391"/>
    <w:rsid w:val="00803442"/>
    <w:rsid w:val="00803A75"/>
    <w:rsid w:val="00804406"/>
    <w:rsid w:val="008044B9"/>
    <w:rsid w:val="00804616"/>
    <w:rsid w:val="00804A33"/>
    <w:rsid w:val="008063AC"/>
    <w:rsid w:val="0081093D"/>
    <w:rsid w:val="00811220"/>
    <w:rsid w:val="00812551"/>
    <w:rsid w:val="00812899"/>
    <w:rsid w:val="00812BFE"/>
    <w:rsid w:val="008143E9"/>
    <w:rsid w:val="00814A47"/>
    <w:rsid w:val="00814FB5"/>
    <w:rsid w:val="0081600F"/>
    <w:rsid w:val="00820751"/>
    <w:rsid w:val="00822E94"/>
    <w:rsid w:val="00823C86"/>
    <w:rsid w:val="00824004"/>
    <w:rsid w:val="00824645"/>
    <w:rsid w:val="008248C8"/>
    <w:rsid w:val="0082494D"/>
    <w:rsid w:val="00826CF6"/>
    <w:rsid w:val="00827235"/>
    <w:rsid w:val="008304B6"/>
    <w:rsid w:val="008323DF"/>
    <w:rsid w:val="00832E88"/>
    <w:rsid w:val="0083464D"/>
    <w:rsid w:val="00834761"/>
    <w:rsid w:val="00834814"/>
    <w:rsid w:val="008349CF"/>
    <w:rsid w:val="00834C44"/>
    <w:rsid w:val="008361D1"/>
    <w:rsid w:val="00836699"/>
    <w:rsid w:val="00837607"/>
    <w:rsid w:val="00840C28"/>
    <w:rsid w:val="0084197A"/>
    <w:rsid w:val="00842142"/>
    <w:rsid w:val="00843018"/>
    <w:rsid w:val="0084325C"/>
    <w:rsid w:val="008436CA"/>
    <w:rsid w:val="00843AC7"/>
    <w:rsid w:val="008450D8"/>
    <w:rsid w:val="008465A9"/>
    <w:rsid w:val="00846950"/>
    <w:rsid w:val="008469A6"/>
    <w:rsid w:val="0084744A"/>
    <w:rsid w:val="008476CB"/>
    <w:rsid w:val="0084798F"/>
    <w:rsid w:val="00850D38"/>
    <w:rsid w:val="00850E44"/>
    <w:rsid w:val="00851112"/>
    <w:rsid w:val="0085245E"/>
    <w:rsid w:val="0085468F"/>
    <w:rsid w:val="00854A56"/>
    <w:rsid w:val="00855721"/>
    <w:rsid w:val="00855FD5"/>
    <w:rsid w:val="00856CE6"/>
    <w:rsid w:val="00856F8A"/>
    <w:rsid w:val="008605A0"/>
    <w:rsid w:val="008612AB"/>
    <w:rsid w:val="00861CFB"/>
    <w:rsid w:val="00862412"/>
    <w:rsid w:val="008632A4"/>
    <w:rsid w:val="00863918"/>
    <w:rsid w:val="008653B2"/>
    <w:rsid w:val="00870E29"/>
    <w:rsid w:val="00870F90"/>
    <w:rsid w:val="00871B86"/>
    <w:rsid w:val="0087298B"/>
    <w:rsid w:val="008730A2"/>
    <w:rsid w:val="00874EE3"/>
    <w:rsid w:val="00877BCD"/>
    <w:rsid w:val="00883094"/>
    <w:rsid w:val="0088374E"/>
    <w:rsid w:val="00885081"/>
    <w:rsid w:val="00885F80"/>
    <w:rsid w:val="0088646A"/>
    <w:rsid w:val="00886C23"/>
    <w:rsid w:val="00887196"/>
    <w:rsid w:val="00887730"/>
    <w:rsid w:val="0088794B"/>
    <w:rsid w:val="0089093D"/>
    <w:rsid w:val="0089160C"/>
    <w:rsid w:val="0089239F"/>
    <w:rsid w:val="008925FE"/>
    <w:rsid w:val="008929E2"/>
    <w:rsid w:val="00894CB0"/>
    <w:rsid w:val="0089531A"/>
    <w:rsid w:val="00896025"/>
    <w:rsid w:val="00896521"/>
    <w:rsid w:val="00897361"/>
    <w:rsid w:val="00897ABC"/>
    <w:rsid w:val="008A03F2"/>
    <w:rsid w:val="008A18FF"/>
    <w:rsid w:val="008A2C12"/>
    <w:rsid w:val="008A35C0"/>
    <w:rsid w:val="008A46CD"/>
    <w:rsid w:val="008A4CED"/>
    <w:rsid w:val="008A5527"/>
    <w:rsid w:val="008A5B8C"/>
    <w:rsid w:val="008A665B"/>
    <w:rsid w:val="008A6689"/>
    <w:rsid w:val="008B0103"/>
    <w:rsid w:val="008B1540"/>
    <w:rsid w:val="008B33E6"/>
    <w:rsid w:val="008B4140"/>
    <w:rsid w:val="008B42F3"/>
    <w:rsid w:val="008B436E"/>
    <w:rsid w:val="008B5060"/>
    <w:rsid w:val="008B5197"/>
    <w:rsid w:val="008B7697"/>
    <w:rsid w:val="008C191A"/>
    <w:rsid w:val="008C1A5C"/>
    <w:rsid w:val="008C1C54"/>
    <w:rsid w:val="008C25A9"/>
    <w:rsid w:val="008C26E4"/>
    <w:rsid w:val="008C30F9"/>
    <w:rsid w:val="008C32C5"/>
    <w:rsid w:val="008C46D6"/>
    <w:rsid w:val="008C4E22"/>
    <w:rsid w:val="008C6393"/>
    <w:rsid w:val="008C6EA5"/>
    <w:rsid w:val="008D0613"/>
    <w:rsid w:val="008D1227"/>
    <w:rsid w:val="008D2BDF"/>
    <w:rsid w:val="008D2C41"/>
    <w:rsid w:val="008D6624"/>
    <w:rsid w:val="008D6F44"/>
    <w:rsid w:val="008D7960"/>
    <w:rsid w:val="008E00E8"/>
    <w:rsid w:val="008E01C8"/>
    <w:rsid w:val="008E1B11"/>
    <w:rsid w:val="008E1D0C"/>
    <w:rsid w:val="008E3FB3"/>
    <w:rsid w:val="008E4470"/>
    <w:rsid w:val="008E6A4E"/>
    <w:rsid w:val="008E76E8"/>
    <w:rsid w:val="008E7A77"/>
    <w:rsid w:val="008E7DF2"/>
    <w:rsid w:val="008F0BF9"/>
    <w:rsid w:val="008F1AE1"/>
    <w:rsid w:val="008F1E57"/>
    <w:rsid w:val="008F1F02"/>
    <w:rsid w:val="008F1FE3"/>
    <w:rsid w:val="008F1FE6"/>
    <w:rsid w:val="008F332C"/>
    <w:rsid w:val="008F4BE0"/>
    <w:rsid w:val="008F5680"/>
    <w:rsid w:val="008F6924"/>
    <w:rsid w:val="008F7C72"/>
    <w:rsid w:val="008F7CA9"/>
    <w:rsid w:val="008F7F0F"/>
    <w:rsid w:val="00902016"/>
    <w:rsid w:val="0090246B"/>
    <w:rsid w:val="009033C7"/>
    <w:rsid w:val="00903A9F"/>
    <w:rsid w:val="00903ACE"/>
    <w:rsid w:val="00904CB2"/>
    <w:rsid w:val="00905BB4"/>
    <w:rsid w:val="009071FA"/>
    <w:rsid w:val="0090777E"/>
    <w:rsid w:val="009100B5"/>
    <w:rsid w:val="00912368"/>
    <w:rsid w:val="0091336E"/>
    <w:rsid w:val="00914094"/>
    <w:rsid w:val="009151A3"/>
    <w:rsid w:val="00915A3F"/>
    <w:rsid w:val="00915B3A"/>
    <w:rsid w:val="0091648C"/>
    <w:rsid w:val="00916793"/>
    <w:rsid w:val="00916A50"/>
    <w:rsid w:val="00916C8B"/>
    <w:rsid w:val="00916D52"/>
    <w:rsid w:val="00917035"/>
    <w:rsid w:val="00917B1B"/>
    <w:rsid w:val="00920275"/>
    <w:rsid w:val="009205C1"/>
    <w:rsid w:val="00920EF8"/>
    <w:rsid w:val="00922621"/>
    <w:rsid w:val="009239CF"/>
    <w:rsid w:val="00923DBA"/>
    <w:rsid w:val="00924115"/>
    <w:rsid w:val="00924337"/>
    <w:rsid w:val="0092652A"/>
    <w:rsid w:val="00926E0F"/>
    <w:rsid w:val="009271B2"/>
    <w:rsid w:val="00927EED"/>
    <w:rsid w:val="00930F56"/>
    <w:rsid w:val="009319F9"/>
    <w:rsid w:val="009337B5"/>
    <w:rsid w:val="00933F5B"/>
    <w:rsid w:val="00934434"/>
    <w:rsid w:val="0093459B"/>
    <w:rsid w:val="00935AF8"/>
    <w:rsid w:val="00936C68"/>
    <w:rsid w:val="00937C70"/>
    <w:rsid w:val="00940708"/>
    <w:rsid w:val="00941081"/>
    <w:rsid w:val="00941143"/>
    <w:rsid w:val="009411DC"/>
    <w:rsid w:val="009417D6"/>
    <w:rsid w:val="00941BD2"/>
    <w:rsid w:val="00941DF5"/>
    <w:rsid w:val="009421A1"/>
    <w:rsid w:val="00942335"/>
    <w:rsid w:val="00942B20"/>
    <w:rsid w:val="00943E71"/>
    <w:rsid w:val="0094415D"/>
    <w:rsid w:val="009445A5"/>
    <w:rsid w:val="0094530E"/>
    <w:rsid w:val="0094663E"/>
    <w:rsid w:val="00946A41"/>
    <w:rsid w:val="00947210"/>
    <w:rsid w:val="0095011B"/>
    <w:rsid w:val="009503F5"/>
    <w:rsid w:val="0095166A"/>
    <w:rsid w:val="00952632"/>
    <w:rsid w:val="0095295D"/>
    <w:rsid w:val="00953483"/>
    <w:rsid w:val="009538CC"/>
    <w:rsid w:val="00954AA1"/>
    <w:rsid w:val="0095621C"/>
    <w:rsid w:val="009574F0"/>
    <w:rsid w:val="00957593"/>
    <w:rsid w:val="00957D90"/>
    <w:rsid w:val="00963183"/>
    <w:rsid w:val="009634E8"/>
    <w:rsid w:val="0096358A"/>
    <w:rsid w:val="00964296"/>
    <w:rsid w:val="00966297"/>
    <w:rsid w:val="00967EBD"/>
    <w:rsid w:val="009701FC"/>
    <w:rsid w:val="00971BD5"/>
    <w:rsid w:val="00971F28"/>
    <w:rsid w:val="00974661"/>
    <w:rsid w:val="009755CF"/>
    <w:rsid w:val="009757CF"/>
    <w:rsid w:val="00977293"/>
    <w:rsid w:val="00977C7D"/>
    <w:rsid w:val="00980CB3"/>
    <w:rsid w:val="00982845"/>
    <w:rsid w:val="00982D0F"/>
    <w:rsid w:val="009835E7"/>
    <w:rsid w:val="00984327"/>
    <w:rsid w:val="00985462"/>
    <w:rsid w:val="009862E2"/>
    <w:rsid w:val="00986660"/>
    <w:rsid w:val="00986A20"/>
    <w:rsid w:val="00986BFA"/>
    <w:rsid w:val="00987630"/>
    <w:rsid w:val="00987677"/>
    <w:rsid w:val="00990323"/>
    <w:rsid w:val="00990E30"/>
    <w:rsid w:val="00990F9F"/>
    <w:rsid w:val="00991822"/>
    <w:rsid w:val="00993825"/>
    <w:rsid w:val="00993913"/>
    <w:rsid w:val="00994214"/>
    <w:rsid w:val="00994F4F"/>
    <w:rsid w:val="00995683"/>
    <w:rsid w:val="00996859"/>
    <w:rsid w:val="00997B07"/>
    <w:rsid w:val="009A08D3"/>
    <w:rsid w:val="009A0D4D"/>
    <w:rsid w:val="009A106F"/>
    <w:rsid w:val="009A1AF3"/>
    <w:rsid w:val="009A1C2C"/>
    <w:rsid w:val="009A1D4C"/>
    <w:rsid w:val="009A21D8"/>
    <w:rsid w:val="009A286D"/>
    <w:rsid w:val="009A3F0C"/>
    <w:rsid w:val="009A63E4"/>
    <w:rsid w:val="009A6C37"/>
    <w:rsid w:val="009A7766"/>
    <w:rsid w:val="009A7A49"/>
    <w:rsid w:val="009B0543"/>
    <w:rsid w:val="009B0C7A"/>
    <w:rsid w:val="009B0E16"/>
    <w:rsid w:val="009B15E7"/>
    <w:rsid w:val="009B1801"/>
    <w:rsid w:val="009B1874"/>
    <w:rsid w:val="009B240C"/>
    <w:rsid w:val="009B3F12"/>
    <w:rsid w:val="009B405A"/>
    <w:rsid w:val="009B46DC"/>
    <w:rsid w:val="009B4C1D"/>
    <w:rsid w:val="009B4FB6"/>
    <w:rsid w:val="009B5E24"/>
    <w:rsid w:val="009B638D"/>
    <w:rsid w:val="009B6630"/>
    <w:rsid w:val="009B6F61"/>
    <w:rsid w:val="009B74AE"/>
    <w:rsid w:val="009B768E"/>
    <w:rsid w:val="009B7C2B"/>
    <w:rsid w:val="009C159B"/>
    <w:rsid w:val="009C196B"/>
    <w:rsid w:val="009C27C1"/>
    <w:rsid w:val="009C427E"/>
    <w:rsid w:val="009D20FB"/>
    <w:rsid w:val="009D25B7"/>
    <w:rsid w:val="009D3B5A"/>
    <w:rsid w:val="009D3F66"/>
    <w:rsid w:val="009D47CD"/>
    <w:rsid w:val="009D61D1"/>
    <w:rsid w:val="009D6A32"/>
    <w:rsid w:val="009D7246"/>
    <w:rsid w:val="009E0A12"/>
    <w:rsid w:val="009E1513"/>
    <w:rsid w:val="009E252F"/>
    <w:rsid w:val="009E302B"/>
    <w:rsid w:val="009E3170"/>
    <w:rsid w:val="009E3E42"/>
    <w:rsid w:val="009E5DD9"/>
    <w:rsid w:val="009E5FBE"/>
    <w:rsid w:val="009E665E"/>
    <w:rsid w:val="009E786A"/>
    <w:rsid w:val="009F09C3"/>
    <w:rsid w:val="009F2888"/>
    <w:rsid w:val="009F389F"/>
    <w:rsid w:val="009F5179"/>
    <w:rsid w:val="009F5587"/>
    <w:rsid w:val="009F5B43"/>
    <w:rsid w:val="009F5B52"/>
    <w:rsid w:val="009F5F46"/>
    <w:rsid w:val="009F64C3"/>
    <w:rsid w:val="009F66C4"/>
    <w:rsid w:val="009F6EED"/>
    <w:rsid w:val="00A0031D"/>
    <w:rsid w:val="00A004FA"/>
    <w:rsid w:val="00A006E7"/>
    <w:rsid w:val="00A008D1"/>
    <w:rsid w:val="00A00A50"/>
    <w:rsid w:val="00A015BD"/>
    <w:rsid w:val="00A029B2"/>
    <w:rsid w:val="00A02DEF"/>
    <w:rsid w:val="00A035FC"/>
    <w:rsid w:val="00A03FE2"/>
    <w:rsid w:val="00A04C7C"/>
    <w:rsid w:val="00A05100"/>
    <w:rsid w:val="00A05328"/>
    <w:rsid w:val="00A0598A"/>
    <w:rsid w:val="00A068BB"/>
    <w:rsid w:val="00A06DA2"/>
    <w:rsid w:val="00A07411"/>
    <w:rsid w:val="00A116DD"/>
    <w:rsid w:val="00A12703"/>
    <w:rsid w:val="00A12DEC"/>
    <w:rsid w:val="00A15702"/>
    <w:rsid w:val="00A15D70"/>
    <w:rsid w:val="00A1699E"/>
    <w:rsid w:val="00A20852"/>
    <w:rsid w:val="00A209D4"/>
    <w:rsid w:val="00A20F03"/>
    <w:rsid w:val="00A21161"/>
    <w:rsid w:val="00A216BC"/>
    <w:rsid w:val="00A22020"/>
    <w:rsid w:val="00A23DB0"/>
    <w:rsid w:val="00A254C0"/>
    <w:rsid w:val="00A25E33"/>
    <w:rsid w:val="00A264C9"/>
    <w:rsid w:val="00A26DBE"/>
    <w:rsid w:val="00A27F1A"/>
    <w:rsid w:val="00A31BBF"/>
    <w:rsid w:val="00A326E1"/>
    <w:rsid w:val="00A327B9"/>
    <w:rsid w:val="00A33780"/>
    <w:rsid w:val="00A33AD2"/>
    <w:rsid w:val="00A352C6"/>
    <w:rsid w:val="00A3573A"/>
    <w:rsid w:val="00A3621C"/>
    <w:rsid w:val="00A3622F"/>
    <w:rsid w:val="00A3649F"/>
    <w:rsid w:val="00A40584"/>
    <w:rsid w:val="00A408B7"/>
    <w:rsid w:val="00A40F35"/>
    <w:rsid w:val="00A412C6"/>
    <w:rsid w:val="00A421B4"/>
    <w:rsid w:val="00A4254E"/>
    <w:rsid w:val="00A42763"/>
    <w:rsid w:val="00A43B35"/>
    <w:rsid w:val="00A44A6E"/>
    <w:rsid w:val="00A44C88"/>
    <w:rsid w:val="00A45498"/>
    <w:rsid w:val="00A45957"/>
    <w:rsid w:val="00A45E5F"/>
    <w:rsid w:val="00A45E64"/>
    <w:rsid w:val="00A45FF4"/>
    <w:rsid w:val="00A46339"/>
    <w:rsid w:val="00A46761"/>
    <w:rsid w:val="00A47765"/>
    <w:rsid w:val="00A47A7B"/>
    <w:rsid w:val="00A5133B"/>
    <w:rsid w:val="00A514D2"/>
    <w:rsid w:val="00A5221A"/>
    <w:rsid w:val="00A54A9F"/>
    <w:rsid w:val="00A55593"/>
    <w:rsid w:val="00A566D5"/>
    <w:rsid w:val="00A5746A"/>
    <w:rsid w:val="00A57544"/>
    <w:rsid w:val="00A57635"/>
    <w:rsid w:val="00A60296"/>
    <w:rsid w:val="00A6057B"/>
    <w:rsid w:val="00A61446"/>
    <w:rsid w:val="00A61497"/>
    <w:rsid w:val="00A62737"/>
    <w:rsid w:val="00A6361E"/>
    <w:rsid w:val="00A637E8"/>
    <w:rsid w:val="00A63B2B"/>
    <w:rsid w:val="00A63D8A"/>
    <w:rsid w:val="00A64AE5"/>
    <w:rsid w:val="00A64C19"/>
    <w:rsid w:val="00A66115"/>
    <w:rsid w:val="00A701E6"/>
    <w:rsid w:val="00A71B35"/>
    <w:rsid w:val="00A71B37"/>
    <w:rsid w:val="00A71D49"/>
    <w:rsid w:val="00A729B2"/>
    <w:rsid w:val="00A74D4A"/>
    <w:rsid w:val="00A75EDC"/>
    <w:rsid w:val="00A7601F"/>
    <w:rsid w:val="00A76A19"/>
    <w:rsid w:val="00A76ACC"/>
    <w:rsid w:val="00A76F27"/>
    <w:rsid w:val="00A76F84"/>
    <w:rsid w:val="00A77A88"/>
    <w:rsid w:val="00A8058C"/>
    <w:rsid w:val="00A819AB"/>
    <w:rsid w:val="00A82B8C"/>
    <w:rsid w:val="00A82C32"/>
    <w:rsid w:val="00A82E25"/>
    <w:rsid w:val="00A84748"/>
    <w:rsid w:val="00A867AF"/>
    <w:rsid w:val="00A90FC7"/>
    <w:rsid w:val="00A930EC"/>
    <w:rsid w:val="00A93835"/>
    <w:rsid w:val="00A93AB4"/>
    <w:rsid w:val="00A95B05"/>
    <w:rsid w:val="00A95B6B"/>
    <w:rsid w:val="00A9606A"/>
    <w:rsid w:val="00A97F9C"/>
    <w:rsid w:val="00AA09FD"/>
    <w:rsid w:val="00AA0BC0"/>
    <w:rsid w:val="00AA124E"/>
    <w:rsid w:val="00AA2F43"/>
    <w:rsid w:val="00AA3CD6"/>
    <w:rsid w:val="00AA3FC2"/>
    <w:rsid w:val="00AA661A"/>
    <w:rsid w:val="00AA6696"/>
    <w:rsid w:val="00AA66B9"/>
    <w:rsid w:val="00AA6B60"/>
    <w:rsid w:val="00AB0243"/>
    <w:rsid w:val="00AB1539"/>
    <w:rsid w:val="00AB2220"/>
    <w:rsid w:val="00AB274B"/>
    <w:rsid w:val="00AB2EF7"/>
    <w:rsid w:val="00AB4B3C"/>
    <w:rsid w:val="00AC0045"/>
    <w:rsid w:val="00AC0E67"/>
    <w:rsid w:val="00AC2437"/>
    <w:rsid w:val="00AC5264"/>
    <w:rsid w:val="00AC5624"/>
    <w:rsid w:val="00AC5CA4"/>
    <w:rsid w:val="00AC7B8F"/>
    <w:rsid w:val="00AD0135"/>
    <w:rsid w:val="00AD0BCA"/>
    <w:rsid w:val="00AD0DAD"/>
    <w:rsid w:val="00AD21F7"/>
    <w:rsid w:val="00AD3E8E"/>
    <w:rsid w:val="00AD3F21"/>
    <w:rsid w:val="00AD5A88"/>
    <w:rsid w:val="00AD6664"/>
    <w:rsid w:val="00AD693A"/>
    <w:rsid w:val="00AD6EE7"/>
    <w:rsid w:val="00AD71C4"/>
    <w:rsid w:val="00AE12A9"/>
    <w:rsid w:val="00AE38E0"/>
    <w:rsid w:val="00AE41E5"/>
    <w:rsid w:val="00AE456F"/>
    <w:rsid w:val="00AE4F43"/>
    <w:rsid w:val="00AE5818"/>
    <w:rsid w:val="00AE5F7E"/>
    <w:rsid w:val="00AE6695"/>
    <w:rsid w:val="00AE69BD"/>
    <w:rsid w:val="00AE797E"/>
    <w:rsid w:val="00AE7EA0"/>
    <w:rsid w:val="00AF0763"/>
    <w:rsid w:val="00AF0C8A"/>
    <w:rsid w:val="00AF1342"/>
    <w:rsid w:val="00AF15BE"/>
    <w:rsid w:val="00AF1D94"/>
    <w:rsid w:val="00AF1F39"/>
    <w:rsid w:val="00AF1FF3"/>
    <w:rsid w:val="00AF21C5"/>
    <w:rsid w:val="00AF369F"/>
    <w:rsid w:val="00AF3701"/>
    <w:rsid w:val="00AF44DD"/>
    <w:rsid w:val="00AF485A"/>
    <w:rsid w:val="00AF6268"/>
    <w:rsid w:val="00AF7444"/>
    <w:rsid w:val="00AF7560"/>
    <w:rsid w:val="00AF7ACE"/>
    <w:rsid w:val="00AF7AEE"/>
    <w:rsid w:val="00AF7E7B"/>
    <w:rsid w:val="00B00375"/>
    <w:rsid w:val="00B02280"/>
    <w:rsid w:val="00B024EA"/>
    <w:rsid w:val="00B02952"/>
    <w:rsid w:val="00B03371"/>
    <w:rsid w:val="00B03CFF"/>
    <w:rsid w:val="00B040A8"/>
    <w:rsid w:val="00B0457A"/>
    <w:rsid w:val="00B0494F"/>
    <w:rsid w:val="00B0789F"/>
    <w:rsid w:val="00B07B35"/>
    <w:rsid w:val="00B103CE"/>
    <w:rsid w:val="00B106A0"/>
    <w:rsid w:val="00B10A4E"/>
    <w:rsid w:val="00B114A9"/>
    <w:rsid w:val="00B1204D"/>
    <w:rsid w:val="00B12071"/>
    <w:rsid w:val="00B127F7"/>
    <w:rsid w:val="00B12821"/>
    <w:rsid w:val="00B12CE2"/>
    <w:rsid w:val="00B13081"/>
    <w:rsid w:val="00B132BD"/>
    <w:rsid w:val="00B1366B"/>
    <w:rsid w:val="00B155DA"/>
    <w:rsid w:val="00B1570B"/>
    <w:rsid w:val="00B15C8F"/>
    <w:rsid w:val="00B16058"/>
    <w:rsid w:val="00B16AE8"/>
    <w:rsid w:val="00B16F3F"/>
    <w:rsid w:val="00B20026"/>
    <w:rsid w:val="00B20583"/>
    <w:rsid w:val="00B21578"/>
    <w:rsid w:val="00B22164"/>
    <w:rsid w:val="00B225D3"/>
    <w:rsid w:val="00B22B57"/>
    <w:rsid w:val="00B25A06"/>
    <w:rsid w:val="00B25A23"/>
    <w:rsid w:val="00B26B20"/>
    <w:rsid w:val="00B271E8"/>
    <w:rsid w:val="00B27BB6"/>
    <w:rsid w:val="00B3014D"/>
    <w:rsid w:val="00B30657"/>
    <w:rsid w:val="00B30C9D"/>
    <w:rsid w:val="00B30EAB"/>
    <w:rsid w:val="00B31FF0"/>
    <w:rsid w:val="00B35B6A"/>
    <w:rsid w:val="00B36ACB"/>
    <w:rsid w:val="00B4021A"/>
    <w:rsid w:val="00B42561"/>
    <w:rsid w:val="00B43676"/>
    <w:rsid w:val="00B44195"/>
    <w:rsid w:val="00B450CB"/>
    <w:rsid w:val="00B46BE4"/>
    <w:rsid w:val="00B472AC"/>
    <w:rsid w:val="00B51888"/>
    <w:rsid w:val="00B52B27"/>
    <w:rsid w:val="00B52F83"/>
    <w:rsid w:val="00B53E7A"/>
    <w:rsid w:val="00B554DD"/>
    <w:rsid w:val="00B55B53"/>
    <w:rsid w:val="00B565BF"/>
    <w:rsid w:val="00B567A2"/>
    <w:rsid w:val="00B6180E"/>
    <w:rsid w:val="00B62E84"/>
    <w:rsid w:val="00B62EAC"/>
    <w:rsid w:val="00B6357F"/>
    <w:rsid w:val="00B65B70"/>
    <w:rsid w:val="00B7046C"/>
    <w:rsid w:val="00B71B86"/>
    <w:rsid w:val="00B71EA0"/>
    <w:rsid w:val="00B71F24"/>
    <w:rsid w:val="00B72BA6"/>
    <w:rsid w:val="00B732F3"/>
    <w:rsid w:val="00B74E5D"/>
    <w:rsid w:val="00B753B7"/>
    <w:rsid w:val="00B7555A"/>
    <w:rsid w:val="00B75C61"/>
    <w:rsid w:val="00B8031E"/>
    <w:rsid w:val="00B80D05"/>
    <w:rsid w:val="00B81035"/>
    <w:rsid w:val="00B84C8A"/>
    <w:rsid w:val="00B85247"/>
    <w:rsid w:val="00B85312"/>
    <w:rsid w:val="00B8626C"/>
    <w:rsid w:val="00B86541"/>
    <w:rsid w:val="00B8691B"/>
    <w:rsid w:val="00B87EE3"/>
    <w:rsid w:val="00B90281"/>
    <w:rsid w:val="00B90AC8"/>
    <w:rsid w:val="00B924B6"/>
    <w:rsid w:val="00B92544"/>
    <w:rsid w:val="00B934BD"/>
    <w:rsid w:val="00B964B9"/>
    <w:rsid w:val="00B97118"/>
    <w:rsid w:val="00B9743F"/>
    <w:rsid w:val="00B97462"/>
    <w:rsid w:val="00B97793"/>
    <w:rsid w:val="00BA1052"/>
    <w:rsid w:val="00BA1577"/>
    <w:rsid w:val="00BA3EA3"/>
    <w:rsid w:val="00BA4B7E"/>
    <w:rsid w:val="00BA4FD1"/>
    <w:rsid w:val="00BA5367"/>
    <w:rsid w:val="00BA634A"/>
    <w:rsid w:val="00BA68B3"/>
    <w:rsid w:val="00BA6FDC"/>
    <w:rsid w:val="00BA7B25"/>
    <w:rsid w:val="00BA7F2B"/>
    <w:rsid w:val="00BB1716"/>
    <w:rsid w:val="00BB1B7D"/>
    <w:rsid w:val="00BB252E"/>
    <w:rsid w:val="00BB2C3D"/>
    <w:rsid w:val="00BB4AAE"/>
    <w:rsid w:val="00BB5206"/>
    <w:rsid w:val="00BB7465"/>
    <w:rsid w:val="00BB76D1"/>
    <w:rsid w:val="00BB7AF6"/>
    <w:rsid w:val="00BB7DC3"/>
    <w:rsid w:val="00BB7F64"/>
    <w:rsid w:val="00BC0775"/>
    <w:rsid w:val="00BC0BFA"/>
    <w:rsid w:val="00BC12F4"/>
    <w:rsid w:val="00BC21A9"/>
    <w:rsid w:val="00BC24E3"/>
    <w:rsid w:val="00BC2535"/>
    <w:rsid w:val="00BC2942"/>
    <w:rsid w:val="00BC2AC6"/>
    <w:rsid w:val="00BC44DB"/>
    <w:rsid w:val="00BC4CC6"/>
    <w:rsid w:val="00BC5C4E"/>
    <w:rsid w:val="00BC6040"/>
    <w:rsid w:val="00BC75FE"/>
    <w:rsid w:val="00BC7C71"/>
    <w:rsid w:val="00BD1808"/>
    <w:rsid w:val="00BD214F"/>
    <w:rsid w:val="00BD45B9"/>
    <w:rsid w:val="00BD5C6D"/>
    <w:rsid w:val="00BD7389"/>
    <w:rsid w:val="00BD79CA"/>
    <w:rsid w:val="00BE155B"/>
    <w:rsid w:val="00BE1D73"/>
    <w:rsid w:val="00BE1ED3"/>
    <w:rsid w:val="00BE2499"/>
    <w:rsid w:val="00BE3C93"/>
    <w:rsid w:val="00BE3E12"/>
    <w:rsid w:val="00BE4B93"/>
    <w:rsid w:val="00BE5014"/>
    <w:rsid w:val="00BF064E"/>
    <w:rsid w:val="00BF1498"/>
    <w:rsid w:val="00BF14E6"/>
    <w:rsid w:val="00BF1B4A"/>
    <w:rsid w:val="00BF1BAE"/>
    <w:rsid w:val="00BF1F60"/>
    <w:rsid w:val="00BF25A0"/>
    <w:rsid w:val="00BF2C44"/>
    <w:rsid w:val="00BF4080"/>
    <w:rsid w:val="00BF4129"/>
    <w:rsid w:val="00BF49A1"/>
    <w:rsid w:val="00BF4D9F"/>
    <w:rsid w:val="00BF5B08"/>
    <w:rsid w:val="00BF5C57"/>
    <w:rsid w:val="00BF5EC6"/>
    <w:rsid w:val="00BF78E2"/>
    <w:rsid w:val="00BF7FF8"/>
    <w:rsid w:val="00C00458"/>
    <w:rsid w:val="00C018F2"/>
    <w:rsid w:val="00C019B4"/>
    <w:rsid w:val="00C01EA7"/>
    <w:rsid w:val="00C022A6"/>
    <w:rsid w:val="00C02BEF"/>
    <w:rsid w:val="00C0551B"/>
    <w:rsid w:val="00C05C64"/>
    <w:rsid w:val="00C07705"/>
    <w:rsid w:val="00C07A9F"/>
    <w:rsid w:val="00C129C2"/>
    <w:rsid w:val="00C12B1F"/>
    <w:rsid w:val="00C12BBC"/>
    <w:rsid w:val="00C13048"/>
    <w:rsid w:val="00C13F43"/>
    <w:rsid w:val="00C14A25"/>
    <w:rsid w:val="00C16274"/>
    <w:rsid w:val="00C20474"/>
    <w:rsid w:val="00C2060C"/>
    <w:rsid w:val="00C21ACA"/>
    <w:rsid w:val="00C22F86"/>
    <w:rsid w:val="00C2515F"/>
    <w:rsid w:val="00C2538C"/>
    <w:rsid w:val="00C273F6"/>
    <w:rsid w:val="00C27475"/>
    <w:rsid w:val="00C27497"/>
    <w:rsid w:val="00C30F04"/>
    <w:rsid w:val="00C31487"/>
    <w:rsid w:val="00C32962"/>
    <w:rsid w:val="00C32A50"/>
    <w:rsid w:val="00C33BBD"/>
    <w:rsid w:val="00C37762"/>
    <w:rsid w:val="00C415CC"/>
    <w:rsid w:val="00C42104"/>
    <w:rsid w:val="00C421F5"/>
    <w:rsid w:val="00C42BB0"/>
    <w:rsid w:val="00C43B18"/>
    <w:rsid w:val="00C44AEF"/>
    <w:rsid w:val="00C44EFC"/>
    <w:rsid w:val="00C45037"/>
    <w:rsid w:val="00C45EB6"/>
    <w:rsid w:val="00C46F29"/>
    <w:rsid w:val="00C504E3"/>
    <w:rsid w:val="00C51C35"/>
    <w:rsid w:val="00C52846"/>
    <w:rsid w:val="00C54C07"/>
    <w:rsid w:val="00C573F1"/>
    <w:rsid w:val="00C601D4"/>
    <w:rsid w:val="00C6099B"/>
    <w:rsid w:val="00C61D4D"/>
    <w:rsid w:val="00C623E9"/>
    <w:rsid w:val="00C6559C"/>
    <w:rsid w:val="00C65CAF"/>
    <w:rsid w:val="00C664A9"/>
    <w:rsid w:val="00C67DEC"/>
    <w:rsid w:val="00C7024E"/>
    <w:rsid w:val="00C71979"/>
    <w:rsid w:val="00C72549"/>
    <w:rsid w:val="00C731A3"/>
    <w:rsid w:val="00C74108"/>
    <w:rsid w:val="00C74275"/>
    <w:rsid w:val="00C75A72"/>
    <w:rsid w:val="00C76E45"/>
    <w:rsid w:val="00C77566"/>
    <w:rsid w:val="00C7766D"/>
    <w:rsid w:val="00C804EF"/>
    <w:rsid w:val="00C848C9"/>
    <w:rsid w:val="00C868E6"/>
    <w:rsid w:val="00C87377"/>
    <w:rsid w:val="00C91775"/>
    <w:rsid w:val="00C92CCB"/>
    <w:rsid w:val="00C932D2"/>
    <w:rsid w:val="00C93854"/>
    <w:rsid w:val="00C942AB"/>
    <w:rsid w:val="00C9439C"/>
    <w:rsid w:val="00C94429"/>
    <w:rsid w:val="00C95A9A"/>
    <w:rsid w:val="00C95EF1"/>
    <w:rsid w:val="00C9605E"/>
    <w:rsid w:val="00CA0217"/>
    <w:rsid w:val="00CA0E09"/>
    <w:rsid w:val="00CA1A22"/>
    <w:rsid w:val="00CA1B18"/>
    <w:rsid w:val="00CA2013"/>
    <w:rsid w:val="00CA2FDF"/>
    <w:rsid w:val="00CA3246"/>
    <w:rsid w:val="00CA3E5D"/>
    <w:rsid w:val="00CA44A8"/>
    <w:rsid w:val="00CA508C"/>
    <w:rsid w:val="00CB09FC"/>
    <w:rsid w:val="00CB0B75"/>
    <w:rsid w:val="00CB1BEC"/>
    <w:rsid w:val="00CB29D7"/>
    <w:rsid w:val="00CB375E"/>
    <w:rsid w:val="00CB61BD"/>
    <w:rsid w:val="00CC15EC"/>
    <w:rsid w:val="00CC16DC"/>
    <w:rsid w:val="00CC1863"/>
    <w:rsid w:val="00CC1DE9"/>
    <w:rsid w:val="00CC2E6B"/>
    <w:rsid w:val="00CC2EC8"/>
    <w:rsid w:val="00CC2F7E"/>
    <w:rsid w:val="00CC3531"/>
    <w:rsid w:val="00CC3E8A"/>
    <w:rsid w:val="00CC3F0E"/>
    <w:rsid w:val="00CC6FA1"/>
    <w:rsid w:val="00CD045D"/>
    <w:rsid w:val="00CD0E51"/>
    <w:rsid w:val="00CD1BDF"/>
    <w:rsid w:val="00CD321E"/>
    <w:rsid w:val="00CD48BA"/>
    <w:rsid w:val="00CD4D72"/>
    <w:rsid w:val="00CD5624"/>
    <w:rsid w:val="00CD56CB"/>
    <w:rsid w:val="00CD5D26"/>
    <w:rsid w:val="00CD798D"/>
    <w:rsid w:val="00CE0AC6"/>
    <w:rsid w:val="00CE1527"/>
    <w:rsid w:val="00CE2C8E"/>
    <w:rsid w:val="00CE3863"/>
    <w:rsid w:val="00CE3F14"/>
    <w:rsid w:val="00CE407D"/>
    <w:rsid w:val="00CE63D7"/>
    <w:rsid w:val="00CE6586"/>
    <w:rsid w:val="00CE7AF3"/>
    <w:rsid w:val="00CF0591"/>
    <w:rsid w:val="00CF1D11"/>
    <w:rsid w:val="00CF1F0E"/>
    <w:rsid w:val="00CF2694"/>
    <w:rsid w:val="00CF27A3"/>
    <w:rsid w:val="00CF50A2"/>
    <w:rsid w:val="00CF5297"/>
    <w:rsid w:val="00CF6063"/>
    <w:rsid w:val="00CF756E"/>
    <w:rsid w:val="00D00727"/>
    <w:rsid w:val="00D040DE"/>
    <w:rsid w:val="00D04335"/>
    <w:rsid w:val="00D0450E"/>
    <w:rsid w:val="00D0486B"/>
    <w:rsid w:val="00D04DFF"/>
    <w:rsid w:val="00D05181"/>
    <w:rsid w:val="00D066C1"/>
    <w:rsid w:val="00D06713"/>
    <w:rsid w:val="00D06825"/>
    <w:rsid w:val="00D07913"/>
    <w:rsid w:val="00D10C78"/>
    <w:rsid w:val="00D10CC4"/>
    <w:rsid w:val="00D1153C"/>
    <w:rsid w:val="00D16057"/>
    <w:rsid w:val="00D17AA6"/>
    <w:rsid w:val="00D20009"/>
    <w:rsid w:val="00D207AF"/>
    <w:rsid w:val="00D215A8"/>
    <w:rsid w:val="00D21804"/>
    <w:rsid w:val="00D23433"/>
    <w:rsid w:val="00D26117"/>
    <w:rsid w:val="00D2691C"/>
    <w:rsid w:val="00D27B1D"/>
    <w:rsid w:val="00D27C49"/>
    <w:rsid w:val="00D30147"/>
    <w:rsid w:val="00D30651"/>
    <w:rsid w:val="00D329AC"/>
    <w:rsid w:val="00D32C9D"/>
    <w:rsid w:val="00D33A41"/>
    <w:rsid w:val="00D3403A"/>
    <w:rsid w:val="00D341E9"/>
    <w:rsid w:val="00D375F4"/>
    <w:rsid w:val="00D41C25"/>
    <w:rsid w:val="00D41D15"/>
    <w:rsid w:val="00D44369"/>
    <w:rsid w:val="00D44E47"/>
    <w:rsid w:val="00D45570"/>
    <w:rsid w:val="00D45632"/>
    <w:rsid w:val="00D45BC6"/>
    <w:rsid w:val="00D46384"/>
    <w:rsid w:val="00D47A0A"/>
    <w:rsid w:val="00D50A6F"/>
    <w:rsid w:val="00D5123B"/>
    <w:rsid w:val="00D52BF7"/>
    <w:rsid w:val="00D536C8"/>
    <w:rsid w:val="00D54DD8"/>
    <w:rsid w:val="00D55BE3"/>
    <w:rsid w:val="00D56B18"/>
    <w:rsid w:val="00D61C92"/>
    <w:rsid w:val="00D6281D"/>
    <w:rsid w:val="00D63A4D"/>
    <w:rsid w:val="00D642B5"/>
    <w:rsid w:val="00D64F0B"/>
    <w:rsid w:val="00D65657"/>
    <w:rsid w:val="00D677E9"/>
    <w:rsid w:val="00D7025A"/>
    <w:rsid w:val="00D70ABB"/>
    <w:rsid w:val="00D73A21"/>
    <w:rsid w:val="00D73DAC"/>
    <w:rsid w:val="00D74206"/>
    <w:rsid w:val="00D74BCE"/>
    <w:rsid w:val="00D74EC0"/>
    <w:rsid w:val="00D75860"/>
    <w:rsid w:val="00D75EA0"/>
    <w:rsid w:val="00D76626"/>
    <w:rsid w:val="00D76FCB"/>
    <w:rsid w:val="00D7780C"/>
    <w:rsid w:val="00D77F08"/>
    <w:rsid w:val="00D80988"/>
    <w:rsid w:val="00D81F17"/>
    <w:rsid w:val="00D829B7"/>
    <w:rsid w:val="00D82E5E"/>
    <w:rsid w:val="00D83540"/>
    <w:rsid w:val="00D84EC5"/>
    <w:rsid w:val="00D857E5"/>
    <w:rsid w:val="00D858EC"/>
    <w:rsid w:val="00D85EE9"/>
    <w:rsid w:val="00D86985"/>
    <w:rsid w:val="00D87679"/>
    <w:rsid w:val="00D87AE9"/>
    <w:rsid w:val="00D87B2F"/>
    <w:rsid w:val="00D87EC6"/>
    <w:rsid w:val="00D90104"/>
    <w:rsid w:val="00D9021A"/>
    <w:rsid w:val="00D91D16"/>
    <w:rsid w:val="00D92C66"/>
    <w:rsid w:val="00D92E9E"/>
    <w:rsid w:val="00D9328A"/>
    <w:rsid w:val="00D93981"/>
    <w:rsid w:val="00D94B4B"/>
    <w:rsid w:val="00D96D78"/>
    <w:rsid w:val="00D96E6F"/>
    <w:rsid w:val="00D97267"/>
    <w:rsid w:val="00D97588"/>
    <w:rsid w:val="00D975C6"/>
    <w:rsid w:val="00D97721"/>
    <w:rsid w:val="00DA0C78"/>
    <w:rsid w:val="00DA39AD"/>
    <w:rsid w:val="00DA3E37"/>
    <w:rsid w:val="00DA3FD4"/>
    <w:rsid w:val="00DA4474"/>
    <w:rsid w:val="00DA4975"/>
    <w:rsid w:val="00DA4986"/>
    <w:rsid w:val="00DA5B28"/>
    <w:rsid w:val="00DA5B8F"/>
    <w:rsid w:val="00DA5CFB"/>
    <w:rsid w:val="00DA602C"/>
    <w:rsid w:val="00DA603B"/>
    <w:rsid w:val="00DA6197"/>
    <w:rsid w:val="00DA6832"/>
    <w:rsid w:val="00DA69FE"/>
    <w:rsid w:val="00DA7804"/>
    <w:rsid w:val="00DA7BDD"/>
    <w:rsid w:val="00DB006B"/>
    <w:rsid w:val="00DB1546"/>
    <w:rsid w:val="00DB1F33"/>
    <w:rsid w:val="00DB397B"/>
    <w:rsid w:val="00DB3A5D"/>
    <w:rsid w:val="00DB43D4"/>
    <w:rsid w:val="00DB5518"/>
    <w:rsid w:val="00DB67BD"/>
    <w:rsid w:val="00DB76A7"/>
    <w:rsid w:val="00DB77BC"/>
    <w:rsid w:val="00DC0B1F"/>
    <w:rsid w:val="00DC2C7B"/>
    <w:rsid w:val="00DC2D34"/>
    <w:rsid w:val="00DC39C0"/>
    <w:rsid w:val="00DC3DD2"/>
    <w:rsid w:val="00DC5C6A"/>
    <w:rsid w:val="00DC7AAA"/>
    <w:rsid w:val="00DD0499"/>
    <w:rsid w:val="00DD0EB3"/>
    <w:rsid w:val="00DD2061"/>
    <w:rsid w:val="00DD2869"/>
    <w:rsid w:val="00DD37B2"/>
    <w:rsid w:val="00DD4DCA"/>
    <w:rsid w:val="00DD523C"/>
    <w:rsid w:val="00DD5A2A"/>
    <w:rsid w:val="00DD6A62"/>
    <w:rsid w:val="00DE0A7F"/>
    <w:rsid w:val="00DE0CEA"/>
    <w:rsid w:val="00DE1DB2"/>
    <w:rsid w:val="00DE5255"/>
    <w:rsid w:val="00DE579E"/>
    <w:rsid w:val="00DE614E"/>
    <w:rsid w:val="00DE6FF7"/>
    <w:rsid w:val="00DE7984"/>
    <w:rsid w:val="00DE7F61"/>
    <w:rsid w:val="00DF0751"/>
    <w:rsid w:val="00DF0ADB"/>
    <w:rsid w:val="00DF0D31"/>
    <w:rsid w:val="00DF1342"/>
    <w:rsid w:val="00DF1838"/>
    <w:rsid w:val="00DF246F"/>
    <w:rsid w:val="00DF2CFA"/>
    <w:rsid w:val="00DF4461"/>
    <w:rsid w:val="00DF5491"/>
    <w:rsid w:val="00DF6FE3"/>
    <w:rsid w:val="00DF72C1"/>
    <w:rsid w:val="00DF75ED"/>
    <w:rsid w:val="00DF7A24"/>
    <w:rsid w:val="00E001E7"/>
    <w:rsid w:val="00E00D1C"/>
    <w:rsid w:val="00E00D52"/>
    <w:rsid w:val="00E01F47"/>
    <w:rsid w:val="00E02EF0"/>
    <w:rsid w:val="00E04A45"/>
    <w:rsid w:val="00E04A59"/>
    <w:rsid w:val="00E04CF7"/>
    <w:rsid w:val="00E05083"/>
    <w:rsid w:val="00E052BF"/>
    <w:rsid w:val="00E0635A"/>
    <w:rsid w:val="00E070F8"/>
    <w:rsid w:val="00E07A27"/>
    <w:rsid w:val="00E07F6E"/>
    <w:rsid w:val="00E1039F"/>
    <w:rsid w:val="00E11D6F"/>
    <w:rsid w:val="00E12028"/>
    <w:rsid w:val="00E1213F"/>
    <w:rsid w:val="00E12649"/>
    <w:rsid w:val="00E1280C"/>
    <w:rsid w:val="00E14CF7"/>
    <w:rsid w:val="00E150C2"/>
    <w:rsid w:val="00E1537B"/>
    <w:rsid w:val="00E154DD"/>
    <w:rsid w:val="00E162CC"/>
    <w:rsid w:val="00E17C1B"/>
    <w:rsid w:val="00E20244"/>
    <w:rsid w:val="00E2084D"/>
    <w:rsid w:val="00E21173"/>
    <w:rsid w:val="00E21B91"/>
    <w:rsid w:val="00E21D63"/>
    <w:rsid w:val="00E22A52"/>
    <w:rsid w:val="00E23A31"/>
    <w:rsid w:val="00E23B5F"/>
    <w:rsid w:val="00E25362"/>
    <w:rsid w:val="00E25EF1"/>
    <w:rsid w:val="00E261C8"/>
    <w:rsid w:val="00E307C7"/>
    <w:rsid w:val="00E30E55"/>
    <w:rsid w:val="00E316ED"/>
    <w:rsid w:val="00E3350A"/>
    <w:rsid w:val="00E335C9"/>
    <w:rsid w:val="00E337A2"/>
    <w:rsid w:val="00E33FB2"/>
    <w:rsid w:val="00E3427A"/>
    <w:rsid w:val="00E34E0A"/>
    <w:rsid w:val="00E3771B"/>
    <w:rsid w:val="00E403DF"/>
    <w:rsid w:val="00E40FA1"/>
    <w:rsid w:val="00E41BB0"/>
    <w:rsid w:val="00E42973"/>
    <w:rsid w:val="00E451C3"/>
    <w:rsid w:val="00E4633A"/>
    <w:rsid w:val="00E47BC3"/>
    <w:rsid w:val="00E52057"/>
    <w:rsid w:val="00E535A5"/>
    <w:rsid w:val="00E53D24"/>
    <w:rsid w:val="00E5458D"/>
    <w:rsid w:val="00E5460E"/>
    <w:rsid w:val="00E56496"/>
    <w:rsid w:val="00E57A4A"/>
    <w:rsid w:val="00E609A9"/>
    <w:rsid w:val="00E6193E"/>
    <w:rsid w:val="00E62599"/>
    <w:rsid w:val="00E63A53"/>
    <w:rsid w:val="00E64C9A"/>
    <w:rsid w:val="00E64FA8"/>
    <w:rsid w:val="00E65954"/>
    <w:rsid w:val="00E65E42"/>
    <w:rsid w:val="00E67799"/>
    <w:rsid w:val="00E7072A"/>
    <w:rsid w:val="00E723B9"/>
    <w:rsid w:val="00E73629"/>
    <w:rsid w:val="00E76567"/>
    <w:rsid w:val="00E775B0"/>
    <w:rsid w:val="00E778D5"/>
    <w:rsid w:val="00E81CF3"/>
    <w:rsid w:val="00E821BD"/>
    <w:rsid w:val="00E828F0"/>
    <w:rsid w:val="00E82BB0"/>
    <w:rsid w:val="00E8444B"/>
    <w:rsid w:val="00E84D11"/>
    <w:rsid w:val="00E84E48"/>
    <w:rsid w:val="00E86A2C"/>
    <w:rsid w:val="00E86CA7"/>
    <w:rsid w:val="00E870A3"/>
    <w:rsid w:val="00E8760B"/>
    <w:rsid w:val="00E90854"/>
    <w:rsid w:val="00E90C6B"/>
    <w:rsid w:val="00E91366"/>
    <w:rsid w:val="00E91765"/>
    <w:rsid w:val="00E93499"/>
    <w:rsid w:val="00E94EAA"/>
    <w:rsid w:val="00E953ED"/>
    <w:rsid w:val="00E9574D"/>
    <w:rsid w:val="00E9598D"/>
    <w:rsid w:val="00E968DD"/>
    <w:rsid w:val="00E97D25"/>
    <w:rsid w:val="00EA1463"/>
    <w:rsid w:val="00EA1F9B"/>
    <w:rsid w:val="00EA2899"/>
    <w:rsid w:val="00EA2CD3"/>
    <w:rsid w:val="00EA34D3"/>
    <w:rsid w:val="00EA3F34"/>
    <w:rsid w:val="00EA418F"/>
    <w:rsid w:val="00EA5326"/>
    <w:rsid w:val="00EA7930"/>
    <w:rsid w:val="00EB09C0"/>
    <w:rsid w:val="00EB0AA6"/>
    <w:rsid w:val="00EB1B07"/>
    <w:rsid w:val="00EB27F9"/>
    <w:rsid w:val="00EB2975"/>
    <w:rsid w:val="00EB29EB"/>
    <w:rsid w:val="00EB2ACA"/>
    <w:rsid w:val="00EB33A1"/>
    <w:rsid w:val="00EB44CE"/>
    <w:rsid w:val="00EB4638"/>
    <w:rsid w:val="00EB56B8"/>
    <w:rsid w:val="00EB5A27"/>
    <w:rsid w:val="00EB5B87"/>
    <w:rsid w:val="00EB5C1C"/>
    <w:rsid w:val="00EB5D8E"/>
    <w:rsid w:val="00EB5EA0"/>
    <w:rsid w:val="00EB5ECB"/>
    <w:rsid w:val="00EB7532"/>
    <w:rsid w:val="00EC12EE"/>
    <w:rsid w:val="00EC22EA"/>
    <w:rsid w:val="00EC28F3"/>
    <w:rsid w:val="00EC2E63"/>
    <w:rsid w:val="00EC3252"/>
    <w:rsid w:val="00EC36BE"/>
    <w:rsid w:val="00EC3A49"/>
    <w:rsid w:val="00EC3AE0"/>
    <w:rsid w:val="00EC3BED"/>
    <w:rsid w:val="00EC4554"/>
    <w:rsid w:val="00EC4A98"/>
    <w:rsid w:val="00EC6D71"/>
    <w:rsid w:val="00EC72E3"/>
    <w:rsid w:val="00EC7355"/>
    <w:rsid w:val="00ED24FC"/>
    <w:rsid w:val="00ED2509"/>
    <w:rsid w:val="00ED298B"/>
    <w:rsid w:val="00ED3024"/>
    <w:rsid w:val="00ED3BD8"/>
    <w:rsid w:val="00ED420A"/>
    <w:rsid w:val="00ED4772"/>
    <w:rsid w:val="00ED505C"/>
    <w:rsid w:val="00ED52F0"/>
    <w:rsid w:val="00ED672F"/>
    <w:rsid w:val="00ED7539"/>
    <w:rsid w:val="00ED7FCB"/>
    <w:rsid w:val="00EE0230"/>
    <w:rsid w:val="00EE1355"/>
    <w:rsid w:val="00EE20AC"/>
    <w:rsid w:val="00EE3643"/>
    <w:rsid w:val="00EE5CF6"/>
    <w:rsid w:val="00EE5EBA"/>
    <w:rsid w:val="00EE7321"/>
    <w:rsid w:val="00EE7957"/>
    <w:rsid w:val="00EF28AA"/>
    <w:rsid w:val="00EF2EA4"/>
    <w:rsid w:val="00EF2ED2"/>
    <w:rsid w:val="00EF3A64"/>
    <w:rsid w:val="00EF3A82"/>
    <w:rsid w:val="00EF3BB2"/>
    <w:rsid w:val="00EF43EE"/>
    <w:rsid w:val="00EF5650"/>
    <w:rsid w:val="00EF569B"/>
    <w:rsid w:val="00EF6128"/>
    <w:rsid w:val="00EF6A6F"/>
    <w:rsid w:val="00EF6CA4"/>
    <w:rsid w:val="00EF7ABF"/>
    <w:rsid w:val="00F00565"/>
    <w:rsid w:val="00F00CE2"/>
    <w:rsid w:val="00F011B9"/>
    <w:rsid w:val="00F012F6"/>
    <w:rsid w:val="00F01339"/>
    <w:rsid w:val="00F01A44"/>
    <w:rsid w:val="00F02527"/>
    <w:rsid w:val="00F035C9"/>
    <w:rsid w:val="00F047C5"/>
    <w:rsid w:val="00F04E0D"/>
    <w:rsid w:val="00F0503D"/>
    <w:rsid w:val="00F05645"/>
    <w:rsid w:val="00F07053"/>
    <w:rsid w:val="00F0711C"/>
    <w:rsid w:val="00F10564"/>
    <w:rsid w:val="00F10A42"/>
    <w:rsid w:val="00F11033"/>
    <w:rsid w:val="00F13566"/>
    <w:rsid w:val="00F142B4"/>
    <w:rsid w:val="00F14F05"/>
    <w:rsid w:val="00F1582F"/>
    <w:rsid w:val="00F170E9"/>
    <w:rsid w:val="00F17CAA"/>
    <w:rsid w:val="00F20B2D"/>
    <w:rsid w:val="00F216D6"/>
    <w:rsid w:val="00F2268E"/>
    <w:rsid w:val="00F23DE0"/>
    <w:rsid w:val="00F23E9D"/>
    <w:rsid w:val="00F242FE"/>
    <w:rsid w:val="00F2482B"/>
    <w:rsid w:val="00F24B9D"/>
    <w:rsid w:val="00F25085"/>
    <w:rsid w:val="00F27B4D"/>
    <w:rsid w:val="00F27F3A"/>
    <w:rsid w:val="00F313CC"/>
    <w:rsid w:val="00F3405F"/>
    <w:rsid w:val="00F34505"/>
    <w:rsid w:val="00F34745"/>
    <w:rsid w:val="00F34F60"/>
    <w:rsid w:val="00F354B6"/>
    <w:rsid w:val="00F36C49"/>
    <w:rsid w:val="00F36CF7"/>
    <w:rsid w:val="00F370EC"/>
    <w:rsid w:val="00F376DF"/>
    <w:rsid w:val="00F40A28"/>
    <w:rsid w:val="00F41474"/>
    <w:rsid w:val="00F41C18"/>
    <w:rsid w:val="00F41F77"/>
    <w:rsid w:val="00F427E4"/>
    <w:rsid w:val="00F428FD"/>
    <w:rsid w:val="00F42C08"/>
    <w:rsid w:val="00F45253"/>
    <w:rsid w:val="00F462F5"/>
    <w:rsid w:val="00F4680C"/>
    <w:rsid w:val="00F4707B"/>
    <w:rsid w:val="00F47626"/>
    <w:rsid w:val="00F477BD"/>
    <w:rsid w:val="00F51201"/>
    <w:rsid w:val="00F513CB"/>
    <w:rsid w:val="00F52286"/>
    <w:rsid w:val="00F5262D"/>
    <w:rsid w:val="00F53AFF"/>
    <w:rsid w:val="00F5402A"/>
    <w:rsid w:val="00F548DA"/>
    <w:rsid w:val="00F55E0F"/>
    <w:rsid w:val="00F56342"/>
    <w:rsid w:val="00F5700C"/>
    <w:rsid w:val="00F6055C"/>
    <w:rsid w:val="00F62685"/>
    <w:rsid w:val="00F65676"/>
    <w:rsid w:val="00F65B5E"/>
    <w:rsid w:val="00F66D3F"/>
    <w:rsid w:val="00F67033"/>
    <w:rsid w:val="00F72406"/>
    <w:rsid w:val="00F72427"/>
    <w:rsid w:val="00F75303"/>
    <w:rsid w:val="00F75ACF"/>
    <w:rsid w:val="00F7779E"/>
    <w:rsid w:val="00F77934"/>
    <w:rsid w:val="00F77BA1"/>
    <w:rsid w:val="00F77EFB"/>
    <w:rsid w:val="00F80219"/>
    <w:rsid w:val="00F80B5D"/>
    <w:rsid w:val="00F810FD"/>
    <w:rsid w:val="00F8328A"/>
    <w:rsid w:val="00F832AB"/>
    <w:rsid w:val="00F843BD"/>
    <w:rsid w:val="00F85930"/>
    <w:rsid w:val="00F85F45"/>
    <w:rsid w:val="00F878F6"/>
    <w:rsid w:val="00F918EA"/>
    <w:rsid w:val="00F91F5C"/>
    <w:rsid w:val="00F92718"/>
    <w:rsid w:val="00F942E2"/>
    <w:rsid w:val="00F94366"/>
    <w:rsid w:val="00F94452"/>
    <w:rsid w:val="00F94826"/>
    <w:rsid w:val="00F95801"/>
    <w:rsid w:val="00F96117"/>
    <w:rsid w:val="00F962CC"/>
    <w:rsid w:val="00F96C03"/>
    <w:rsid w:val="00F97220"/>
    <w:rsid w:val="00F97C5E"/>
    <w:rsid w:val="00F97D1F"/>
    <w:rsid w:val="00FA0459"/>
    <w:rsid w:val="00FA04C7"/>
    <w:rsid w:val="00FA4271"/>
    <w:rsid w:val="00FA436B"/>
    <w:rsid w:val="00FA491B"/>
    <w:rsid w:val="00FA608D"/>
    <w:rsid w:val="00FA74E4"/>
    <w:rsid w:val="00FA7897"/>
    <w:rsid w:val="00FA7B5B"/>
    <w:rsid w:val="00FA7D0A"/>
    <w:rsid w:val="00FB1957"/>
    <w:rsid w:val="00FB1DC6"/>
    <w:rsid w:val="00FB2438"/>
    <w:rsid w:val="00FB2EFD"/>
    <w:rsid w:val="00FB33E9"/>
    <w:rsid w:val="00FB5F12"/>
    <w:rsid w:val="00FB6572"/>
    <w:rsid w:val="00FB6E9F"/>
    <w:rsid w:val="00FB785E"/>
    <w:rsid w:val="00FB7E92"/>
    <w:rsid w:val="00FC03E0"/>
    <w:rsid w:val="00FC154D"/>
    <w:rsid w:val="00FC2EE6"/>
    <w:rsid w:val="00FC4C6C"/>
    <w:rsid w:val="00FC4FE8"/>
    <w:rsid w:val="00FC6235"/>
    <w:rsid w:val="00FC62BC"/>
    <w:rsid w:val="00FC6961"/>
    <w:rsid w:val="00FD02D6"/>
    <w:rsid w:val="00FD210F"/>
    <w:rsid w:val="00FD27C1"/>
    <w:rsid w:val="00FD2F94"/>
    <w:rsid w:val="00FD34BC"/>
    <w:rsid w:val="00FD3AC9"/>
    <w:rsid w:val="00FD410A"/>
    <w:rsid w:val="00FD45D3"/>
    <w:rsid w:val="00FD61C5"/>
    <w:rsid w:val="00FD6408"/>
    <w:rsid w:val="00FD6A4B"/>
    <w:rsid w:val="00FD7EBA"/>
    <w:rsid w:val="00FE0331"/>
    <w:rsid w:val="00FE0500"/>
    <w:rsid w:val="00FE0B5F"/>
    <w:rsid w:val="00FE14CD"/>
    <w:rsid w:val="00FE240C"/>
    <w:rsid w:val="00FE28FE"/>
    <w:rsid w:val="00FE2AF7"/>
    <w:rsid w:val="00FE33E5"/>
    <w:rsid w:val="00FE37DC"/>
    <w:rsid w:val="00FE44D2"/>
    <w:rsid w:val="00FE61EF"/>
    <w:rsid w:val="00FE66A0"/>
    <w:rsid w:val="00FE68C0"/>
    <w:rsid w:val="00FE70B2"/>
    <w:rsid w:val="00FF03B7"/>
    <w:rsid w:val="00FF03FC"/>
    <w:rsid w:val="00FF0F29"/>
    <w:rsid w:val="00FF109E"/>
    <w:rsid w:val="00FF114E"/>
    <w:rsid w:val="00FF1537"/>
    <w:rsid w:val="00FF306A"/>
    <w:rsid w:val="00FF59BA"/>
    <w:rsid w:val="00FF5CF1"/>
    <w:rsid w:val="00FF6ACC"/>
    <w:rsid w:val="00FF710B"/>
    <w:rsid w:val="00FF78E1"/>
    <w:rsid w:val="00FF7B8D"/>
    <w:rsid w:val="00FF7FE1"/>
    <w:rsid w:val="02372F1F"/>
    <w:rsid w:val="027E47DC"/>
    <w:rsid w:val="031A7875"/>
    <w:rsid w:val="03D90E06"/>
    <w:rsid w:val="040845C6"/>
    <w:rsid w:val="055C5027"/>
    <w:rsid w:val="064B4707"/>
    <w:rsid w:val="06B4604F"/>
    <w:rsid w:val="075449B1"/>
    <w:rsid w:val="082315CC"/>
    <w:rsid w:val="084C1D91"/>
    <w:rsid w:val="09370ACA"/>
    <w:rsid w:val="0BEC4828"/>
    <w:rsid w:val="0C1A6D9C"/>
    <w:rsid w:val="0C61547A"/>
    <w:rsid w:val="0CA43CE5"/>
    <w:rsid w:val="0CCB6460"/>
    <w:rsid w:val="0D9621EE"/>
    <w:rsid w:val="13310BD3"/>
    <w:rsid w:val="136304E6"/>
    <w:rsid w:val="144B713C"/>
    <w:rsid w:val="164C53A8"/>
    <w:rsid w:val="167C2D49"/>
    <w:rsid w:val="18DA6866"/>
    <w:rsid w:val="1942237C"/>
    <w:rsid w:val="1B3426D8"/>
    <w:rsid w:val="1C0F255F"/>
    <w:rsid w:val="1C597F1C"/>
    <w:rsid w:val="1C946EDD"/>
    <w:rsid w:val="1CB4652E"/>
    <w:rsid w:val="1CF2284B"/>
    <w:rsid w:val="1D00159D"/>
    <w:rsid w:val="1D284F57"/>
    <w:rsid w:val="1D4A4435"/>
    <w:rsid w:val="1DEE4262"/>
    <w:rsid w:val="204B21A3"/>
    <w:rsid w:val="209033B2"/>
    <w:rsid w:val="209B0E6C"/>
    <w:rsid w:val="22590C76"/>
    <w:rsid w:val="22B62E80"/>
    <w:rsid w:val="23B03DDA"/>
    <w:rsid w:val="23F306F5"/>
    <w:rsid w:val="245665A0"/>
    <w:rsid w:val="24B2135C"/>
    <w:rsid w:val="26FB11DB"/>
    <w:rsid w:val="27EC3462"/>
    <w:rsid w:val="291F0E04"/>
    <w:rsid w:val="2AD76BDC"/>
    <w:rsid w:val="2C027343"/>
    <w:rsid w:val="2C2610B4"/>
    <w:rsid w:val="2CA3364A"/>
    <w:rsid w:val="2F2919D0"/>
    <w:rsid w:val="31701BEB"/>
    <w:rsid w:val="31BB0AAF"/>
    <w:rsid w:val="323D7C6C"/>
    <w:rsid w:val="32812593"/>
    <w:rsid w:val="33BD49B9"/>
    <w:rsid w:val="36687924"/>
    <w:rsid w:val="36FD21A7"/>
    <w:rsid w:val="375E01FA"/>
    <w:rsid w:val="3973535F"/>
    <w:rsid w:val="3A827304"/>
    <w:rsid w:val="3C5D7EA6"/>
    <w:rsid w:val="3D0E4E0E"/>
    <w:rsid w:val="3D714C6E"/>
    <w:rsid w:val="3EEC5252"/>
    <w:rsid w:val="3F23309F"/>
    <w:rsid w:val="40BD197D"/>
    <w:rsid w:val="41402C2B"/>
    <w:rsid w:val="45D1274E"/>
    <w:rsid w:val="46584C1D"/>
    <w:rsid w:val="46CF2364"/>
    <w:rsid w:val="49BE428B"/>
    <w:rsid w:val="4B2B3BF1"/>
    <w:rsid w:val="4BC41589"/>
    <w:rsid w:val="4CE208F1"/>
    <w:rsid w:val="4D661184"/>
    <w:rsid w:val="4E83123D"/>
    <w:rsid w:val="4FA2741F"/>
    <w:rsid w:val="4FAB279A"/>
    <w:rsid w:val="50483F54"/>
    <w:rsid w:val="523D1DF6"/>
    <w:rsid w:val="52C23193"/>
    <w:rsid w:val="52EA4615"/>
    <w:rsid w:val="53A0483E"/>
    <w:rsid w:val="54C71DC1"/>
    <w:rsid w:val="55BD66C6"/>
    <w:rsid w:val="578266DD"/>
    <w:rsid w:val="57A70877"/>
    <w:rsid w:val="57B45244"/>
    <w:rsid w:val="58C4334B"/>
    <w:rsid w:val="597B3B2B"/>
    <w:rsid w:val="5B823C38"/>
    <w:rsid w:val="5C4138E1"/>
    <w:rsid w:val="5C7B1749"/>
    <w:rsid w:val="5DEE145A"/>
    <w:rsid w:val="5E843541"/>
    <w:rsid w:val="5EBD78BB"/>
    <w:rsid w:val="5ED20EC3"/>
    <w:rsid w:val="5EF74C73"/>
    <w:rsid w:val="5F2E4743"/>
    <w:rsid w:val="5F3E301F"/>
    <w:rsid w:val="5F5B7001"/>
    <w:rsid w:val="628B2B19"/>
    <w:rsid w:val="63144A8C"/>
    <w:rsid w:val="63316ACA"/>
    <w:rsid w:val="65181CEF"/>
    <w:rsid w:val="6739419F"/>
    <w:rsid w:val="697B284D"/>
    <w:rsid w:val="699A46EB"/>
    <w:rsid w:val="6BBE192A"/>
    <w:rsid w:val="6CE00F36"/>
    <w:rsid w:val="6EC9405A"/>
    <w:rsid w:val="6ED93E1E"/>
    <w:rsid w:val="6F2210D2"/>
    <w:rsid w:val="746565D3"/>
    <w:rsid w:val="74793E2D"/>
    <w:rsid w:val="74C37BC5"/>
    <w:rsid w:val="78155D49"/>
    <w:rsid w:val="79A00AB5"/>
    <w:rsid w:val="7A2D39D2"/>
    <w:rsid w:val="7A5F310A"/>
    <w:rsid w:val="7B2B62C3"/>
    <w:rsid w:val="7B3F0E61"/>
    <w:rsid w:val="7DF76BA0"/>
    <w:rsid w:val="7E7C3A7C"/>
    <w:rsid w:val="7EF01556"/>
    <w:rsid w:val="7FBF27ED"/>
    <w:rsid w:val="7FFE3B29"/>
    <w:rsid w:val="7FFF734A"/>
    <w:rsid w:val="96DAEB28"/>
    <w:rsid w:val="AFF7DC18"/>
    <w:rsid w:val="D263224F"/>
    <w:rsid w:val="E977AC3D"/>
    <w:rsid w:val="EB7FAD93"/>
    <w:rsid w:val="FBFB3658"/>
    <w:rsid w:val="FEF7A58F"/>
    <w:rsid w:val="FF2D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28"/>
      <w:szCs w:val="24"/>
      <w:lang w:val="en-US" w:eastAsia="zh-CN" w:bidi="ar-SA"/>
    </w:rPr>
  </w:style>
  <w:style w:type="paragraph" w:styleId="3">
    <w:name w:val="heading 1"/>
    <w:basedOn w:val="1"/>
    <w:next w:val="1"/>
    <w:qFormat/>
    <w:uiPriority w:val="0"/>
    <w:pPr>
      <w:spacing w:line="520" w:lineRule="atLeast"/>
      <w:ind w:firstLine="560"/>
      <w:outlineLvl w:val="0"/>
    </w:pPr>
    <w:rPr>
      <w:rFonts w:ascii="黑体" w:hAnsi="黑体" w:eastAsia="黑体"/>
      <w:sz w:val="32"/>
      <w:szCs w:val="32"/>
    </w:rPr>
  </w:style>
  <w:style w:type="paragraph" w:styleId="4">
    <w:name w:val="heading 2"/>
    <w:basedOn w:val="1"/>
    <w:next w:val="1"/>
    <w:link w:val="40"/>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38"/>
    <w:semiHidden/>
    <w:unhideWhenUsed/>
    <w:qFormat/>
    <w:uiPriority w:val="0"/>
    <w:pPr>
      <w:keepNext/>
      <w:keepLines/>
      <w:spacing w:before="260" w:after="260" w:line="416" w:lineRule="auto"/>
      <w:outlineLvl w:val="2"/>
    </w:pPr>
    <w:rPr>
      <w:b/>
      <w:bCs/>
      <w:sz w:val="32"/>
      <w:szCs w:val="32"/>
    </w:rPr>
  </w:style>
  <w:style w:type="paragraph" w:styleId="6">
    <w:name w:val="heading 4"/>
    <w:basedOn w:val="1"/>
    <w:next w:val="1"/>
    <w:link w:val="27"/>
    <w:semiHidden/>
    <w:unhideWhenUsed/>
    <w:qFormat/>
    <w:uiPriority w:val="0"/>
    <w:pPr>
      <w:keepNext/>
      <w:keepLines/>
      <w:spacing w:before="280" w:after="290" w:line="376" w:lineRule="auto"/>
      <w:outlineLvl w:val="3"/>
    </w:pPr>
    <w:rPr>
      <w:rFonts w:ascii="等线 Light" w:hAnsi="等线 Light" w:eastAsia="等线 Light"/>
      <w:b/>
      <w:bCs/>
      <w:szCs w:val="28"/>
    </w:rPr>
  </w:style>
  <w:style w:type="paragraph" w:styleId="7">
    <w:name w:val="heading 5"/>
    <w:basedOn w:val="1"/>
    <w:next w:val="1"/>
    <w:link w:val="37"/>
    <w:semiHidden/>
    <w:unhideWhenUsed/>
    <w:qFormat/>
    <w:uiPriority w:val="0"/>
    <w:pPr>
      <w:keepNext/>
      <w:keepLines/>
      <w:spacing w:before="280" w:after="290" w:line="376" w:lineRule="auto"/>
      <w:outlineLvl w:val="4"/>
    </w:pPr>
    <w:rPr>
      <w:b/>
      <w:bCs/>
      <w:szCs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2">
    <w:name w:val="Body Text 2"/>
    <w:basedOn w:val="1"/>
    <w:unhideWhenUsed/>
    <w:qFormat/>
    <w:uiPriority w:val="99"/>
    <w:pPr>
      <w:spacing w:after="120" w:line="480" w:lineRule="auto"/>
    </w:pPr>
  </w:style>
  <w:style w:type="paragraph" w:styleId="8">
    <w:name w:val="annotation text"/>
    <w:basedOn w:val="1"/>
    <w:link w:val="30"/>
    <w:qFormat/>
    <w:uiPriority w:val="0"/>
    <w:pPr>
      <w:jc w:val="left"/>
    </w:pPr>
  </w:style>
  <w:style w:type="paragraph" w:styleId="9">
    <w:name w:val="Body Text Indent"/>
    <w:basedOn w:val="1"/>
    <w:link w:val="34"/>
    <w:qFormat/>
    <w:uiPriority w:val="0"/>
    <w:pPr>
      <w:spacing w:line="600" w:lineRule="exact"/>
      <w:ind w:firstLine="560" w:firstLineChars="200"/>
    </w:pPr>
    <w:rPr>
      <w:lang w:val="zh-CN"/>
    </w:rPr>
  </w:style>
  <w:style w:type="paragraph" w:styleId="10">
    <w:name w:val="Plain Text"/>
    <w:basedOn w:val="1"/>
    <w:link w:val="29"/>
    <w:qFormat/>
    <w:uiPriority w:val="0"/>
    <w:rPr>
      <w:rFonts w:ascii="宋体" w:hAnsi="Courier New" w:eastAsia="宋体" w:cs="Courier New"/>
      <w:sz w:val="21"/>
      <w:szCs w:val="21"/>
    </w:rPr>
  </w:style>
  <w:style w:type="paragraph" w:styleId="11">
    <w:name w:val="Balloon Text"/>
    <w:basedOn w:val="1"/>
    <w:link w:val="32"/>
    <w:qFormat/>
    <w:uiPriority w:val="0"/>
    <w:rPr>
      <w:sz w:val="18"/>
      <w:szCs w:val="18"/>
    </w:rPr>
  </w:style>
  <w:style w:type="paragraph" w:styleId="12">
    <w:name w:val="footer"/>
    <w:basedOn w:val="1"/>
    <w:link w:val="26"/>
    <w:qFormat/>
    <w:uiPriority w:val="99"/>
    <w:pPr>
      <w:tabs>
        <w:tab w:val="center" w:pos="4153"/>
        <w:tab w:val="right" w:pos="8306"/>
      </w:tabs>
      <w:snapToGrid w:val="0"/>
      <w:jc w:val="left"/>
    </w:pPr>
    <w:rPr>
      <w:sz w:val="18"/>
      <w:szCs w:val="18"/>
    </w:rPr>
  </w:style>
  <w:style w:type="paragraph" w:styleId="13">
    <w:name w:val="header"/>
    <w:basedOn w:val="1"/>
    <w:link w:val="25"/>
    <w:qFormat/>
    <w:uiPriority w:val="0"/>
    <w:pPr>
      <w:tabs>
        <w:tab w:val="center" w:pos="4153"/>
        <w:tab w:val="right" w:pos="8306"/>
      </w:tabs>
      <w:snapToGrid w:val="0"/>
      <w:jc w:val="center"/>
    </w:pPr>
    <w:rPr>
      <w:sz w:val="18"/>
      <w:szCs w:val="18"/>
    </w:rPr>
  </w:style>
  <w:style w:type="paragraph" w:styleId="14">
    <w:name w:val="toc 1"/>
    <w:basedOn w:val="10"/>
    <w:next w:val="10"/>
    <w:qFormat/>
    <w:uiPriority w:val="39"/>
    <w:rPr>
      <w:rFonts w:ascii="文鼎大标宋简" w:eastAsia="文鼎大标宋简" w:cs="文鼎大标宋简"/>
      <w:spacing w:val="4"/>
      <w:sz w:val="36"/>
    </w:rPr>
  </w:style>
  <w:style w:type="paragraph" w:styleId="15">
    <w:name w:val="toc 2"/>
    <w:basedOn w:val="1"/>
    <w:next w:val="1"/>
    <w:qFormat/>
    <w:uiPriority w:val="39"/>
    <w:pPr>
      <w:ind w:left="420" w:leftChars="200"/>
    </w:pPr>
  </w:style>
  <w:style w:type="paragraph" w:styleId="1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17">
    <w:name w:val="annotation subject"/>
    <w:basedOn w:val="8"/>
    <w:next w:val="8"/>
    <w:link w:val="31"/>
    <w:qFormat/>
    <w:uiPriority w:val="0"/>
    <w:rPr>
      <w:b/>
      <w:bCs/>
    </w:rPr>
  </w:style>
  <w:style w:type="table" w:styleId="19">
    <w:name w:val="Table Grid"/>
    <w:basedOn w:val="18"/>
    <w:qFormat/>
    <w:uiPriority w:val="59"/>
    <w:rPr>
      <w:rFonts w:asciiTheme="minorHAnsi" w:hAnsiTheme="minorHAnsi" w:eastAsiaTheme="minorEastAsia" w:cstheme="minorBidi"/>
      <w:kern w:val="2"/>
      <w:sz w:val="21"/>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22"/>
    <w:rPr>
      <w:b/>
      <w:bCs/>
    </w:rPr>
  </w:style>
  <w:style w:type="character" w:styleId="22">
    <w:name w:val="Emphasis"/>
    <w:basedOn w:val="20"/>
    <w:qFormat/>
    <w:uiPriority w:val="0"/>
    <w:rPr>
      <w:i/>
    </w:rPr>
  </w:style>
  <w:style w:type="character" w:styleId="23">
    <w:name w:val="Hyperlink"/>
    <w:qFormat/>
    <w:uiPriority w:val="99"/>
    <w:rPr>
      <w:color w:val="0000FF"/>
      <w:u w:val="single"/>
    </w:rPr>
  </w:style>
  <w:style w:type="character" w:styleId="24">
    <w:name w:val="annotation reference"/>
    <w:qFormat/>
    <w:uiPriority w:val="0"/>
    <w:rPr>
      <w:sz w:val="21"/>
      <w:szCs w:val="21"/>
    </w:rPr>
  </w:style>
  <w:style w:type="character" w:customStyle="1" w:styleId="25">
    <w:name w:val="页眉 字符"/>
    <w:link w:val="13"/>
    <w:qFormat/>
    <w:uiPriority w:val="0"/>
    <w:rPr>
      <w:rFonts w:ascii="Times New Roman" w:hAnsi="Times New Roman" w:eastAsia="仿宋_GB2312"/>
      <w:kern w:val="2"/>
      <w:sz w:val="18"/>
      <w:szCs w:val="18"/>
    </w:rPr>
  </w:style>
  <w:style w:type="character" w:customStyle="1" w:styleId="26">
    <w:name w:val="页脚 字符"/>
    <w:link w:val="12"/>
    <w:qFormat/>
    <w:uiPriority w:val="99"/>
    <w:rPr>
      <w:rFonts w:ascii="Times New Roman" w:hAnsi="Times New Roman" w:eastAsia="仿宋_GB2312"/>
      <w:kern w:val="2"/>
      <w:sz w:val="18"/>
      <w:szCs w:val="18"/>
    </w:rPr>
  </w:style>
  <w:style w:type="character" w:customStyle="1" w:styleId="27">
    <w:name w:val="标题 4 字符"/>
    <w:link w:val="6"/>
    <w:semiHidden/>
    <w:qFormat/>
    <w:uiPriority w:val="0"/>
    <w:rPr>
      <w:rFonts w:ascii="等线 Light" w:hAnsi="等线 Light" w:eastAsia="等线 Light" w:cs="Times New Roman"/>
      <w:b/>
      <w:bCs/>
      <w:kern w:val="2"/>
      <w:sz w:val="28"/>
      <w:szCs w:val="28"/>
    </w:rPr>
  </w:style>
  <w:style w:type="paragraph" w:customStyle="1" w:styleId="28">
    <w:name w:val="列表段落1"/>
    <w:basedOn w:val="1"/>
    <w:qFormat/>
    <w:uiPriority w:val="99"/>
    <w:pPr>
      <w:ind w:firstLine="420" w:firstLineChars="200"/>
    </w:pPr>
  </w:style>
  <w:style w:type="character" w:customStyle="1" w:styleId="29">
    <w:name w:val="纯文本 字符"/>
    <w:link w:val="10"/>
    <w:qFormat/>
    <w:uiPriority w:val="0"/>
    <w:rPr>
      <w:rFonts w:ascii="宋体" w:hAnsi="Courier New" w:cs="Courier New"/>
      <w:kern w:val="2"/>
      <w:sz w:val="21"/>
      <w:szCs w:val="21"/>
    </w:rPr>
  </w:style>
  <w:style w:type="character" w:customStyle="1" w:styleId="30">
    <w:name w:val="批注文字 字符"/>
    <w:link w:val="8"/>
    <w:qFormat/>
    <w:uiPriority w:val="0"/>
    <w:rPr>
      <w:rFonts w:ascii="Times New Roman" w:hAnsi="Times New Roman" w:eastAsia="仿宋_GB2312"/>
      <w:kern w:val="2"/>
      <w:sz w:val="28"/>
      <w:szCs w:val="24"/>
    </w:rPr>
  </w:style>
  <w:style w:type="character" w:customStyle="1" w:styleId="31">
    <w:name w:val="批注主题 字符"/>
    <w:link w:val="17"/>
    <w:qFormat/>
    <w:uiPriority w:val="0"/>
    <w:rPr>
      <w:rFonts w:ascii="Times New Roman" w:hAnsi="Times New Roman" w:eastAsia="仿宋_GB2312"/>
      <w:b/>
      <w:bCs/>
      <w:kern w:val="2"/>
      <w:sz w:val="28"/>
      <w:szCs w:val="24"/>
    </w:rPr>
  </w:style>
  <w:style w:type="character" w:customStyle="1" w:styleId="32">
    <w:name w:val="批注框文本 字符"/>
    <w:link w:val="11"/>
    <w:qFormat/>
    <w:uiPriority w:val="0"/>
    <w:rPr>
      <w:rFonts w:ascii="Times New Roman" w:hAnsi="Times New Roman" w:eastAsia="仿宋_GB2312"/>
      <w:kern w:val="2"/>
      <w:sz w:val="18"/>
      <w:szCs w:val="18"/>
    </w:rPr>
  </w:style>
  <w:style w:type="paragraph" w:customStyle="1" w:styleId="33">
    <w:name w:val="005正文"/>
    <w:qFormat/>
    <w:uiPriority w:val="0"/>
    <w:pPr>
      <w:widowControl w:val="0"/>
      <w:adjustRightInd w:val="0"/>
      <w:snapToGrid w:val="0"/>
      <w:spacing w:beforeLines="50" w:afterLines="50" w:line="360" w:lineRule="auto"/>
      <w:ind w:firstLine="200" w:firstLineChars="200"/>
      <w:jc w:val="both"/>
    </w:pPr>
    <w:rPr>
      <w:rFonts w:ascii="Times New Roman" w:hAnsi="Times New Roman" w:eastAsia="仿宋_GB2312" w:cs="Times New Roman"/>
      <w:kern w:val="2"/>
      <w:sz w:val="24"/>
      <w:szCs w:val="24"/>
      <w:lang w:val="en-US" w:eastAsia="zh-CN" w:bidi="ar-SA"/>
    </w:rPr>
  </w:style>
  <w:style w:type="character" w:customStyle="1" w:styleId="34">
    <w:name w:val="正文文本缩进 字符"/>
    <w:link w:val="9"/>
    <w:qFormat/>
    <w:uiPriority w:val="0"/>
    <w:rPr>
      <w:rFonts w:ascii="Times New Roman" w:hAnsi="Times New Roman" w:eastAsia="仿宋_GB2312"/>
      <w:kern w:val="2"/>
      <w:sz w:val="28"/>
      <w:szCs w:val="24"/>
      <w:lang w:val="zh-CN"/>
    </w:rPr>
  </w:style>
  <w:style w:type="paragraph" w:customStyle="1" w:styleId="35">
    <w:name w:val="biaogeshangbiaoti"/>
    <w:basedOn w:val="1"/>
    <w:qFormat/>
    <w:uiPriority w:val="0"/>
    <w:pPr>
      <w:widowControl/>
      <w:spacing w:before="100" w:beforeAutospacing="1" w:after="100" w:afterAutospacing="1"/>
      <w:jc w:val="left"/>
    </w:pPr>
    <w:rPr>
      <w:rFonts w:ascii="黑体" w:hAnsi="宋体" w:eastAsia="黑体" w:cs="宋体"/>
      <w:b/>
      <w:bCs/>
      <w:kern w:val="0"/>
      <w:sz w:val="54"/>
      <w:szCs w:val="54"/>
    </w:rPr>
  </w:style>
  <w:style w:type="paragraph" w:customStyle="1" w:styleId="36">
    <w:name w:val="p0"/>
    <w:basedOn w:val="1"/>
    <w:qFormat/>
    <w:uiPriority w:val="0"/>
    <w:pPr>
      <w:widowControl/>
    </w:pPr>
    <w:rPr>
      <w:rFonts w:ascii="Calibri" w:hAnsi="Calibri" w:eastAsia="宋体"/>
      <w:kern w:val="0"/>
      <w:sz w:val="21"/>
      <w:szCs w:val="21"/>
    </w:rPr>
  </w:style>
  <w:style w:type="character" w:customStyle="1" w:styleId="37">
    <w:name w:val="标题 5 字符"/>
    <w:link w:val="7"/>
    <w:semiHidden/>
    <w:qFormat/>
    <w:uiPriority w:val="0"/>
    <w:rPr>
      <w:rFonts w:ascii="Times New Roman" w:hAnsi="Times New Roman" w:eastAsia="仿宋_GB2312"/>
      <w:b/>
      <w:bCs/>
      <w:kern w:val="2"/>
      <w:sz w:val="28"/>
      <w:szCs w:val="28"/>
    </w:rPr>
  </w:style>
  <w:style w:type="character" w:customStyle="1" w:styleId="38">
    <w:name w:val="标题 3 字符"/>
    <w:link w:val="5"/>
    <w:semiHidden/>
    <w:qFormat/>
    <w:uiPriority w:val="0"/>
    <w:rPr>
      <w:rFonts w:ascii="Times New Roman" w:hAnsi="Times New Roman" w:eastAsia="仿宋_GB2312"/>
      <w:b/>
      <w:bCs/>
      <w:kern w:val="2"/>
      <w:sz w:val="32"/>
      <w:szCs w:val="32"/>
    </w:rPr>
  </w:style>
  <w:style w:type="character" w:customStyle="1" w:styleId="39">
    <w:name w:val="未处理的提及1"/>
    <w:semiHidden/>
    <w:unhideWhenUsed/>
    <w:qFormat/>
    <w:uiPriority w:val="99"/>
    <w:rPr>
      <w:color w:val="605E5C"/>
      <w:shd w:val="clear" w:color="auto" w:fill="E1DFDD"/>
    </w:rPr>
  </w:style>
  <w:style w:type="character" w:customStyle="1" w:styleId="40">
    <w:name w:val="标题 2 字符"/>
    <w:basedOn w:val="20"/>
    <w:link w:val="4"/>
    <w:qFormat/>
    <w:uiPriority w:val="0"/>
    <w:rPr>
      <w:rFonts w:asciiTheme="majorHAnsi" w:hAnsiTheme="majorHAnsi" w:eastAsiaTheme="majorEastAsia" w:cstheme="majorBidi"/>
      <w:b/>
      <w:bCs/>
      <w:kern w:val="2"/>
      <w:sz w:val="32"/>
      <w:szCs w:val="32"/>
    </w:rPr>
  </w:style>
  <w:style w:type="table" w:customStyle="1" w:styleId="41">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71</Pages>
  <Words>11611</Words>
  <Characters>12370</Characters>
  <Lines>1</Lines>
  <Paragraphs>1</Paragraphs>
  <TotalTime>0</TotalTime>
  <ScaleCrop>false</ScaleCrop>
  <LinksUpToDate>false</LinksUpToDate>
  <CharactersWithSpaces>13227</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2024-07-24T21:31:00Z</dcterms:created>
  <dc:creator>stcsm</dc:creator>
  <cp:lastModifiedBy>吴伯涛</cp:lastModifiedBy>
  <cp:lastPrinted>2024-07-19T16:21:00Z</cp:lastPrinted>
  <dcterms:modified xsi:type="dcterms:W3CDTF">2025-07-21T11:24:07Z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1B2ACF4F0EA5453B8EA70385F3ED7ACB_13</vt:lpwstr>
  </property>
  <property fmtid="{D5CDD505-2E9C-101B-9397-08002B2CF9AE}" pid="4" name="KSOTemplateDocerSaveRecord">
    <vt:lpwstr>eyJoZGlkIjoiMTI1MzUyN2Y1OTI0NGRhNzk1NDBhZTgzYWE1ZGFiNTEiLCJ1c2VySWQiOiI4NTA0Mjg2OTEifQ==</vt:lpwstr>
  </property>
</Properties>
</file>