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w:t>
      </w:r>
      <w:r>
        <w:t>便签</w:t>
      </w:r>
      <w:r>
        <w:rPr>
          <w:rFonts w:hint="eastAsia"/>
          <w:lang w:val="en-US" w:eastAsia="zh-CN"/>
        </w:rPr>
        <w:t>开源代码的</w:t>
      </w:r>
      <w:r>
        <w:t>泛读</w:t>
      </w:r>
      <w:r>
        <w:rPr>
          <w:rFonts w:hint="eastAsia"/>
        </w:rPr>
        <w:t>报告</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sz w:val="28"/>
          <w:szCs w:val="21"/>
        </w:rPr>
      </w:pPr>
      <w:r>
        <w:rPr>
          <w:rFonts w:hint="eastAsia"/>
          <w:sz w:val="28"/>
          <w:szCs w:val="21"/>
        </w:rPr>
        <w:t>列出小米便签中的类及</w:t>
      </w:r>
      <w:r>
        <w:rPr>
          <w:sz w:val="28"/>
          <w:szCs w:val="21"/>
        </w:rPr>
        <w:t>各类的主要作用</w:t>
      </w:r>
    </w:p>
    <w:p>
      <w:pPr>
        <w:pStyle w:val="10"/>
        <w:ind w:left="420" w:firstLine="0" w:firstLineChars="0"/>
        <w:jc w:val="center"/>
        <w:rPr>
          <w:b/>
        </w:rPr>
      </w:pPr>
      <w:r>
        <w:rPr>
          <w:rFonts w:hint="eastAsia"/>
          <w:b/>
        </w:rPr>
        <w:t>表1</w:t>
      </w:r>
      <w:r>
        <w:rPr>
          <w:b/>
        </w:rPr>
        <w:t xml:space="preserve"> </w:t>
      </w:r>
      <w:r>
        <w:rPr>
          <w:rFonts w:hint="eastAsia"/>
          <w:b/>
        </w:rPr>
        <w:t>小米便签的代码构成及主要作用</w:t>
      </w:r>
    </w:p>
    <w:tbl>
      <w:tblPr>
        <w:tblStyle w:val="8"/>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rPr>
                <w:rFonts w:hint="default" w:ascii="Times New Roman" w:hAnsi="Times New Roman" w:cs="Times New Roman"/>
                <w:b w:val="0"/>
                <w:bCs/>
              </w:rPr>
            </w:pPr>
            <w:r>
              <w:rPr>
                <w:rFonts w:hint="default" w:ascii="Times New Roman" w:hAnsi="Times New Roman" w:cs="Times New Roman"/>
                <w:b w:val="0"/>
                <w:bCs/>
              </w:rPr>
              <w:t>包</w:t>
            </w:r>
          </w:p>
        </w:tc>
        <w:tc>
          <w:tcPr>
            <w:tcW w:w="995" w:type="dxa"/>
          </w:tcPr>
          <w:p>
            <w:pPr>
              <w:rPr>
                <w:rFonts w:hint="default" w:ascii="Times New Roman" w:hAnsi="Times New Roman" w:cs="Times New Roman"/>
                <w:b w:val="0"/>
                <w:bCs/>
              </w:rPr>
            </w:pPr>
            <w:r>
              <w:rPr>
                <w:rFonts w:hint="default" w:ascii="Times New Roman" w:hAnsi="Times New Roman" w:cs="Times New Roman"/>
                <w:b w:val="0"/>
                <w:bCs/>
              </w:rPr>
              <w:t>子包</w:t>
            </w: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类</w:t>
            </w:r>
          </w:p>
        </w:tc>
        <w:tc>
          <w:tcPr>
            <w:tcW w:w="4804" w:type="dxa"/>
          </w:tcPr>
          <w:p>
            <w:pP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spacing w:line="720" w:lineRule="auto"/>
              <w:ind w:firstLine="210" w:firstLineChars="100"/>
              <w:rPr>
                <w:rFonts w:hint="default" w:ascii="Times New Roman" w:hAnsi="Times New Roman" w:cs="Times New Roman"/>
                <w:b w:val="0"/>
                <w:bCs/>
              </w:rPr>
            </w:pPr>
            <w:r>
              <w:rPr>
                <w:rFonts w:hint="default" w:ascii="Times New Roman" w:hAnsi="Times New Roman" w:cs="Times New Roman"/>
                <w:b w:val="0"/>
                <w:bCs/>
              </w:rPr>
              <w:t>data</w:t>
            </w:r>
          </w:p>
        </w:tc>
        <w:tc>
          <w:tcPr>
            <w:tcW w:w="995" w:type="dxa"/>
            <w:vMerge w:val="restart"/>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contact</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存储联系人信息的数据库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Notes</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负责存储便签数据和相关属性的数据库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NotesDatabaseHelper</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辅助创建和处理数据库条目的帮助类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NotesProvider</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提供便签信息的类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hint="default" w:ascii="Times New Roman" w:hAnsi="Times New Roman" w:cs="Times New Roman"/>
                <w:b w:val="0"/>
                <w:bCs/>
              </w:rPr>
            </w:pPr>
          </w:p>
          <w:p>
            <w:pPr>
              <w:rPr>
                <w:rFonts w:hint="default" w:ascii="Times New Roman" w:hAnsi="Times New Roman" w:cs="Times New Roman"/>
                <w:b w:val="0"/>
                <w:bCs/>
              </w:rPr>
            </w:pPr>
          </w:p>
          <w:p>
            <w:pPr>
              <w:rPr>
                <w:rFonts w:hint="default" w:ascii="Times New Roman" w:hAnsi="Times New Roman" w:cs="Times New Roman"/>
                <w:b w:val="0"/>
                <w:bCs/>
              </w:rPr>
            </w:pPr>
          </w:p>
          <w:p>
            <w:pPr>
              <w:ind w:firstLine="210" w:firstLineChars="100"/>
              <w:rPr>
                <w:rFonts w:hint="default" w:ascii="Times New Roman" w:hAnsi="Times New Roman" w:cs="Times New Roman"/>
                <w:b w:val="0"/>
                <w:bCs/>
              </w:rPr>
            </w:pPr>
          </w:p>
          <w:p>
            <w:pPr>
              <w:ind w:firstLine="210" w:firstLineChars="100"/>
              <w:rPr>
                <w:rFonts w:hint="default" w:ascii="Times New Roman" w:hAnsi="Times New Roman" w:cs="Times New Roman"/>
                <w:b w:val="0"/>
                <w:bCs/>
              </w:rPr>
            </w:pPr>
          </w:p>
          <w:p>
            <w:pPr>
              <w:ind w:firstLine="210" w:firstLineChars="100"/>
              <w:rPr>
                <w:rFonts w:hint="default" w:ascii="Times New Roman" w:hAnsi="Times New Roman" w:cs="Times New Roman"/>
                <w:b w:val="0"/>
                <w:bCs/>
              </w:rPr>
            </w:pPr>
          </w:p>
          <w:p>
            <w:pPr>
              <w:ind w:firstLine="210" w:firstLineChars="100"/>
              <w:rPr>
                <w:rFonts w:hint="default" w:ascii="Times New Roman" w:hAnsi="Times New Roman" w:cs="Times New Roman"/>
                <w:b w:val="0"/>
                <w:bCs/>
              </w:rPr>
            </w:pPr>
            <w:r>
              <w:rPr>
                <w:rFonts w:hint="default" w:ascii="Times New Roman" w:hAnsi="Times New Roman" w:cs="Times New Roman"/>
                <w:b w:val="0"/>
                <w:bCs/>
              </w:rPr>
              <w:t>Gtask</w:t>
            </w:r>
          </w:p>
        </w:tc>
        <w:tc>
          <w:tcPr>
            <w:tcW w:w="995" w:type="dxa"/>
            <w:vMerge w:val="restart"/>
          </w:tcPr>
          <w:p>
            <w:pPr>
              <w:rPr>
                <w:rFonts w:hint="default" w:ascii="Times New Roman" w:hAnsi="Times New Roman" w:cs="Times New Roman"/>
                <w:b w:val="0"/>
                <w:bCs/>
              </w:rPr>
            </w:pPr>
          </w:p>
          <w:p>
            <w:pPr>
              <w:rPr>
                <w:rFonts w:hint="default" w:ascii="Times New Roman" w:hAnsi="Times New Roman" w:cs="Times New Roman"/>
                <w:b w:val="0"/>
                <w:bCs/>
              </w:rPr>
            </w:pPr>
          </w:p>
          <w:p>
            <w:pPr>
              <w:rPr>
                <w:rFonts w:hint="default" w:ascii="Times New Roman" w:hAnsi="Times New Roman" w:cs="Times New Roman"/>
                <w:b w:val="0"/>
                <w:bCs/>
              </w:rPr>
            </w:pPr>
          </w:p>
          <w:p>
            <w:pPr>
              <w:ind w:firstLine="210" w:firstLineChars="100"/>
              <w:rPr>
                <w:rFonts w:hint="default" w:ascii="Times New Roman" w:hAnsi="Times New Roman" w:cs="Times New Roman"/>
                <w:b w:val="0"/>
                <w:bCs/>
              </w:rPr>
            </w:pPr>
            <w:r>
              <w:rPr>
                <w:rFonts w:hint="default" w:ascii="Times New Roman" w:hAnsi="Times New Roman" w:cs="Times New Roman"/>
                <w:b w:val="0"/>
                <w:bCs/>
              </w:rPr>
              <w:t>data</w:t>
            </w: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MetaData</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用于存储同步任务元数据的类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Node</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管理同步任务的结点，负责配置和保存同步操作信息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SqlData</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包含数据库基本数据的类，提供读取、获取和提交数据的方法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tcPr>
          <w:p>
            <w:pPr>
              <w:rPr>
                <w:rFonts w:hint="default" w:ascii="Times New Roman" w:hAnsi="Times New Roman" w:cs="Times New Roman"/>
                <w:b w:val="0"/>
                <w:bCs/>
              </w:rPr>
            </w:pPr>
            <w:r>
              <w:rPr>
                <w:rFonts w:hint="default" w:ascii="Times New Roman" w:hAnsi="Times New Roman" w:cs="Times New Roman"/>
                <w:b w:val="0"/>
                <w:bCs/>
              </w:rPr>
              <w:t>SqlNode</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包含便签数据库数据的类，提供读取、获取、设置和提交便签数据的方法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Task</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负责将创建、更新和同步操作封装为JSON对象的同步任务类，用于设置、获取同步信息和实现本地与远程同步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tcPr>
          <w:p>
            <w:pPr>
              <w:rPr>
                <w:rFonts w:hint="default" w:ascii="Times New Roman" w:hAnsi="Times New Roman" w:cs="Times New Roman"/>
                <w:b w:val="0"/>
                <w:bCs/>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TaskList</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将Task对象组织为同步任务列表的类，用于管理同步任务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restart"/>
            <w:vAlign w:val="center"/>
          </w:tcPr>
          <w:p>
            <w:pPr>
              <w:rPr>
                <w:rFonts w:hint="default" w:ascii="Times New Roman" w:hAnsi="Times New Roman" w:cs="Times New Roman"/>
                <w:b w:val="0"/>
                <w:bCs/>
              </w:rPr>
            </w:pPr>
            <w:r>
              <w:rPr>
                <w:rFonts w:hint="default" w:ascii="Times New Roman" w:hAnsi="Times New Roman" w:cs="Times New Roman"/>
                <w:b w:val="0"/>
                <w:bCs/>
              </w:rPr>
              <w:t>exception</w:t>
            </w: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表示操作失败的异常类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表示网络失败的异常类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restart"/>
            <w:vAlign w:val="center"/>
          </w:tcPr>
          <w:p>
            <w:pPr>
              <w:widowControl/>
              <w:jc w:val="left"/>
              <w:textAlignment w:val="center"/>
              <w:rPr>
                <w:rFonts w:hint="default" w:ascii="Times New Roman" w:hAnsi="Times New Roman" w:eastAsia="等线" w:cs="Times New Roman"/>
                <w:b w:val="0"/>
                <w:bCs/>
                <w:color w:val="000000"/>
                <w:kern w:val="0"/>
                <w:sz w:val="22"/>
                <w:lang w:bidi="ar"/>
              </w:rPr>
            </w:pPr>
            <w:r>
              <w:rPr>
                <w:rFonts w:hint="default" w:ascii="Times New Roman" w:hAnsi="Times New Roman" w:cs="Times New Roman"/>
                <w:b w:val="0"/>
                <w:bCs/>
              </w:rPr>
              <w:t>remote</w:t>
            </w: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GTaskASyncTask</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执行GTask异步操作的类，包括任务同步、取消，以及显示进程、通知和结果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GTaskClient</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GTask客户端类，提供登录Google账户、创建任务、任务列表、添加、删除结点、提交更新和获取任务列表等功能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GTaskManager</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 xml:space="preserve">负责管理GTask的类，提供同步本地与远端任务、初始化任务列表、同步内容、文件夹、添加、更新本地和远端结点、刷新本地同步任务ID等功能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GTaskSyncService</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提供GTask同步服务的类（包括开始、取消同步），以及发送广播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b w:val="0"/>
                <w:bCs/>
              </w:rPr>
            </w:pPr>
            <w:r>
              <w:rPr>
                <w:rFonts w:hint="default" w:ascii="Times New Roman" w:hAnsi="Times New Roman" w:cs="Times New Roman"/>
                <w:b w:val="0"/>
                <w:bCs/>
              </w:rPr>
              <w:t>model</w:t>
            </w:r>
          </w:p>
        </w:tc>
        <w:tc>
          <w:tcPr>
            <w:tcW w:w="995" w:type="dxa"/>
            <w:vMerge w:val="restart"/>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表示单个便签项的类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ind w:firstLine="210" w:firstLineChars="100"/>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WorkingNote</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表示当前正在编辑的便签项的类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b w:val="0"/>
                <w:bCs/>
              </w:rPr>
            </w:pPr>
            <w:r>
              <w:rPr>
                <w:rFonts w:hint="default" w:ascii="Times New Roman" w:hAnsi="Times New Roman" w:cs="Times New Roman"/>
                <w:b w:val="0"/>
                <w:bCs/>
              </w:rPr>
              <w:t>tool</w:t>
            </w:r>
          </w:p>
        </w:tc>
        <w:tc>
          <w:tcPr>
            <w:tcW w:w="995" w:type="dxa"/>
            <w:vMerge w:val="restart"/>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BackupUtils</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数据备份工具类，负责备份数据的读取和展示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DataUtils</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便签数据处理工具类，提供查找、移动、删除数据等操作功能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GTaskStringUtils</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同步中使用的字符串工具类，为jsonObject提供string对象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ResourceParser</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资源解析工具类，借助R.java类获取并提供程序所需资源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b w:val="0"/>
                <w:bCs/>
              </w:rPr>
            </w:pPr>
            <w:r>
              <w:rPr>
                <w:rFonts w:hint="default" w:ascii="Times New Roman" w:hAnsi="Times New Roman" w:cs="Times New Roman"/>
                <w:b w:val="0"/>
                <w:bCs/>
              </w:rPr>
              <w:t>ui</w:t>
            </w:r>
          </w:p>
        </w:tc>
        <w:tc>
          <w:tcPr>
            <w:tcW w:w="995" w:type="dxa"/>
            <w:vMerge w:val="restart"/>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AlarmAlertActivity</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闹铃提醒界面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AlarmInitReceiver</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闹铃提醒启动消息接收器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AlarmReceiver</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闹铃提醒接收器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DateTimePicker</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 xml:space="preserve">设置提醒时间的部件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DateTimePickerDialog</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设置提醒时间的对话框界面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DropdownMenu</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下拉菜单界面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FoldersListAdapter</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文件夹列表链接器（链接数据库）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NoteEditActivity</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便签编辑活动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NoteEditText</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便签的文本编辑界面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NoteItemData</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NotesListActivity</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处理文件夹列表的主活动界面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NotesListAdapter</w:t>
            </w:r>
          </w:p>
        </w:tc>
        <w:tc>
          <w:tcPr>
            <w:tcW w:w="4804" w:type="dxa"/>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便签列表链接器（链接数据库）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NotesListItem</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便签列表项目类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NotesPreferenceActivity</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桌面小部件提供者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b w:val="0"/>
                <w:bCs/>
              </w:rPr>
            </w:pPr>
            <w:r>
              <w:rPr>
                <w:rFonts w:hint="default" w:ascii="Times New Roman" w:hAnsi="Times New Roman" w:cs="Times New Roman"/>
                <w:b w:val="0"/>
                <w:bCs/>
              </w:rPr>
              <w:t>widget</w:t>
            </w:r>
          </w:p>
        </w:tc>
        <w:tc>
          <w:tcPr>
            <w:tcW w:w="995" w:type="dxa"/>
            <w:vMerge w:val="restart"/>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NoteWidgetProvider</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桌面小部件提供者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NoteWidgetProvider_2x</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2倍尺寸桌面小部件提供者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b w:val="0"/>
                <w:bCs/>
              </w:rPr>
            </w:pPr>
          </w:p>
        </w:tc>
        <w:tc>
          <w:tcPr>
            <w:tcW w:w="995" w:type="dxa"/>
            <w:vMerge w:val="continue"/>
            <w:vAlign w:val="center"/>
          </w:tcPr>
          <w:p>
            <w:pPr>
              <w:widowControl/>
              <w:jc w:val="left"/>
              <w:textAlignment w:val="center"/>
              <w:rPr>
                <w:rFonts w:hint="default" w:ascii="Times New Roman" w:hAnsi="Times New Roman" w:eastAsia="等线" w:cs="Times New Roman"/>
                <w:b w:val="0"/>
                <w:bCs/>
                <w:color w:val="000000"/>
                <w:kern w:val="0"/>
                <w:sz w:val="22"/>
                <w:lang w:bidi="ar"/>
              </w:rPr>
            </w:pPr>
          </w:p>
        </w:tc>
        <w:tc>
          <w:tcPr>
            <w:tcW w:w="2361" w:type="dxa"/>
            <w:vAlign w:val="center"/>
          </w:tcPr>
          <w:p>
            <w:pPr>
              <w:rPr>
                <w:rFonts w:hint="default" w:ascii="Times New Roman" w:hAnsi="Times New Roman" w:cs="Times New Roman"/>
                <w:b w:val="0"/>
                <w:bCs/>
              </w:rPr>
            </w:pPr>
            <w:r>
              <w:rPr>
                <w:rFonts w:hint="default" w:ascii="Times New Roman" w:hAnsi="Times New Roman" w:cs="Times New Roman"/>
                <w:b w:val="0"/>
                <w:bCs/>
              </w:rPr>
              <w:t>NoteWidgetProvider_4x</w:t>
            </w:r>
          </w:p>
        </w:tc>
        <w:tc>
          <w:tcPr>
            <w:tcW w:w="4804" w:type="dxa"/>
            <w:vAlign w:val="center"/>
          </w:tcPr>
          <w:p>
            <w:pPr>
              <w:rPr>
                <w:rFonts w:hint="eastAsia" w:asciiTheme="minorEastAsia" w:hAnsiTheme="minorEastAsia" w:eastAsiaTheme="minorEastAsia" w:cstheme="minorEastAsia"/>
                <w:b w:val="0"/>
                <w:bCs/>
                <w:color w:val="000000"/>
                <w:kern w:val="0"/>
                <w:sz w:val="22"/>
                <w:lang w:bidi="ar"/>
              </w:rPr>
            </w:pPr>
            <w:r>
              <w:rPr>
                <w:rFonts w:hint="eastAsia" w:asciiTheme="minorEastAsia" w:hAnsiTheme="minorEastAsia" w:eastAsiaTheme="minorEastAsia" w:cstheme="minorEastAsia"/>
                <w:b w:val="0"/>
                <w:bCs/>
                <w:color w:val="000000"/>
                <w:kern w:val="0"/>
                <w:sz w:val="22"/>
                <w:lang w:bidi="ar"/>
              </w:rPr>
              <w:t>4倍尺寸桌面小部件提供者</w:t>
            </w:r>
          </w:p>
        </w:tc>
      </w:tr>
    </w:tbl>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类间关系图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p>
    <w:p>
      <w:pPr>
        <w:jc w:val="center"/>
        <w:rPr>
          <w:b/>
        </w:rPr>
      </w:pPr>
      <w:r>
        <w:drawing>
          <wp:inline distT="0" distB="0" distL="0" distR="0">
            <wp:extent cx="4116705" cy="48920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16705" cy="4892040"/>
                    </a:xfrm>
                    <a:prstGeom prst="rect">
                      <a:avLst/>
                    </a:prstGeom>
                  </pic:spPr>
                </pic:pic>
              </a:graphicData>
            </a:graphic>
          </wp:inline>
        </w:drawing>
      </w:r>
    </w:p>
    <w:p>
      <w:pPr>
        <w:jc w:val="center"/>
        <w:rPr>
          <w:b/>
        </w:rPr>
      </w:pPr>
      <w:r>
        <w:rPr>
          <w:rFonts w:hint="eastAsia"/>
          <w:b/>
        </w:rPr>
        <w:t>图</w:t>
      </w:r>
      <w:r>
        <w:rPr>
          <w:rFonts w:hint="eastAsia"/>
          <w:b/>
          <w:lang w:val="en-US" w:eastAsia="zh-CN"/>
        </w:rPr>
        <w:t>1.</w:t>
      </w:r>
      <w:r>
        <w:rPr>
          <w:b/>
        </w:rPr>
        <w:t xml:space="preserve"> </w:t>
      </w:r>
      <w:r>
        <w:rPr>
          <w:rFonts w:hint="eastAsia"/>
          <w:b/>
        </w:rPr>
        <w:t>小米便签体系结构图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cstheme="minorEastAsia"/>
          <w:lang w:eastAsia="zh-CN"/>
        </w:rPr>
      </w:pPr>
      <w:r>
        <w:rPr>
          <w:rFonts w:hint="eastAsia" w:asciiTheme="minorEastAsia" w:hAnsiTheme="minorEastAsia" w:eastAsiaTheme="minorEastAsia" w:cstheme="minorEastAsia"/>
        </w:rPr>
        <w:t>下</w:t>
      </w:r>
      <w:r>
        <w:rPr>
          <w:rFonts w:hint="eastAsia" w:asciiTheme="minorEastAsia" w:hAnsiTheme="minorEastAsia" w:cstheme="minorEastAsia"/>
          <w:lang w:val="en-US" w:eastAsia="zh-CN"/>
        </w:rPr>
        <w:t>图进一步描述了各个包中</w:t>
      </w:r>
      <w:r>
        <w:rPr>
          <w:rFonts w:hint="eastAsia" w:asciiTheme="minorEastAsia" w:hAnsiTheme="minorEastAsia" w:eastAsiaTheme="minorEastAsia" w:cstheme="minorEastAsia"/>
        </w:rPr>
        <w:t>类</w:t>
      </w:r>
      <w:r>
        <w:rPr>
          <w:rFonts w:hint="eastAsia" w:asciiTheme="minorEastAsia" w:hAnsiTheme="minorEastAsia" w:cstheme="minorEastAsia"/>
          <w:lang w:val="en-US" w:eastAsia="zh-CN"/>
        </w:rPr>
        <w:t>间的</w:t>
      </w:r>
      <w:r>
        <w:rPr>
          <w:rFonts w:hint="eastAsia" w:asciiTheme="minorEastAsia" w:hAnsiTheme="minorEastAsia" w:eastAsiaTheme="minorEastAsia" w:cstheme="minorEastAsia"/>
        </w:rPr>
        <w:t>关系</w:t>
      </w:r>
      <w:r>
        <w:rPr>
          <w:rFonts w:hint="eastAsia" w:asciiTheme="minorEastAsia" w:hAnsiTheme="minorEastAsia" w:cstheme="minor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Theme="minorEastAsia" w:hAnsiTheme="minorEastAsia" w:cstheme="minorEastAsia"/>
          <w:lang w:eastAsia="zh-CN"/>
        </w:rPr>
      </w:pPr>
      <w:r>
        <w:rPr>
          <w:rFonts w:hint="eastAsia" w:asciiTheme="minorEastAsia" w:hAnsiTheme="minorEastAsia" w:cstheme="minorEastAsia"/>
          <w:lang w:eastAsia="zh-CN"/>
        </w:rPr>
        <w:drawing>
          <wp:inline distT="0" distB="0" distL="114300" distR="114300">
            <wp:extent cx="3166110" cy="2261870"/>
            <wp:effectExtent l="0" t="0" r="5715" b="5080"/>
            <wp:docPr id="9" name="图片 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1"/>
                    <pic:cNvPicPr>
                      <a:picLocks noChangeAspect="1"/>
                    </pic:cNvPicPr>
                  </pic:nvPicPr>
                  <pic:blipFill>
                    <a:blip r:embed="rId5"/>
                    <a:stretch>
                      <a:fillRect/>
                    </a:stretch>
                  </pic:blipFill>
                  <pic:spPr>
                    <a:xfrm>
                      <a:off x="0" y="0"/>
                      <a:ext cx="3166110" cy="2261870"/>
                    </a:xfrm>
                    <a:prstGeom prst="rect">
                      <a:avLst/>
                    </a:prstGeom>
                  </pic:spPr>
                </pic:pic>
              </a:graphicData>
            </a:graphic>
          </wp:inline>
        </w:drawing>
      </w:r>
    </w:p>
    <w:p>
      <w:pPr>
        <w:jc w:val="center"/>
        <w:rPr>
          <w:b/>
        </w:rPr>
      </w:pPr>
    </w:p>
    <w:p>
      <w:pPr>
        <w:jc w:val="center"/>
        <w:rPr>
          <w:b/>
        </w:rPr>
      </w:pPr>
      <w:r>
        <w:rPr>
          <w:rFonts w:hint="eastAsia"/>
          <w:b/>
        </w:rPr>
        <w:t>图</w:t>
      </w:r>
      <w:r>
        <w:rPr>
          <w:rFonts w:hint="eastAsia"/>
          <w:b/>
          <w:lang w:val="en-US" w:eastAsia="zh-CN"/>
        </w:rPr>
        <w:t>2.</w:t>
      </w:r>
      <w:r>
        <w:rPr>
          <w:b/>
        </w:rPr>
        <w:t xml:space="preserve"> </w:t>
      </w:r>
      <w:r>
        <w:rPr>
          <w:rFonts w:hint="eastAsia"/>
          <w:b/>
          <w:lang w:val="en-US" w:eastAsia="zh-CN"/>
        </w:rPr>
        <w:t xml:space="preserve"> </w:t>
      </w:r>
      <w:r>
        <w:rPr>
          <w:rFonts w:hint="eastAsia"/>
          <w:b/>
        </w:rPr>
        <w:t>data包</w:t>
      </w:r>
      <w:r>
        <w:rPr>
          <w:rFonts w:hint="eastAsia"/>
          <w:b/>
          <w:lang w:val="en-US" w:eastAsia="zh-CN"/>
        </w:rPr>
        <w:t>中类间</w:t>
      </w:r>
      <w:r>
        <w:rPr>
          <w:rFonts w:hint="eastAsia"/>
          <w:b/>
        </w:rPr>
        <w:t>的关系图</w:t>
      </w:r>
    </w:p>
    <w:p>
      <w:pPr>
        <w:jc w:val="center"/>
        <w:rPr>
          <w:b/>
        </w:rPr>
      </w:pPr>
    </w:p>
    <w:p>
      <w:pPr>
        <w:jc w:val="center"/>
        <w:rPr>
          <w:rFonts w:hint="eastAsia" w:eastAsiaTheme="minorEastAsia"/>
          <w:b/>
          <w:lang w:eastAsia="zh-CN"/>
        </w:rPr>
      </w:pPr>
      <w:r>
        <w:rPr>
          <w:rFonts w:hint="eastAsia" w:eastAsiaTheme="minorEastAsia"/>
          <w:b/>
          <w:lang w:eastAsia="zh-CN"/>
        </w:rPr>
        <w:drawing>
          <wp:inline distT="0" distB="0" distL="114300" distR="114300">
            <wp:extent cx="3674110" cy="2148840"/>
            <wp:effectExtent l="0" t="0" r="2540" b="3810"/>
            <wp:docPr id="10" name="图片 10"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2"/>
                    <pic:cNvPicPr>
                      <a:picLocks noChangeAspect="1"/>
                    </pic:cNvPicPr>
                  </pic:nvPicPr>
                  <pic:blipFill>
                    <a:blip r:embed="rId6"/>
                    <a:stretch>
                      <a:fillRect/>
                    </a:stretch>
                  </pic:blipFill>
                  <pic:spPr>
                    <a:xfrm>
                      <a:off x="0" y="0"/>
                      <a:ext cx="3674110" cy="2148840"/>
                    </a:xfrm>
                    <a:prstGeom prst="rect">
                      <a:avLst/>
                    </a:prstGeom>
                  </pic:spPr>
                </pic:pic>
              </a:graphicData>
            </a:graphic>
          </wp:inline>
        </w:drawing>
      </w:r>
      <w:r>
        <w:rPr>
          <w:rFonts w:hint="eastAsia" w:eastAsiaTheme="minorEastAsia"/>
          <w:b/>
          <w:lang w:eastAsia="zh-CN"/>
        </w:rPr>
        <w:drawing>
          <wp:inline distT="0" distB="0" distL="114300" distR="114300">
            <wp:extent cx="3058160" cy="2216150"/>
            <wp:effectExtent l="0" t="0" r="8890" b="3175"/>
            <wp:docPr id="11" name="图片 1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3"/>
                    <pic:cNvPicPr>
                      <a:picLocks noChangeAspect="1"/>
                    </pic:cNvPicPr>
                  </pic:nvPicPr>
                  <pic:blipFill>
                    <a:blip r:embed="rId7"/>
                    <a:stretch>
                      <a:fillRect/>
                    </a:stretch>
                  </pic:blipFill>
                  <pic:spPr>
                    <a:xfrm>
                      <a:off x="0" y="0"/>
                      <a:ext cx="3058160" cy="221615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3.</w:t>
      </w:r>
      <w:r>
        <w:rPr>
          <w:rFonts w:hint="eastAsia"/>
          <w:b/>
        </w:rPr>
        <w:t xml:space="preserve"> </w:t>
      </w:r>
      <w:r>
        <w:rPr>
          <w:rFonts w:hint="eastAsia"/>
          <w:b/>
          <w:lang w:val="en-US" w:eastAsia="zh-CN"/>
        </w:rPr>
        <w:t xml:space="preserve"> </w:t>
      </w:r>
      <w:r>
        <w:rPr>
          <w:rFonts w:hint="eastAsia"/>
          <w:b/>
        </w:rPr>
        <w:t>gtask包</w:t>
      </w:r>
      <w:r>
        <w:rPr>
          <w:rFonts w:hint="eastAsia"/>
          <w:b/>
          <w:lang w:val="en-US" w:eastAsia="zh-CN"/>
        </w:rPr>
        <w:t>中类间的</w:t>
      </w:r>
      <w:r>
        <w:rPr>
          <w:rFonts w:hint="eastAsia"/>
          <w:b/>
        </w:rPr>
        <w:t>关系图</w:t>
      </w:r>
    </w:p>
    <w:p>
      <w:pPr>
        <w:jc w:val="center"/>
        <w:rPr>
          <w:rFonts w:hint="eastAsia" w:eastAsiaTheme="minorEastAsia"/>
          <w:b/>
          <w:lang w:eastAsia="zh-CN"/>
        </w:rPr>
      </w:pPr>
      <w:r>
        <w:rPr>
          <w:rFonts w:hint="eastAsia" w:eastAsiaTheme="minorEastAsia"/>
          <w:b/>
          <w:lang w:eastAsia="zh-CN"/>
        </w:rPr>
        <w:drawing>
          <wp:inline distT="0" distB="0" distL="114300" distR="114300">
            <wp:extent cx="3516630" cy="1687195"/>
            <wp:effectExtent l="0" t="0" r="7620" b="8255"/>
            <wp:docPr id="13" name="图片 13"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5"/>
                    <pic:cNvPicPr>
                      <a:picLocks noChangeAspect="1"/>
                    </pic:cNvPicPr>
                  </pic:nvPicPr>
                  <pic:blipFill>
                    <a:blip r:embed="rId8"/>
                    <a:stretch>
                      <a:fillRect/>
                    </a:stretch>
                  </pic:blipFill>
                  <pic:spPr>
                    <a:xfrm>
                      <a:off x="0" y="0"/>
                      <a:ext cx="3516630" cy="1687195"/>
                    </a:xfrm>
                    <a:prstGeom prst="rect">
                      <a:avLst/>
                    </a:prstGeom>
                  </pic:spPr>
                </pic:pic>
              </a:graphicData>
            </a:graphic>
          </wp:inline>
        </w:drawing>
      </w:r>
    </w:p>
    <w:p>
      <w:pPr>
        <w:jc w:val="center"/>
        <w:rPr>
          <w:b/>
        </w:rPr>
      </w:pPr>
      <w:r>
        <w:rPr>
          <w:rFonts w:hint="eastAsia"/>
          <w:b/>
        </w:rPr>
        <w:t>图</w:t>
      </w:r>
      <w:r>
        <w:rPr>
          <w:rFonts w:hint="eastAsia"/>
          <w:b/>
          <w:lang w:val="en-US" w:eastAsia="zh-CN"/>
        </w:rPr>
        <w:t>4.</w:t>
      </w:r>
      <w:r>
        <w:rPr>
          <w:b/>
        </w:rPr>
        <w:t xml:space="preserve"> </w:t>
      </w:r>
      <w:r>
        <w:rPr>
          <w:rFonts w:hint="eastAsia"/>
          <w:b/>
        </w:rPr>
        <w:t>model包</w:t>
      </w:r>
      <w:r>
        <w:rPr>
          <w:rFonts w:hint="eastAsia"/>
          <w:b/>
          <w:lang w:val="en-US" w:eastAsia="zh-CN"/>
        </w:rPr>
        <w:t>中类间的</w:t>
      </w:r>
      <w:r>
        <w:rPr>
          <w:rFonts w:hint="eastAsia"/>
          <w:b/>
        </w:rPr>
        <w:t>关系图</w:t>
      </w:r>
    </w:p>
    <w:p>
      <w:pPr>
        <w:jc w:val="center"/>
        <w:rPr>
          <w:rFonts w:hint="eastAsia" w:eastAsiaTheme="minorEastAsia"/>
          <w:b/>
          <w:lang w:eastAsia="zh-CN"/>
        </w:rPr>
      </w:pPr>
      <w:r>
        <w:rPr>
          <w:rFonts w:hint="eastAsia" w:eastAsiaTheme="minorEastAsia"/>
          <w:b/>
          <w:lang w:eastAsia="zh-CN"/>
        </w:rPr>
        <w:drawing>
          <wp:inline distT="0" distB="0" distL="114300" distR="114300">
            <wp:extent cx="3018155" cy="2106295"/>
            <wp:effectExtent l="0" t="0" r="1270" b="8255"/>
            <wp:docPr id="14" name="图片 14"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6"/>
                    <pic:cNvPicPr>
                      <a:picLocks noChangeAspect="1"/>
                    </pic:cNvPicPr>
                  </pic:nvPicPr>
                  <pic:blipFill>
                    <a:blip r:embed="rId9"/>
                    <a:stretch>
                      <a:fillRect/>
                    </a:stretch>
                  </pic:blipFill>
                  <pic:spPr>
                    <a:xfrm>
                      <a:off x="0" y="0"/>
                      <a:ext cx="3018155" cy="2106295"/>
                    </a:xfrm>
                    <a:prstGeom prst="rect">
                      <a:avLst/>
                    </a:prstGeom>
                  </pic:spPr>
                </pic:pic>
              </a:graphicData>
            </a:graphic>
          </wp:inline>
        </w:drawing>
      </w:r>
    </w:p>
    <w:p>
      <w:pPr>
        <w:jc w:val="center"/>
        <w:rPr>
          <w:b/>
        </w:rPr>
      </w:pPr>
      <w:r>
        <w:rPr>
          <w:rFonts w:hint="eastAsia"/>
          <w:b/>
        </w:rPr>
        <w:t>图</w:t>
      </w:r>
      <w:r>
        <w:rPr>
          <w:rFonts w:hint="eastAsia"/>
          <w:b/>
          <w:lang w:val="en-US" w:eastAsia="zh-CN"/>
        </w:rPr>
        <w:t xml:space="preserve">5. </w:t>
      </w:r>
      <w:r>
        <w:rPr>
          <w:rFonts w:hint="eastAsia"/>
          <w:b/>
        </w:rPr>
        <w:t>widget包</w:t>
      </w:r>
      <w:r>
        <w:rPr>
          <w:rFonts w:hint="eastAsia"/>
          <w:b/>
          <w:lang w:val="en-US" w:eastAsia="zh-CN"/>
        </w:rPr>
        <w:t>中类间</w:t>
      </w:r>
      <w:r>
        <w:rPr>
          <w:rFonts w:hint="eastAsia"/>
          <w:b/>
        </w:rPr>
        <w:t>的关系图</w:t>
      </w:r>
    </w:p>
    <w:p>
      <w:pPr>
        <w:rPr>
          <w:b/>
        </w:rPr>
      </w:pPr>
    </w:p>
    <w:p>
      <w:r>
        <w:drawing>
          <wp:inline distT="0" distB="0" distL="0" distR="0">
            <wp:extent cx="5274310" cy="3091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309118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6.</w:t>
      </w:r>
      <w:r>
        <w:rPr>
          <w:rFonts w:hint="eastAsia"/>
          <w:b/>
        </w:rPr>
        <w:t xml:space="preserve"> ui包</w:t>
      </w:r>
      <w:r>
        <w:rPr>
          <w:rFonts w:hint="eastAsia"/>
          <w:b/>
          <w:lang w:val="en-US" w:eastAsia="zh-CN"/>
        </w:rPr>
        <w:t>中类间</w:t>
      </w:r>
      <w:r>
        <w:rPr>
          <w:rFonts w:hint="eastAsia"/>
          <w:b/>
        </w:rPr>
        <w:t>的关系图</w:t>
      </w:r>
    </w:p>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列出小米便签的基本功能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根据对小米便签代码的阅读和功能的理解，下图描述了</w:t>
      </w:r>
      <w:r>
        <w:rPr>
          <w:rFonts w:hint="eastAsia" w:asciiTheme="minorEastAsia" w:hAnsiTheme="minorEastAsia" w:eastAsiaTheme="minorEastAsia" w:cstheme="minorEastAsia"/>
          <w:lang w:val="en-US" w:eastAsia="zh-CN"/>
        </w:rPr>
        <w:t>小米便签的</w:t>
      </w:r>
      <w:r>
        <w:rPr>
          <w:rFonts w:hint="eastAsia" w:asciiTheme="minorEastAsia" w:hAnsiTheme="minorEastAsia" w:cstheme="minorEastAsia"/>
          <w:lang w:val="en-US" w:eastAsia="zh-CN"/>
        </w:rPr>
        <w:t>整体</w:t>
      </w:r>
      <w:r>
        <w:rPr>
          <w:rFonts w:hint="eastAsia" w:asciiTheme="minorEastAsia" w:hAnsiTheme="minorEastAsia" w:eastAsiaTheme="minorEastAsia" w:cstheme="minorEastAsia"/>
          <w:lang w:val="en-US" w:eastAsia="zh-CN"/>
        </w:rPr>
        <w:t>功能框架（如图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w:t>
      </w:r>
    </w:p>
    <w:p>
      <w:pPr>
        <w:pStyle w:val="10"/>
        <w:numPr>
          <w:ilvl w:val="0"/>
          <w:numId w:val="0"/>
        </w:numPr>
        <w:ind w:leftChars="0"/>
        <w:rPr>
          <w:rFonts w:hint="eastAsia"/>
          <w:b/>
          <w:lang w:val="en-US" w:eastAsia="zh-CN"/>
        </w:rPr>
      </w:pPr>
    </w:p>
    <w:p>
      <w:pPr>
        <w:pStyle w:val="10"/>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2524125" cy="7439025"/>
            <wp:effectExtent l="0" t="0" r="0" b="0"/>
            <wp:docPr id="15" name="图片 15" descr="NPBRJi9048Rlzoast1EGCtSaFeCFq41L4eIaBVSG0rHJKq344241X422M69KvFmodTtsBHHfmowNtywNcSa_cv0LGLBoDncK4IyLhEImbBwwLd0gBOb99PtB8YGabPo4QMDCr3b2ULbC2hA8FQGvWzNI1shNRWryTBI2-x6vtT7freC56L-Sdvswf5anLzymM3X2u2Y0iORANY3jDwSQPA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NPBRJi9048Rlzoast1EGCtSaFeCFq41L4eIaBVSG0rHJKq344241X422M69KvFmodTtsBHHfmowNtywNcSa_cv0LGLBoDncK4IyLhEImbBwwLd0gBOb99PtB8YGabPo4QMDCr3b2ULbC2hA8FQGvWzNI1shNRWryTBI2-x6vtT7freC56L-Sdvswf5anLzymM3X2u2Y0iORANY3jDwSQPAfL"/>
                    <pic:cNvPicPr>
                      <a:picLocks noChangeAspect="1"/>
                    </pic:cNvPicPr>
                  </pic:nvPicPr>
                  <pic:blipFill>
                    <a:blip r:embed="rId11"/>
                    <a:stretch>
                      <a:fillRect/>
                    </a:stretch>
                  </pic:blipFill>
                  <pic:spPr>
                    <a:xfrm>
                      <a:off x="0" y="0"/>
                      <a:ext cx="2524125" cy="7439025"/>
                    </a:xfrm>
                    <a:prstGeom prst="rect">
                      <a:avLst/>
                    </a:prstGeom>
                  </pic:spPr>
                </pic:pic>
              </a:graphicData>
            </a:graphic>
          </wp:inline>
        </w:drawing>
      </w:r>
    </w:p>
    <w:p>
      <w:pPr>
        <w:pStyle w:val="10"/>
        <w:numPr>
          <w:ilvl w:val="0"/>
          <w:numId w:val="0"/>
        </w:numPr>
        <w:ind w:leftChars="0"/>
        <w:jc w:val="center"/>
        <w:rPr>
          <w:rFonts w:hint="default" w:eastAsiaTheme="minorEastAsia"/>
          <w:lang w:val="en-US" w:eastAsia="zh-CN"/>
        </w:rPr>
      </w:pPr>
      <w:r>
        <w:rPr>
          <w:rFonts w:hint="eastAsia"/>
          <w:b/>
        </w:rPr>
        <w:t>图</w:t>
      </w:r>
      <w:r>
        <w:rPr>
          <w:rFonts w:hint="eastAsia"/>
          <w:b/>
          <w:lang w:val="en-US" w:eastAsia="zh-CN"/>
        </w:rPr>
        <w:t>7.</w:t>
      </w:r>
      <w:r>
        <w:rPr>
          <w:b/>
        </w:rPr>
        <w:t xml:space="preserve"> </w:t>
      </w:r>
      <w:r>
        <w:rPr>
          <w:rFonts w:hint="eastAsia"/>
          <w:b/>
          <w:lang w:val="en-US" w:eastAsia="zh-CN"/>
        </w:rPr>
        <w:t>小米便签用例图</w:t>
      </w:r>
    </w:p>
    <w:p>
      <w:pPr>
        <w:pStyle w:val="10"/>
        <w:numPr>
          <w:ilvl w:val="0"/>
          <w:numId w:val="0"/>
        </w:numPr>
        <w:ind w:leftChars="0"/>
        <w:rPr>
          <w:rFonts w:hint="eastAsia" w:ascii="宋体" w:hAnsi="宋体" w:eastAsia="宋体" w:cs="宋体"/>
          <w:sz w:val="21"/>
          <w:szCs w:val="21"/>
          <w:lang w:val="en-US" w:eastAsia="zh-CN"/>
        </w:rPr>
      </w:pPr>
    </w:p>
    <w:p>
      <w:pPr>
        <w:pStyle w:val="11"/>
        <w:numPr>
          <w:ilvl w:val="0"/>
          <w:numId w:val="2"/>
        </w:numPr>
        <w:ind w:left="0" w:leftChars="0" w:firstLine="0" w:firstLineChars="0"/>
        <w:rPr>
          <w:rFonts w:hint="eastAsia" w:ascii="宋体" w:hAnsi="宋体" w:eastAsia="宋体" w:cs="宋体"/>
          <w:b/>
          <w:bCs/>
          <w:sz w:val="21"/>
          <w:szCs w:val="21"/>
        </w:rPr>
      </w:pPr>
      <w:r>
        <w:rPr>
          <w:rFonts w:hint="eastAsia" w:ascii="宋体" w:hAnsi="宋体" w:eastAsia="宋体" w:cs="宋体"/>
          <w:b/>
          <w:bCs/>
          <w:sz w:val="21"/>
          <w:szCs w:val="21"/>
        </w:rPr>
        <w:t>功能1：新建/删除/移动便签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建/删除/移动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通过长按便签并选择删除选项可以删除已创建的便签，用于对便签集进行有效的管理。通过长按便签并选择移动选项可以将已创建的便签移动到某个文件夹中，用于在快速创建便签后对便签集进行有效的管理。删除便签：通过长按便签并选择删除选项可以删除已创建的便签，用于对便签集进行有效的管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移动便签：通过长按便签并选择移动选项可以将已创建的便签移动到某个文件夹中，用于在快速创建便签后对便签集进行有效的管理。</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功能2：新建文件夹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在主界面的选项中可以选择“新建文件夹”，用于分类管理便签。</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功能3：导出文本</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在主界面的选项中可以选择“导出文件”，在Android手机提供SD卡支持的情况下，将小米便签中的便签内容逐个转化为.txt的文本文档。</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功能4：同步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在主界面的选项中可以选择“同步”，与Google Task中的备忘录事项，将本地的事项上传到服务器，或将Google服务器上的表单下载到本地。</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功能5：</w:t>
      </w:r>
      <w:r>
        <w:rPr>
          <w:rFonts w:hint="eastAsia" w:ascii="宋体" w:hAnsi="宋体" w:eastAsia="宋体" w:cs="宋体"/>
          <w:b/>
          <w:bCs/>
          <w:sz w:val="21"/>
          <w:szCs w:val="21"/>
          <w:lang w:val="en-US" w:eastAsia="zh-CN"/>
        </w:rPr>
        <w:t>检索便签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在主界面的选项中可以选择 “搜索”，通过关键词查找到包含该关键词的便签，显示在界面上。</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功能6：修改字体大小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在便签编辑的界面，在选项中选择“字体大小”，可以将当前便签的所有字体进行放大和缩小，其中包括4种字体大小：小、正常、大、超大。</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功能7：修改便签背景颜色</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功能8：进入清单模式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在便签编辑的页面，用户可以选择进入清单模式的选项，可以用于当前便签下标记某事项的完成情况。</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功能9：发送到桌面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在Android操作系统用户可以在便签编辑完成后，使用选项“发送至桌面”，便可在便签小部件上显示当前便签的内容。</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功能10：添加/删除提醒</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在便签编辑界面，用户可以选择“添加提醒”选项，之后会在便签上显示一个闹钟的图标，标志提醒时间，到了提醒时间时，操作系统会弹出一个对话框显示便签的内容并响铃。</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功能11：识别电话号码和网址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在便签编辑页面上，如果输入了一段电话号码格式的数字或者网址格式的字符串，小米便签会自动识别，并把其变为链接。</w:t>
      </w:r>
    </w:p>
    <w:p>
      <w:pPr>
        <w:pStyle w:val="11"/>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ascii="宋体" w:hAnsi="宋体" w:eastAsia="宋体" w:cs="宋体"/>
          <w:b/>
          <w:bCs/>
          <w:sz w:val="21"/>
          <w:szCs w:val="21"/>
        </w:rPr>
      </w:pPr>
      <w:r>
        <w:rPr>
          <w:rFonts w:hint="eastAsia" w:ascii="宋体" w:hAnsi="宋体" w:eastAsia="宋体" w:cs="宋体"/>
          <w:b/>
          <w:bCs/>
          <w:sz w:val="21"/>
          <w:szCs w:val="21"/>
        </w:rPr>
        <w:t>功能12：分享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在便签编辑页面上可以选择“分享”选项，之后可以将便签内容分享给GTask、QQ、微信等应用。</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lang w:val="en-US" w:eastAsia="zh-CN"/>
        </w:rPr>
        <w:t>软件</w:t>
      </w:r>
      <w:r>
        <w:rPr>
          <w:rFonts w:hint="eastAsia"/>
          <w:b/>
          <w:sz w:val="28"/>
          <w:szCs w:val="21"/>
        </w:rPr>
        <w:t>功能与类间的对应关系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rPr>
                <w:b/>
                <w:bCs/>
              </w:rPr>
            </w:pPr>
            <w:r>
              <w:rPr>
                <w:rFonts w:hint="eastAsia"/>
                <w:b/>
                <w:bCs/>
              </w:rPr>
              <w:t>序号</w:t>
            </w:r>
          </w:p>
        </w:tc>
        <w:tc>
          <w:tcPr>
            <w:tcW w:w="2126" w:type="dxa"/>
            <w:shd w:val="clear" w:color="auto" w:fill="auto"/>
          </w:tcPr>
          <w:p>
            <w:pPr>
              <w:pStyle w:val="11"/>
              <w:ind w:firstLine="0" w:firstLineChars="0"/>
              <w:rPr>
                <w:b/>
                <w:bCs/>
              </w:rPr>
            </w:pPr>
            <w:r>
              <w:rPr>
                <w:rFonts w:hint="eastAsia"/>
                <w:b/>
                <w:bCs/>
              </w:rPr>
              <w:t>功能名称</w:t>
            </w:r>
          </w:p>
        </w:tc>
        <w:tc>
          <w:tcPr>
            <w:tcW w:w="2127" w:type="dxa"/>
            <w:shd w:val="clear" w:color="auto" w:fill="auto"/>
          </w:tcPr>
          <w:p>
            <w:pPr>
              <w:pStyle w:val="11"/>
              <w:ind w:firstLine="0" w:firstLineChars="0"/>
              <w:rPr>
                <w:b/>
                <w:bCs/>
              </w:rPr>
            </w:pPr>
            <w:r>
              <w:rPr>
                <w:rFonts w:hint="eastAsia"/>
                <w:b/>
                <w:bCs/>
              </w:rPr>
              <w:t>实现模块</w:t>
            </w:r>
          </w:p>
        </w:tc>
        <w:tc>
          <w:tcPr>
            <w:tcW w:w="3452" w:type="dxa"/>
            <w:shd w:val="clear" w:color="auto" w:fill="auto"/>
          </w:tcPr>
          <w:p>
            <w:pPr>
              <w:pStyle w:val="11"/>
              <w:rPr>
                <w:b/>
                <w:bCs/>
              </w:rPr>
            </w:pPr>
            <w:r>
              <w:rPr>
                <w:rFonts w:hint="eastAsia"/>
                <w:b/>
                <w:bCs/>
              </w:rPr>
              <w:t>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p>
        </w:tc>
        <w:tc>
          <w:tcPr>
            <w:tcW w:w="2126" w:type="dxa"/>
            <w:shd w:val="clear" w:color="auto" w:fill="auto"/>
            <w:vAlign w:val="center"/>
          </w:tcPr>
          <w:p>
            <w:pPr>
              <w:pStyle w:val="11"/>
              <w:ind w:firstLine="0" w:firstLineChars="0"/>
            </w:pPr>
            <w:r>
              <w:rPr>
                <w:rFonts w:hint="eastAsia"/>
              </w:rPr>
              <w:t>新建便签</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createNewNote()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2</w:t>
            </w:r>
          </w:p>
        </w:tc>
        <w:tc>
          <w:tcPr>
            <w:tcW w:w="2126" w:type="dxa"/>
            <w:shd w:val="clear" w:color="auto" w:fill="auto"/>
            <w:vAlign w:val="center"/>
          </w:tcPr>
          <w:p>
            <w:pPr>
              <w:pStyle w:val="11"/>
              <w:ind w:firstLine="0" w:firstLineChars="0"/>
            </w:pPr>
            <w:r>
              <w:rPr>
                <w:rFonts w:hint="eastAsia"/>
              </w:rPr>
              <w:t>删除便签</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3</w:t>
            </w:r>
          </w:p>
        </w:tc>
        <w:tc>
          <w:tcPr>
            <w:tcW w:w="2126" w:type="dxa"/>
            <w:shd w:val="clear" w:color="auto" w:fill="auto"/>
            <w:vAlign w:val="center"/>
          </w:tcPr>
          <w:p>
            <w:pPr>
              <w:pStyle w:val="11"/>
              <w:ind w:firstLine="0" w:firstLineChars="0"/>
            </w:pPr>
            <w:r>
              <w:rPr>
                <w:rFonts w:hint="eastAsia"/>
              </w:rPr>
              <w:t>移动便签</w:t>
            </w:r>
          </w:p>
        </w:tc>
        <w:tc>
          <w:tcPr>
            <w:tcW w:w="2127" w:type="dxa"/>
            <w:shd w:val="clear" w:color="auto" w:fill="auto"/>
            <w:vAlign w:val="center"/>
          </w:tcPr>
          <w:p>
            <w:pPr>
              <w:pStyle w:val="11"/>
              <w:ind w:firstLine="0" w:firstLineChars="0"/>
            </w:pPr>
            <w:r>
              <w:rPr>
                <w:rFonts w:hint="eastAsia"/>
              </w:rPr>
              <w:t>DataUtils</w:t>
            </w:r>
          </w:p>
        </w:tc>
        <w:tc>
          <w:tcPr>
            <w:tcW w:w="3452" w:type="dxa"/>
            <w:shd w:val="clear" w:color="auto" w:fill="auto"/>
            <w:vAlign w:val="center"/>
          </w:tcPr>
          <w:p>
            <w:pPr>
              <w:pStyle w:val="11"/>
              <w:ind w:firstLine="0" w:firstLineChars="0"/>
            </w:pPr>
            <w:r>
              <w:rPr>
                <w:rFonts w:hint="eastAsia"/>
              </w:rPr>
              <w:t>moveNoteToFolder(),</w:t>
            </w:r>
          </w:p>
          <w:p>
            <w:pPr>
              <w:pStyle w:val="11"/>
              <w:ind w:firstLine="0" w:firstLineChars="0"/>
            </w:pPr>
            <w:r>
              <w:rPr>
                <w:rFonts w:hint="eastAsia"/>
              </w:rPr>
              <w:t>batchMoveToFolder()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4</w:t>
            </w:r>
          </w:p>
        </w:tc>
        <w:tc>
          <w:tcPr>
            <w:tcW w:w="2126" w:type="dxa"/>
            <w:shd w:val="clear" w:color="auto" w:fill="auto"/>
            <w:vAlign w:val="center"/>
          </w:tcPr>
          <w:p>
            <w:pPr>
              <w:pStyle w:val="11"/>
              <w:ind w:firstLine="0" w:firstLineChars="0"/>
            </w:pPr>
            <w:r>
              <w:rPr>
                <w:rFonts w:hint="eastAsia"/>
              </w:rPr>
              <w:t>新建文件夹</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showCreateOrModifyFolderDialog()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5</w:t>
            </w:r>
          </w:p>
        </w:tc>
        <w:tc>
          <w:tcPr>
            <w:tcW w:w="2126" w:type="dxa"/>
            <w:shd w:val="clear" w:color="auto" w:fill="auto"/>
            <w:vAlign w:val="center"/>
          </w:tcPr>
          <w:p>
            <w:pPr>
              <w:pStyle w:val="11"/>
              <w:ind w:firstLine="0" w:firstLineChars="0"/>
            </w:pPr>
            <w:r>
              <w:rPr>
                <w:rFonts w:hint="eastAsia"/>
              </w:rPr>
              <w:t>查看文件夹</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openFolder()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6</w:t>
            </w:r>
          </w:p>
        </w:tc>
        <w:tc>
          <w:tcPr>
            <w:tcW w:w="2126" w:type="dxa"/>
            <w:shd w:val="clear" w:color="auto" w:fill="auto"/>
            <w:vAlign w:val="center"/>
          </w:tcPr>
          <w:p>
            <w:pPr>
              <w:pStyle w:val="11"/>
              <w:ind w:firstLine="0" w:firstLineChars="0"/>
            </w:pPr>
            <w:r>
              <w:rPr>
                <w:rFonts w:hint="eastAsia"/>
              </w:rPr>
              <w:t>删除文件夹</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deleteFolder()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7</w:t>
            </w:r>
          </w:p>
        </w:tc>
        <w:tc>
          <w:tcPr>
            <w:tcW w:w="2126" w:type="dxa"/>
            <w:shd w:val="clear" w:color="auto" w:fill="auto"/>
            <w:vAlign w:val="center"/>
          </w:tcPr>
          <w:p>
            <w:pPr>
              <w:pStyle w:val="11"/>
              <w:ind w:firstLine="0" w:firstLineChars="0"/>
            </w:pPr>
            <w:r>
              <w:rPr>
                <w:rFonts w:hint="eastAsia"/>
              </w:rPr>
              <w:t>修改文件夹名称</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showCreateOrModifyFolderDialog()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8</w:t>
            </w:r>
          </w:p>
        </w:tc>
        <w:tc>
          <w:tcPr>
            <w:tcW w:w="2126" w:type="dxa"/>
            <w:shd w:val="clear" w:color="auto" w:fill="auto"/>
            <w:vAlign w:val="center"/>
          </w:tcPr>
          <w:p>
            <w:pPr>
              <w:pStyle w:val="11"/>
              <w:ind w:firstLine="0" w:firstLineChars="0"/>
            </w:pPr>
            <w:r>
              <w:rPr>
                <w:rFonts w:hint="eastAsia"/>
              </w:rPr>
              <w:t>导出文本</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exportNoteToText()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9</w:t>
            </w:r>
          </w:p>
        </w:tc>
        <w:tc>
          <w:tcPr>
            <w:tcW w:w="2126" w:type="dxa"/>
            <w:shd w:val="clear" w:color="auto" w:fill="auto"/>
            <w:vAlign w:val="center"/>
          </w:tcPr>
          <w:p>
            <w:pPr>
              <w:pStyle w:val="11"/>
              <w:ind w:firstLine="0" w:firstLineChars="0"/>
            </w:pPr>
            <w:r>
              <w:rPr>
                <w:rFonts w:hint="eastAsia"/>
              </w:rPr>
              <w:t>同步</w:t>
            </w:r>
          </w:p>
        </w:tc>
        <w:tc>
          <w:tcPr>
            <w:tcW w:w="2127" w:type="dxa"/>
            <w:shd w:val="clear" w:color="auto" w:fill="auto"/>
            <w:vAlign w:val="center"/>
          </w:tcPr>
          <w:p>
            <w:pPr>
              <w:pStyle w:val="11"/>
              <w:ind w:firstLine="0" w:firstLineChars="0"/>
            </w:pPr>
            <w:r>
              <w:rPr>
                <w:rFonts w:hint="eastAsia"/>
              </w:rPr>
              <w:t>GTaskSyncService</w:t>
            </w:r>
          </w:p>
        </w:tc>
        <w:tc>
          <w:tcPr>
            <w:tcW w:w="3452" w:type="dxa"/>
            <w:shd w:val="clear" w:color="auto" w:fill="auto"/>
            <w:vAlign w:val="center"/>
          </w:tcPr>
          <w:p>
            <w:pPr>
              <w:pStyle w:val="11"/>
              <w:ind w:firstLine="0" w:firstLineChars="0"/>
            </w:pPr>
            <w:r>
              <w:rPr>
                <w:rFonts w:hint="eastAsia"/>
              </w:rPr>
              <w:t>startSync()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0</w:t>
            </w:r>
          </w:p>
        </w:tc>
        <w:tc>
          <w:tcPr>
            <w:tcW w:w="2126" w:type="dxa"/>
            <w:shd w:val="clear" w:color="auto" w:fill="auto"/>
            <w:vAlign w:val="center"/>
          </w:tcPr>
          <w:p>
            <w:pPr>
              <w:pStyle w:val="11"/>
              <w:ind w:firstLine="0" w:firstLineChars="0"/>
            </w:pPr>
            <w:r>
              <w:rPr>
                <w:rFonts w:hint="eastAsia"/>
              </w:rPr>
              <w:t>搜索</w:t>
            </w:r>
          </w:p>
        </w:tc>
        <w:tc>
          <w:tcPr>
            <w:tcW w:w="2127" w:type="dxa"/>
            <w:shd w:val="clear" w:color="auto" w:fill="auto"/>
            <w:vAlign w:val="center"/>
          </w:tcPr>
          <w:p>
            <w:pPr>
              <w:pStyle w:val="11"/>
              <w:ind w:firstLine="0" w:firstLineChars="0"/>
            </w:pPr>
            <w:r>
              <w:rPr>
                <w:rFonts w:hint="eastAsia"/>
              </w:rPr>
              <w:t>NotesListActivity</w:t>
            </w:r>
          </w:p>
        </w:tc>
        <w:tc>
          <w:tcPr>
            <w:tcW w:w="3452" w:type="dxa"/>
            <w:shd w:val="clear" w:color="auto" w:fill="auto"/>
            <w:vAlign w:val="center"/>
          </w:tcPr>
          <w:p>
            <w:pPr>
              <w:pStyle w:val="11"/>
              <w:ind w:firstLine="0" w:firstLineChars="0"/>
            </w:pPr>
            <w:r>
              <w:rPr>
                <w:rFonts w:hint="eastAsia"/>
              </w:rPr>
              <w:t>onSearchRequest()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1</w:t>
            </w:r>
          </w:p>
        </w:tc>
        <w:tc>
          <w:tcPr>
            <w:tcW w:w="2126" w:type="dxa"/>
            <w:shd w:val="clear" w:color="auto" w:fill="auto"/>
            <w:vAlign w:val="center"/>
          </w:tcPr>
          <w:p>
            <w:pPr>
              <w:pStyle w:val="11"/>
              <w:ind w:firstLine="0" w:firstLineChars="0"/>
            </w:pPr>
            <w:r>
              <w:rPr>
                <w:rFonts w:hint="eastAsia"/>
              </w:rPr>
              <w:t>修改字体大小</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2</w:t>
            </w:r>
          </w:p>
        </w:tc>
        <w:tc>
          <w:tcPr>
            <w:tcW w:w="2126" w:type="dxa"/>
            <w:shd w:val="clear" w:color="auto" w:fill="auto"/>
            <w:vAlign w:val="center"/>
          </w:tcPr>
          <w:p>
            <w:pPr>
              <w:pStyle w:val="11"/>
              <w:ind w:firstLine="0" w:firstLineChars="0"/>
            </w:pPr>
            <w:r>
              <w:rPr>
                <w:rFonts w:hint="eastAsia"/>
              </w:rPr>
              <w:t>修改便签背景颜色</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setBgColorId()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3</w:t>
            </w:r>
          </w:p>
        </w:tc>
        <w:tc>
          <w:tcPr>
            <w:tcW w:w="2126" w:type="dxa"/>
            <w:shd w:val="clear" w:color="auto" w:fill="auto"/>
            <w:vAlign w:val="center"/>
          </w:tcPr>
          <w:p>
            <w:pPr>
              <w:pStyle w:val="11"/>
              <w:ind w:firstLine="0" w:firstLineChars="0"/>
            </w:pPr>
            <w:r>
              <w:rPr>
                <w:rFonts w:hint="eastAsia"/>
              </w:rPr>
              <w:t>进入清单模式</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setCheckListMode()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4</w:t>
            </w:r>
          </w:p>
        </w:tc>
        <w:tc>
          <w:tcPr>
            <w:tcW w:w="2126" w:type="dxa"/>
            <w:shd w:val="clear" w:color="auto" w:fill="auto"/>
            <w:vAlign w:val="center"/>
          </w:tcPr>
          <w:p>
            <w:pPr>
              <w:pStyle w:val="11"/>
              <w:ind w:firstLine="0" w:firstLineChars="0"/>
            </w:pPr>
            <w:r>
              <w:rPr>
                <w:rFonts w:hint="eastAsia"/>
              </w:rPr>
              <w:t>发送到桌面</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sendToDesktop()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5</w:t>
            </w:r>
          </w:p>
        </w:tc>
        <w:tc>
          <w:tcPr>
            <w:tcW w:w="2126" w:type="dxa"/>
            <w:shd w:val="clear" w:color="auto" w:fill="auto"/>
            <w:vAlign w:val="center"/>
          </w:tcPr>
          <w:p>
            <w:pPr>
              <w:pStyle w:val="11"/>
              <w:ind w:firstLine="0" w:firstLineChars="0"/>
            </w:pPr>
            <w:r>
              <w:rPr>
                <w:rFonts w:hint="eastAsia"/>
              </w:rPr>
              <w:t>添加提醒</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setReminder()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6</w:t>
            </w:r>
          </w:p>
        </w:tc>
        <w:tc>
          <w:tcPr>
            <w:tcW w:w="2126" w:type="dxa"/>
            <w:shd w:val="clear" w:color="auto" w:fill="auto"/>
            <w:vAlign w:val="center"/>
          </w:tcPr>
          <w:p>
            <w:pPr>
              <w:pStyle w:val="11"/>
              <w:ind w:firstLine="0" w:firstLineChars="0"/>
            </w:pPr>
            <w:r>
              <w:rPr>
                <w:rFonts w:hint="eastAsia"/>
              </w:rPr>
              <w:t>删除提醒</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setAlertDate()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7</w:t>
            </w:r>
          </w:p>
        </w:tc>
        <w:tc>
          <w:tcPr>
            <w:tcW w:w="2126" w:type="dxa"/>
            <w:shd w:val="clear" w:color="auto" w:fill="auto"/>
            <w:vAlign w:val="center"/>
          </w:tcPr>
          <w:p>
            <w:pPr>
              <w:pStyle w:val="11"/>
              <w:ind w:firstLine="0" w:firstLineChars="0"/>
            </w:pPr>
            <w:r>
              <w:rPr>
                <w:rFonts w:hint="eastAsia"/>
              </w:rPr>
              <w:t>识别电话号码</w:t>
            </w:r>
          </w:p>
        </w:tc>
        <w:tc>
          <w:tcPr>
            <w:tcW w:w="2127" w:type="dxa"/>
            <w:shd w:val="clear" w:color="auto" w:fill="auto"/>
            <w:vAlign w:val="center"/>
          </w:tcPr>
          <w:p>
            <w:pPr>
              <w:pStyle w:val="11"/>
              <w:ind w:firstLine="0" w:firstLineChars="0"/>
            </w:pPr>
            <w:r>
              <w:rPr>
                <w:rFonts w:hint="eastAsia"/>
              </w:rPr>
              <w:t>Contact</w:t>
            </w:r>
          </w:p>
        </w:tc>
        <w:tc>
          <w:tcPr>
            <w:tcW w:w="3452" w:type="dxa"/>
            <w:shd w:val="clear" w:color="auto" w:fill="auto"/>
            <w:vAlign w:val="center"/>
          </w:tcPr>
          <w:p>
            <w:pPr>
              <w:pStyle w:val="11"/>
              <w:ind w:firstLine="0" w:firstLineChars="0"/>
            </w:pPr>
            <w:r>
              <w:rPr>
                <w:rFonts w:hint="eastAsia"/>
              </w:rPr>
              <w:t>getContact()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8</w:t>
            </w:r>
          </w:p>
        </w:tc>
        <w:tc>
          <w:tcPr>
            <w:tcW w:w="2126" w:type="dxa"/>
            <w:shd w:val="clear" w:color="auto" w:fill="auto"/>
            <w:vAlign w:val="center"/>
          </w:tcPr>
          <w:p>
            <w:pPr>
              <w:pStyle w:val="11"/>
              <w:ind w:firstLine="0" w:firstLineChars="0"/>
            </w:pPr>
            <w:r>
              <w:rPr>
                <w:rFonts w:hint="eastAsia"/>
              </w:rPr>
              <w:t>分享</w:t>
            </w:r>
          </w:p>
        </w:tc>
        <w:tc>
          <w:tcPr>
            <w:tcW w:w="2127" w:type="dxa"/>
            <w:shd w:val="clear" w:color="auto" w:fill="auto"/>
            <w:vAlign w:val="center"/>
          </w:tcPr>
          <w:p>
            <w:pPr>
              <w:pStyle w:val="11"/>
              <w:ind w:firstLine="0" w:firstLineChars="0"/>
            </w:pPr>
            <w:r>
              <w:rPr>
                <w:rFonts w:hint="eastAsia"/>
              </w:rPr>
              <w:t>NoteEditActivity</w:t>
            </w:r>
          </w:p>
        </w:tc>
        <w:tc>
          <w:tcPr>
            <w:tcW w:w="3452" w:type="dxa"/>
            <w:shd w:val="clear" w:color="auto" w:fill="auto"/>
            <w:vAlign w:val="center"/>
          </w:tcPr>
          <w:p>
            <w:pPr>
              <w:pStyle w:val="11"/>
              <w:ind w:firstLine="0" w:firstLineChars="0"/>
            </w:pPr>
            <w:r>
              <w:rPr>
                <w:rFonts w:hint="eastAsia"/>
              </w:rPr>
              <w:t>getWorkingText(), sendTo()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pStyle w:val="11"/>
              <w:ind w:firstLine="0" w:firstLineChars="0"/>
            </w:pPr>
            <w:r>
              <w:rPr>
                <w:rFonts w:hint="eastAsia"/>
              </w:rPr>
              <w:t>1</w:t>
            </w:r>
            <w:r>
              <w:t>9</w:t>
            </w:r>
          </w:p>
        </w:tc>
        <w:tc>
          <w:tcPr>
            <w:tcW w:w="2126" w:type="dxa"/>
            <w:shd w:val="clear" w:color="auto" w:fill="auto"/>
            <w:vAlign w:val="center"/>
          </w:tcPr>
          <w:p>
            <w:pPr>
              <w:pStyle w:val="11"/>
              <w:ind w:firstLine="0" w:firstLineChars="0"/>
            </w:pPr>
            <w:r>
              <w:rPr>
                <w:rFonts w:hint="eastAsia"/>
              </w:rPr>
              <w:t>保存便签（自动）</w:t>
            </w:r>
          </w:p>
        </w:tc>
        <w:tc>
          <w:tcPr>
            <w:tcW w:w="2127" w:type="dxa"/>
            <w:shd w:val="clear" w:color="auto" w:fill="auto"/>
            <w:vAlign w:val="center"/>
          </w:tcPr>
          <w:p>
            <w:pPr>
              <w:pStyle w:val="11"/>
              <w:ind w:firstLine="0" w:firstLineChars="0"/>
            </w:pPr>
            <w:r>
              <w:rPr>
                <w:rFonts w:hint="eastAsia"/>
              </w:rPr>
              <w:t>WorkingNote</w:t>
            </w:r>
          </w:p>
        </w:tc>
        <w:tc>
          <w:tcPr>
            <w:tcW w:w="3452" w:type="dxa"/>
            <w:shd w:val="clear" w:color="auto" w:fill="auto"/>
            <w:vAlign w:val="center"/>
          </w:tcPr>
          <w:p>
            <w:pPr>
              <w:pStyle w:val="11"/>
              <w:ind w:firstLine="0" w:firstLineChars="0"/>
            </w:pPr>
            <w:r>
              <w:rPr>
                <w:rFonts w:hint="eastAsia"/>
              </w:rPr>
              <w:t>saveNote()</w:t>
            </w:r>
          </w:p>
        </w:tc>
      </w:tr>
    </w:tbl>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收获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w:t>
      </w:r>
      <w:bookmarkStart w:id="0" w:name="_GoBack"/>
      <w:bookmarkEnd w:id="0"/>
      <w:r>
        <w:rPr>
          <w:rFonts w:hint="eastAsia" w:ascii="宋体" w:hAnsi="宋体" w:eastAsia="宋体" w:cs="宋体"/>
          <w:sz w:val="21"/>
          <w:szCs w:val="21"/>
          <w:lang w:val="en-US" w:eastAsia="zh-CN"/>
        </w:rPr>
        <w:t>在进行小米便签的运行环境配置过程中，学习并掌握了多种插件的使用，这些插件可以大大提高代码分析的效率。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在阅读开源代码的过程中，我们掌握了一部分与Java、Android开发相关的知识，认识到了一些开发的基本准则，并对软件的体系结构有了较为清晰的理解。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在进行代码质量分析时，我们也了解了一些软件质量标准，能够初步识别一些存在质量问题的代码。</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我们在学习Java语言和Andriod开发架构方面还存在很多不熟悉的地方，导致阅读代码时遇到了很多障碍，理解不够清晰。因此需要在阅读过程中更加精细的学习，深入了解相关知识。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部分工作都是通过自学和个人理解来进行的，这导致实践标准和概念并不十分准确，需要不断地提高和完善自己的知识储备，以便更好地应对工作中的问题。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F2038"/>
    <w:multiLevelType w:val="singleLevel"/>
    <w:tmpl w:val="D9BF2038"/>
    <w:lvl w:ilvl="0" w:tentative="0">
      <w:start w:val="1"/>
      <w:numFmt w:val="decimal"/>
      <w:suff w:val="nothing"/>
      <w:lvlText w:val="（%1）"/>
      <w:lvlJc w:val="left"/>
    </w:lvl>
  </w:abstractNum>
  <w:abstractNum w:abstractNumId="1">
    <w:nsid w:val="3EE9B4C4"/>
    <w:multiLevelType w:val="singleLevel"/>
    <w:tmpl w:val="3EE9B4C4"/>
    <w:lvl w:ilvl="0" w:tentative="0">
      <w:start w:val="1"/>
      <w:numFmt w:val="bullet"/>
      <w:lvlText w:val="-"/>
      <w:lvlJc w:val="left"/>
      <w:pPr>
        <w:ind w:left="420" w:leftChars="0" w:hanging="420" w:firstLineChars="0"/>
      </w:pPr>
      <w:rPr>
        <w:rFonts w:hint="default" w:ascii="Symbol" w:hAnsi="Symbol" w:cs="Symbol"/>
      </w:rPr>
    </w:lvl>
  </w:abstractNum>
  <w:abstractNum w:abstractNumId="2">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zNmJlNDVhYjI3OThmOGNjZWQyMGRiYmM4ZGExMmIifQ=="/>
  </w:docVars>
  <w:rsids>
    <w:rsidRoot w:val="007A1F2B"/>
    <w:rsid w:val="00036FF5"/>
    <w:rsid w:val="00096009"/>
    <w:rsid w:val="000A37CC"/>
    <w:rsid w:val="000F2FD2"/>
    <w:rsid w:val="00153F70"/>
    <w:rsid w:val="0016555C"/>
    <w:rsid w:val="00175801"/>
    <w:rsid w:val="00182C19"/>
    <w:rsid w:val="002351C2"/>
    <w:rsid w:val="0024229A"/>
    <w:rsid w:val="0028565D"/>
    <w:rsid w:val="003129B2"/>
    <w:rsid w:val="004D4B95"/>
    <w:rsid w:val="0050499F"/>
    <w:rsid w:val="00670003"/>
    <w:rsid w:val="00694268"/>
    <w:rsid w:val="006A0BA4"/>
    <w:rsid w:val="00754F6B"/>
    <w:rsid w:val="0076122B"/>
    <w:rsid w:val="00790A94"/>
    <w:rsid w:val="007A1F2B"/>
    <w:rsid w:val="007C32B9"/>
    <w:rsid w:val="007C3ED2"/>
    <w:rsid w:val="007C75B4"/>
    <w:rsid w:val="007E0D0A"/>
    <w:rsid w:val="00830853"/>
    <w:rsid w:val="00860B61"/>
    <w:rsid w:val="008E4B12"/>
    <w:rsid w:val="008E5990"/>
    <w:rsid w:val="00912118"/>
    <w:rsid w:val="009C1B43"/>
    <w:rsid w:val="009C30D2"/>
    <w:rsid w:val="009D171C"/>
    <w:rsid w:val="009F4762"/>
    <w:rsid w:val="00AA5DE1"/>
    <w:rsid w:val="00AF7A44"/>
    <w:rsid w:val="00B24A0A"/>
    <w:rsid w:val="00C55B4D"/>
    <w:rsid w:val="00C641A9"/>
    <w:rsid w:val="00C7440D"/>
    <w:rsid w:val="00D1212D"/>
    <w:rsid w:val="00F04A68"/>
    <w:rsid w:val="00F3446F"/>
    <w:rsid w:val="00F46F95"/>
    <w:rsid w:val="00F62D10"/>
    <w:rsid w:val="00FF4288"/>
    <w:rsid w:val="0A12645E"/>
    <w:rsid w:val="12C561D6"/>
    <w:rsid w:val="1FD14FC5"/>
    <w:rsid w:val="21957946"/>
    <w:rsid w:val="27A62C9F"/>
    <w:rsid w:val="2A131D49"/>
    <w:rsid w:val="2A5C092E"/>
    <w:rsid w:val="2DA06DF2"/>
    <w:rsid w:val="30B34BB8"/>
    <w:rsid w:val="32075FF9"/>
    <w:rsid w:val="3FC02497"/>
    <w:rsid w:val="4C3B45C8"/>
    <w:rsid w:val="5B532AE2"/>
    <w:rsid w:val="5BA547DB"/>
    <w:rsid w:val="625F3FF3"/>
    <w:rsid w:val="66735319"/>
    <w:rsid w:val="71997D14"/>
    <w:rsid w:val="768C7E47"/>
    <w:rsid w:val="7BB81560"/>
    <w:rsid w:val="7CA13EFF"/>
    <w:rsid w:val="7EF2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paragraph" w:customStyle="1" w:styleId="11">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12">
    <w:name w:val="页眉 字符"/>
    <w:basedOn w:val="9"/>
    <w:link w:val="5"/>
    <w:qFormat/>
    <w:uiPriority w:val="99"/>
    <w:rPr>
      <w:rFonts w:asciiTheme="minorHAnsi" w:hAnsiTheme="minorHAnsi" w:eastAsiaTheme="minorEastAsia" w:cstheme="minorBidi"/>
      <w:kern w:val="2"/>
      <w:sz w:val="18"/>
      <w:szCs w:val="18"/>
    </w:rPr>
  </w:style>
  <w:style w:type="character" w:customStyle="1" w:styleId="13">
    <w:name w:val="页脚 字符"/>
    <w:basedOn w:val="9"/>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2462</Words>
  <Characters>3711</Characters>
  <Lines>30</Lines>
  <Paragraphs>8</Paragraphs>
  <TotalTime>4</TotalTime>
  <ScaleCrop>false</ScaleCrop>
  <LinksUpToDate>false</LinksUpToDate>
  <CharactersWithSpaces>3728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2015-09-18T01:20:00Z</dcterms:created>
  <dc:creator>ylz</dc:creator>
  <cp:lastModifiedBy>(눈_눈)</cp:lastModifiedBy>
  <dcterms:modified xsi:type="dcterms:W3CDTF">2023-04-14T03:58:32Z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A8821D2169E941BD97552AB351AF1C81_13</vt:lpwstr>
  </property>
</Properties>
</file>