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1E40AF" w:sz="6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Databricks Governance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E3A5F"/>
          <w:sz w:val="40"/>
          <w:szCs w:val="40"/>
        </w:rPr>
        <w:t xml:space="preserve">for Canadian Financial Institutions</w:t>
      </w:r>
    </w:p>
    <w:p>
      <w:pPr>
        <w:spacing w:before="3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Automated OSFI E-23 &amp; PIPEDA Compliance on the Lakehouse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PaavanAadi Labs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Governance Consulting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May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ready-to-deploy audit toolkit that runs natively on Databricks to continuously assess ML pipelines, Unity Catalog assets, and data workflows against OSFI E-23 Model Risk Management and PIPEDA Fair Information Principles. Purpose-built for Canadian banks, insurers, and credit unions operating on the Databricks Lakehouse.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31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REGULATORY CONTROLS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CANADIAN FRAMEWORKS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NOTEBOOKS TO DEPLOY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The Challenge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Canadian financial institutions using Databricks face mounting regulatory pressure from OSFI and the Office of the Privacy Commissioner (OPC). Manual compliance audits are slow, error-prone, and cannot scale with the pace of AI/ML development.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Organizations need automated, continuous governance that integrates directly into their Lakehouse platform rather than bolting on external tools. This toolkit bridges that gap — running natively on Databricks, querying Unity Catalog and MLflow directly, and producing audit-ready compliance reports.</w:t>
      </w:r>
    </w:p>
    <w:p>
      <w:pPr>
        <w:pStyle w:val="Heading1"/>
      </w:pPr>
      <w:r>
        <w:t xml:space="preserve">3. OSFI E-23 — Model Risk Management</w:t>
      </w:r>
    </w:p>
    <w:p>
      <w:pPr>
        <w:spacing w:after="1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16 controls across 8 control groups, aligned to the September 2023 guideline.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Group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MRM-1: Governance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MRM-1.1, 1.2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Governance framework tags on catalog, role separation via grants (developer vs validator)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MRM-2: Inventory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MRM-2.1, 2.2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registry completeness (owner, risk tier, purpose, validation status), risk tiering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MRM-3: Development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MRM-3.1–3.3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standards documentation, technical docs for replicability, bias and fairness testing artifacts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MRM-4: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MRM-4.1, 4.2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Independent validation evidence (validated_by tag), challenger model benchmarking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MRM-5: Monitoring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MRM-5.1, 5.2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Lakehouse Monitoring tables for performance KPIs, automated drift detection pipelines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MRM-6: Use &amp; Limits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MRM-6.1, 6.2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 constraints documentation, override procedure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MRM-7: Vendor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MRM-7.1, 7.2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Third-party and foundation model due diligence on serving endpoints, ongoing vendor 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MRM-8: Reporting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MRM-8.1, 8.2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 reporting cadence (quarterly minimum), escalation procedure documentation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4. PIPEDA — Fair Information Principles</w:t>
      </w:r>
    </w:p>
    <w:p>
      <w:pPr>
        <w:spacing w:after="1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15 controls across 10 principles, aligned to PIPEDA (2000, c.5) with 2024 OPC guidance.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60"/>
        <w:gridCol w:w="60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Check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P1: Accountability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P1.1, P1.2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Privacy officer designation, third-party data processing agreements (DPAs)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P2: Purposes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P2.1, P2.2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Purpose documentation for each PI category, new purpose evaluation and re-consent for model training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P3: Consent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P3.1, P3.2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Meaningful consent disclosing automated decisions with withdrawal option, express consent for sensitive data (health, financial, biometric)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P4: Collection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P4.1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PII column detection in information_schema, data minimization verification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P5: Retention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P5.1, P5.2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control breadth audit on PII tables, retention schedules and automated disposal including embeddings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P6: Accuracy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P6.1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quality controls for personal information accuracy in AI systems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P7: Safeguards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P7.1, P7.2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Encryption and access controls for model serving, breach detection and OPC notification readiness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P8: Openness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P8.1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transparency disclosure in privacy policies, model card documentation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P9: Access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P9.1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subject access request process — response within 30 days covering training data and inference logs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P10: Compliance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P10.1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Complaints process for AI-driven decision challenges, investigation procedures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How It Works</w:t>
      </w:r>
    </w:p>
    <w:p>
      <w:pPr>
        <w:spacing w:after="2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Four Databricks notebooks executed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01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Setup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Install deps, configure catalog/schema, select framework and LIVE or DEMO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02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31 automated checks query Unity Catalog, MLflow registry, and serving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03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Orchestrate checks, map findings to controls, compute compliance scores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04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Report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HTML dashboard with color-coded status, per-control findings, and remediation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Notebook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01_setup.py</w:t>
      </w:r>
      <w:r>
        <w:rPr>
          <w:rFonts w:ascii="Arial" w:cs="Arial" w:eastAsia="Arial" w:hAnsi="Arial"/>
          <w:sz w:val="22"/>
          <w:szCs w:val="22"/>
        </w:rPr>
        <w:t xml:space="preserve"> — Installs dependencies (pyyaml, jinja2), configures Unity Catalog target via Databricks widgets, verifies workspace and MLflow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02_governance_checks.py</w:t>
      </w:r>
      <w:r>
        <w:rPr>
          <w:rFonts w:ascii="Arial" w:cs="Arial" w:eastAsia="Arial" w:hAnsi="Arial"/>
          <w:sz w:val="22"/>
          <w:szCs w:val="22"/>
        </w:rPr>
        <w:t xml:space="preserve"> — Core engine with OSFIChecks (16 checks) and PIPEDAChecks (15 checks) classes, plus the GovernanceAuditor orchestrator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03_run_audit.py</w:t>
      </w:r>
      <w:r>
        <w:rPr>
          <w:rFonts w:ascii="Arial" w:cs="Arial" w:eastAsia="Arial" w:hAnsi="Arial"/>
          <w:sz w:val="22"/>
          <w:szCs w:val="22"/>
        </w:rPr>
        <w:t xml:space="preserve"> — Loads config, runs all checks, maps findings to regulatory controls, computes compliance scores, creates a Spark DataFrame for analysis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04_report_dashboard.py</w:t>
      </w:r>
      <w:r>
        <w:rPr>
          <w:rFonts w:ascii="Arial" w:cs="Arial" w:eastAsia="Arial" w:hAnsi="Arial"/>
          <w:sz w:val="22"/>
          <w:szCs w:val="22"/>
        </w:rPr>
        <w:t xml:space="preserve"> — Generates a shareable HTML compliance report with score cards, severity indicators, per-control findings, and actionable remediation guidance</w:t>
      </w:r>
    </w:p>
    <w:p>
      <w:pPr>
        <w:pStyle w:val="Heading1"/>
        <w:pageBreakBefore/>
      </w:pPr>
      <w:r>
        <w:t xml:space="preserve">6. Compliance Scoring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</w:t>
      </w:r>
    </w:p>
    <w:p>
      <w:pPr>
        <w:shd w:fill="F1F5F9" w:val="clear"/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score = (compliant + 0.5 × partially_compliant) / total_controls ×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Credit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findings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COMPLIANT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/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PARTIALLY COMPLIANT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/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NON-COMPLIANT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200" w:before="1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When multiple findings map to the same control, the worst-case status wins.</w:t>
      </w:r>
    </w:p>
    <w:p>
      <w:pPr>
        <w:pStyle w:val="Heading1"/>
      </w:pPr>
      <w:r>
        <w:t xml:space="preserve">7. Databricks-Native Data Sources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checks query native Databricks APIs and metadata — no external agents or sidecars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Unity Catalog table and column tags (governance_framework_approved, pii_justified)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information_schema columns for PII pattern scanning (email, SSN/SIN, phone,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GRANTS for access control auditing across catalogs, schemas, and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MLflow registered model tags (owner, risk_tier, validated_by, bias_test_passed, monitoring_table)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MLflow run parameters and metrics for documentation completeness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serving endpoint configurations for vendor and foundation model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Lakehouse Monitoring integration for drift detection and performance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Delta table retention properties for data disposal compliance</w:t>
      </w:r>
    </w:p>
    <w:p>
      <w:pPr>
        <w:spacing w:after="100"/>
      </w:pPr>
    </w:p>
    <w:p>
      <w:pPr>
        <w:pStyle w:val="Heading1"/>
      </w:pPr>
      <w:r>
        <w:t xml:space="preserve">8. Deployment</w:t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Databricks Runtime 14.0+ (or 15.x ML Runtime)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Unity Catalog enabled on the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admin or metastore admin permissions for full audit coverage</w:t>
      </w:r>
    </w:p>
    <w:p>
      <w:pPr>
        <w:spacing w:after="80"/>
      </w:pP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the four .py files as Databricks notebooks (File → Import)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01_setup once to install dependencies and verify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your catalog and schema names via notebook widgets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03_run_audit to execute all 31 governance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the HTML compliance report or attach 04_report_dashboard to a SQL dashboard</w:t>
      </w:r>
    </w:p>
    <w:p>
      <w:pPr>
        <w:spacing w:after="80"/>
      </w:pPr>
    </w:p>
    <w:p>
      <w:pPr>
        <w:pStyle w:val="Heading2"/>
      </w:pPr>
      <w:r>
        <w:t xml:space="preserve">Audit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LIVE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Queries your Databricks workspace in real-time — Unity Catalog, MLflow, grants, serving endpoints. Produces actual compliance findings.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DEMO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realistic sample findings for stakeholder presentations and demos without requiring workspace access or permissions.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9. About PaavanAadi Labs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PaavanAadi Labs specializes in AI governance consulting for Canadian financial institutions. We help banks, insurers, and credit unions implement automated, continuous compliance for their AI/ML operations on modern data platforms.</w:t>
      </w:r>
    </w:p>
    <w:p>
      <w:pPr>
        <w:pStyle w:val="Heading2"/>
      </w:pPr>
      <w:r>
        <w:t xml:space="preserve">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Governance Professional (AIGP) Certified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Databricks Certified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Specialization in OSFI E-23, PIPEDA, and Canadian regulatory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Subcontractor delivery model for flexible engagement</w:t>
      </w:r>
    </w:p>
    <w:p>
      <w:pPr>
        <w:spacing w:after="120"/>
      </w:pPr>
    </w:p>
    <w:p>
      <w:pPr>
        <w:pStyle w:val="Heading2"/>
      </w:pPr>
      <w:r>
        <w:t xml:space="preserve">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AI/ML governance framework design and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Regulatory compliance assessment (OSFI, PIPEDA, GDPR, EU AI 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Databricks governance automation and Unity Catalog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risk management program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impact assessments for AI systems</w:t>
      </w:r>
    </w:p>
    <w:p>
      <w:pPr>
        <w:spacing w:before="400"/>
      </w:pPr>
    </w:p>
    <w:p>
      <w:pPr>
        <w:pBdr>
          <w:top w:val="single" w:color="1E40AF" w:sz="4" w:space="12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PaavanAadi Labs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AI Governance Consulting  |  ashoka.sj@gmail.com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PaavanAadi Labs  |  AI Governance Consulting</w:t>
    </w:r>
    <w:r>
      <w:rPr>
        <w:rFonts w:ascii="Arial" w:cs="Arial" w:eastAsia="Arial" w:hAnsi="Arial"/>
        <w:color w:val="94A3B8"/>
        <w:sz w:val="16"/>
        <w:szCs w:val="16"/>
      </w:rPr>
      <w:t xml:space="preserve">		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Databricks Governance  |  OSFI E-23 &amp; PIPEDA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2026-05-12T21:31:24.445Z</dcterms:created>
  <dcterms:modified xsi:type="dcterms:W3CDTF">2026-05-12T21:31:24.447Z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