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9D273">
      <w:pPr>
        <w:jc w:val="center"/>
        <w:outlineLvl w:val="0"/>
        <w:rPr>
          <w:rFonts w:hint="eastAsia" w:ascii="宋体" w:hAnsi="宋体"/>
          <w:color w:val="000000" w:themeColor="text1"/>
          <w14:textFill>
            <w14:solidFill>
              <w14:schemeClr w14:val="tx1"/>
            </w14:solidFill>
          </w14:textFill>
        </w:rPr>
      </w:pPr>
      <w:bookmarkStart w:id="0" w:name="_Toc28190"/>
      <w:r>
        <w:rPr>
          <w:rFonts w:hint="eastAsia" w:ascii="宋体" w:hAnsi="宋体"/>
          <w:b/>
          <w:bCs/>
          <w:color w:val="000000" w:themeColor="text1"/>
          <w:sz w:val="32"/>
          <w:szCs w:val="32"/>
          <w14:textFill>
            <w14:solidFill>
              <w14:schemeClr w14:val="tx1"/>
            </w14:solidFill>
          </w14:textFill>
        </w:rPr>
        <w:t>湖南工商大学20</w:t>
      </w:r>
      <w:r>
        <w:rPr>
          <w:rFonts w:hint="eastAsia" w:ascii="宋体" w:hAnsi="宋体"/>
          <w:b/>
          <w:bCs/>
          <w:color w:val="000000" w:themeColor="text1"/>
          <w:sz w:val="32"/>
          <w:szCs w:val="32"/>
          <w:u w:val="single"/>
          <w14:textFill>
            <w14:solidFill>
              <w14:schemeClr w14:val="tx1"/>
            </w14:solidFill>
          </w14:textFill>
        </w:rPr>
        <w:t xml:space="preserve"> </w:t>
      </w:r>
      <w:r>
        <w:rPr>
          <w:rFonts w:ascii="宋体" w:hAnsi="宋体"/>
          <w:b/>
          <w:bCs/>
          <w:color w:val="000000" w:themeColor="text1"/>
          <w:sz w:val="32"/>
          <w:szCs w:val="32"/>
          <w:u w:val="single"/>
          <w14:textFill>
            <w14:solidFill>
              <w14:schemeClr w14:val="tx1"/>
            </w14:solidFill>
          </w14:textFill>
        </w:rPr>
        <w:t>26</w:t>
      </w:r>
      <w:r>
        <w:rPr>
          <w:rFonts w:hint="eastAsia" w:ascii="宋体" w:hAnsi="宋体"/>
          <w:b/>
          <w:bCs/>
          <w:color w:val="000000" w:themeColor="text1"/>
          <w:sz w:val="32"/>
          <w:szCs w:val="32"/>
          <w:u w:val="single"/>
          <w14:textFill>
            <w14:solidFill>
              <w14:schemeClr w14:val="tx1"/>
            </w14:solidFill>
          </w14:textFill>
        </w:rPr>
        <w:t xml:space="preserve"> </w:t>
      </w:r>
      <w:r>
        <w:rPr>
          <w:rFonts w:hint="eastAsia" w:ascii="宋体" w:hAnsi="宋体"/>
          <w:b/>
          <w:bCs/>
          <w:color w:val="000000" w:themeColor="text1"/>
          <w:sz w:val="32"/>
          <w:szCs w:val="32"/>
          <w14:textFill>
            <w14:solidFill>
              <w14:schemeClr w14:val="tx1"/>
            </w14:solidFill>
          </w14:textFill>
        </w:rPr>
        <w:t>届毕业论文开题报告</w:t>
      </w:r>
      <w:bookmarkEnd w:id="0"/>
    </w:p>
    <w:p w14:paraId="0B0B3C1B">
      <w:pPr>
        <w:jc w:val="center"/>
        <w:rPr>
          <w:color w:val="000000" w:themeColor="text1"/>
          <w14:textFill>
            <w14:solidFill>
              <w14:schemeClr w14:val="tx1"/>
            </w14:solidFill>
          </w14:textFill>
        </w:rPr>
      </w:pPr>
    </w:p>
    <w:tbl>
      <w:tblPr>
        <w:tblStyle w:val="15"/>
        <w:tblW w:w="9204" w:type="dxa"/>
        <w:jc w:val="center"/>
        <w:tblLayout w:type="fixed"/>
        <w:tblCellMar>
          <w:top w:w="0" w:type="dxa"/>
          <w:left w:w="28" w:type="dxa"/>
          <w:bottom w:w="0" w:type="dxa"/>
          <w:right w:w="28" w:type="dxa"/>
        </w:tblCellMar>
      </w:tblPr>
      <w:tblGrid>
        <w:gridCol w:w="875"/>
        <w:gridCol w:w="607"/>
        <w:gridCol w:w="617"/>
        <w:gridCol w:w="697"/>
        <w:gridCol w:w="1823"/>
        <w:gridCol w:w="840"/>
        <w:gridCol w:w="950"/>
        <w:gridCol w:w="1091"/>
        <w:gridCol w:w="1704"/>
      </w:tblGrid>
      <w:tr w14:paraId="52FC23B7">
        <w:tblPrEx>
          <w:tblCellMar>
            <w:top w:w="0" w:type="dxa"/>
            <w:left w:w="28" w:type="dxa"/>
            <w:bottom w:w="0" w:type="dxa"/>
            <w:right w:w="28" w:type="dxa"/>
          </w:tblCellMar>
        </w:tblPrEx>
        <w:trPr>
          <w:trHeight w:val="449" w:hRule="atLeast"/>
          <w:jc w:val="center"/>
        </w:trPr>
        <w:tc>
          <w:tcPr>
            <w:tcW w:w="875" w:type="dxa"/>
            <w:vMerge w:val="restart"/>
            <w:tcBorders>
              <w:top w:val="single" w:color="000000" w:sz="6" w:space="0"/>
              <w:left w:val="single" w:color="000000" w:sz="6" w:space="0"/>
              <w:bottom w:val="single" w:color="000000" w:sz="6" w:space="0"/>
              <w:right w:val="single" w:color="000000" w:sz="6" w:space="0"/>
            </w:tcBorders>
            <w:vAlign w:val="center"/>
          </w:tcPr>
          <w:p w14:paraId="490D7F5F">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姓名</w:t>
            </w:r>
          </w:p>
        </w:tc>
        <w:tc>
          <w:tcPr>
            <w:tcW w:w="1224" w:type="dxa"/>
            <w:gridSpan w:val="2"/>
            <w:vMerge w:val="restart"/>
            <w:tcBorders>
              <w:top w:val="single" w:color="000000" w:sz="6" w:space="0"/>
              <w:left w:val="nil"/>
              <w:bottom w:val="single" w:color="000000" w:sz="6" w:space="0"/>
              <w:right w:val="single" w:color="auto" w:sz="4" w:space="0"/>
            </w:tcBorders>
            <w:vAlign w:val="center"/>
          </w:tcPr>
          <w:p w14:paraId="25DC4142">
            <w:pPr>
              <w:jc w:val="center"/>
              <w:rPr>
                <w:rFonts w:hint="eastAsia"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王善麒</w:t>
            </w:r>
          </w:p>
        </w:tc>
        <w:tc>
          <w:tcPr>
            <w:tcW w:w="697" w:type="dxa"/>
            <w:vMerge w:val="restart"/>
            <w:tcBorders>
              <w:top w:val="single" w:color="000000" w:sz="6" w:space="0"/>
              <w:left w:val="nil"/>
              <w:bottom w:val="single" w:color="000000" w:sz="6" w:space="0"/>
              <w:right w:val="single" w:color="auto" w:sz="4" w:space="0"/>
            </w:tcBorders>
            <w:vAlign w:val="center"/>
          </w:tcPr>
          <w:p w14:paraId="0DC045C4">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学院</w:t>
            </w:r>
          </w:p>
        </w:tc>
        <w:tc>
          <w:tcPr>
            <w:tcW w:w="3613" w:type="dxa"/>
            <w:gridSpan w:val="3"/>
            <w:vMerge w:val="restart"/>
            <w:tcBorders>
              <w:top w:val="single" w:color="000000" w:sz="6" w:space="0"/>
              <w:left w:val="nil"/>
              <w:bottom w:val="single" w:color="000000" w:sz="6" w:space="0"/>
              <w:right w:val="single" w:color="000000" w:sz="6" w:space="0"/>
            </w:tcBorders>
            <w:vAlign w:val="center"/>
          </w:tcPr>
          <w:p w14:paraId="244119F1">
            <w:pPr>
              <w:jc w:val="cente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前沿交叉学院</w:t>
            </w:r>
          </w:p>
        </w:tc>
        <w:tc>
          <w:tcPr>
            <w:tcW w:w="1091" w:type="dxa"/>
            <w:tcBorders>
              <w:top w:val="single" w:color="000000" w:sz="6" w:space="0"/>
              <w:left w:val="nil"/>
              <w:bottom w:val="single" w:color="000000" w:sz="6" w:space="0"/>
              <w:right w:val="single" w:color="000000" w:sz="6" w:space="0"/>
            </w:tcBorders>
            <w:vAlign w:val="center"/>
          </w:tcPr>
          <w:p w14:paraId="708CECB1">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学    号</w:t>
            </w:r>
          </w:p>
        </w:tc>
        <w:tc>
          <w:tcPr>
            <w:tcW w:w="1704" w:type="dxa"/>
            <w:tcBorders>
              <w:top w:val="single" w:color="000000" w:sz="6" w:space="0"/>
              <w:left w:val="nil"/>
              <w:bottom w:val="single" w:color="000000" w:sz="6" w:space="0"/>
              <w:right w:val="single" w:color="000000" w:sz="6" w:space="0"/>
            </w:tcBorders>
            <w:vAlign w:val="center"/>
          </w:tcPr>
          <w:p w14:paraId="696140B4">
            <w:pPr>
              <w:jc w:val="cente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2203090016</w:t>
            </w:r>
          </w:p>
        </w:tc>
      </w:tr>
      <w:tr w14:paraId="04859155">
        <w:tblPrEx>
          <w:tblCellMar>
            <w:top w:w="0" w:type="dxa"/>
            <w:left w:w="28" w:type="dxa"/>
            <w:bottom w:w="0" w:type="dxa"/>
            <w:right w:w="28" w:type="dxa"/>
          </w:tblCellMar>
        </w:tblPrEx>
        <w:trPr>
          <w:trHeight w:val="435" w:hRule="atLeast"/>
          <w:jc w:val="center"/>
        </w:trPr>
        <w:tc>
          <w:tcPr>
            <w:tcW w:w="875" w:type="dxa"/>
            <w:vMerge w:val="continue"/>
            <w:tcBorders>
              <w:top w:val="single" w:color="000000" w:sz="6" w:space="0"/>
              <w:left w:val="single" w:color="000000" w:sz="6" w:space="0"/>
              <w:bottom w:val="single" w:color="000000" w:sz="6" w:space="0"/>
              <w:right w:val="single" w:color="000000" w:sz="6" w:space="0"/>
            </w:tcBorders>
            <w:vAlign w:val="center"/>
          </w:tcPr>
          <w:p w14:paraId="2DF2F3A8">
            <w:pPr>
              <w:widowControl/>
              <w:jc w:val="left"/>
              <w:rPr>
                <w:rFonts w:hint="eastAsia" w:ascii="宋体" w:hAnsi="宋体"/>
                <w:color w:val="000000" w:themeColor="text1"/>
                <w14:textFill>
                  <w14:solidFill>
                    <w14:schemeClr w14:val="tx1"/>
                  </w14:solidFill>
                </w14:textFill>
              </w:rPr>
            </w:pPr>
          </w:p>
        </w:tc>
        <w:tc>
          <w:tcPr>
            <w:tcW w:w="1224" w:type="dxa"/>
            <w:gridSpan w:val="2"/>
            <w:vMerge w:val="continue"/>
            <w:tcBorders>
              <w:top w:val="single" w:color="000000" w:sz="6" w:space="0"/>
              <w:left w:val="nil"/>
              <w:bottom w:val="single" w:color="000000" w:sz="6" w:space="0"/>
              <w:right w:val="single" w:color="auto" w:sz="4" w:space="0"/>
            </w:tcBorders>
            <w:vAlign w:val="center"/>
          </w:tcPr>
          <w:p w14:paraId="5C7A3524">
            <w:pPr>
              <w:widowControl/>
              <w:jc w:val="left"/>
              <w:rPr>
                <w:rFonts w:hint="eastAsia" w:ascii="宋体" w:hAnsi="宋体"/>
                <w:color w:val="000000" w:themeColor="text1"/>
                <w14:textFill>
                  <w14:solidFill>
                    <w14:schemeClr w14:val="tx1"/>
                  </w14:solidFill>
                </w14:textFill>
              </w:rPr>
            </w:pPr>
          </w:p>
        </w:tc>
        <w:tc>
          <w:tcPr>
            <w:tcW w:w="697" w:type="dxa"/>
            <w:vMerge w:val="continue"/>
            <w:tcBorders>
              <w:top w:val="single" w:color="000000" w:sz="6" w:space="0"/>
              <w:left w:val="nil"/>
              <w:bottom w:val="single" w:color="000000" w:sz="6" w:space="0"/>
              <w:right w:val="single" w:color="auto" w:sz="4" w:space="0"/>
            </w:tcBorders>
            <w:vAlign w:val="center"/>
          </w:tcPr>
          <w:p w14:paraId="5755A05C">
            <w:pPr>
              <w:widowControl/>
              <w:jc w:val="left"/>
              <w:rPr>
                <w:rFonts w:hint="eastAsia" w:ascii="宋体" w:hAnsi="宋体"/>
                <w:color w:val="000000" w:themeColor="text1"/>
                <w14:textFill>
                  <w14:solidFill>
                    <w14:schemeClr w14:val="tx1"/>
                  </w14:solidFill>
                </w14:textFill>
              </w:rPr>
            </w:pPr>
          </w:p>
        </w:tc>
        <w:tc>
          <w:tcPr>
            <w:tcW w:w="3613" w:type="dxa"/>
            <w:gridSpan w:val="3"/>
            <w:vMerge w:val="continue"/>
            <w:tcBorders>
              <w:top w:val="single" w:color="000000" w:sz="6" w:space="0"/>
              <w:left w:val="nil"/>
              <w:bottom w:val="single" w:color="000000" w:sz="6" w:space="0"/>
              <w:right w:val="single" w:color="000000" w:sz="6" w:space="0"/>
            </w:tcBorders>
            <w:vAlign w:val="center"/>
          </w:tcPr>
          <w:p w14:paraId="0AF5D40C">
            <w:pPr>
              <w:widowControl/>
              <w:jc w:val="left"/>
              <w:rPr>
                <w:rFonts w:hint="eastAsia" w:ascii="宋体" w:hAnsi="宋体"/>
                <w:color w:val="000000" w:themeColor="text1"/>
                <w14:textFill>
                  <w14:solidFill>
                    <w14:schemeClr w14:val="tx1"/>
                  </w14:solidFill>
                </w14:textFill>
              </w:rPr>
            </w:pPr>
          </w:p>
        </w:tc>
        <w:tc>
          <w:tcPr>
            <w:tcW w:w="1091" w:type="dxa"/>
            <w:tcBorders>
              <w:top w:val="single" w:color="000000" w:sz="6" w:space="0"/>
              <w:left w:val="nil"/>
              <w:bottom w:val="single" w:color="000000" w:sz="6" w:space="0"/>
              <w:right w:val="single" w:color="000000" w:sz="6" w:space="0"/>
            </w:tcBorders>
            <w:vAlign w:val="center"/>
          </w:tcPr>
          <w:p w14:paraId="13D4960C">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专业班级</w:t>
            </w:r>
          </w:p>
        </w:tc>
        <w:tc>
          <w:tcPr>
            <w:tcW w:w="1704" w:type="dxa"/>
            <w:tcBorders>
              <w:top w:val="single" w:color="000000" w:sz="6" w:space="0"/>
              <w:left w:val="nil"/>
              <w:bottom w:val="single" w:color="000000" w:sz="6" w:space="0"/>
              <w:right w:val="single" w:color="000000" w:sz="6" w:space="0"/>
            </w:tcBorders>
            <w:vAlign w:val="center"/>
          </w:tcPr>
          <w:p w14:paraId="5D8CFAFD">
            <w:pPr>
              <w:jc w:val="cente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数经2201</w:t>
            </w:r>
          </w:p>
        </w:tc>
      </w:tr>
      <w:tr w14:paraId="7FEF2C45">
        <w:tblPrEx>
          <w:tblCellMar>
            <w:top w:w="0" w:type="dxa"/>
            <w:left w:w="28" w:type="dxa"/>
            <w:bottom w:w="0" w:type="dxa"/>
            <w:right w:w="28" w:type="dxa"/>
          </w:tblCellMar>
        </w:tblPrEx>
        <w:trPr>
          <w:trHeight w:val="435" w:hRule="atLeast"/>
          <w:jc w:val="center"/>
        </w:trPr>
        <w:tc>
          <w:tcPr>
            <w:tcW w:w="875" w:type="dxa"/>
            <w:tcBorders>
              <w:top w:val="single" w:color="000000" w:sz="6" w:space="0"/>
              <w:left w:val="single" w:color="000000" w:sz="6" w:space="0"/>
              <w:bottom w:val="single" w:color="000000" w:sz="6" w:space="0"/>
              <w:right w:val="single" w:color="000000" w:sz="6" w:space="0"/>
            </w:tcBorders>
            <w:vAlign w:val="center"/>
          </w:tcPr>
          <w:p w14:paraId="1325200E">
            <w:pPr>
              <w:widowControl/>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题目</w:t>
            </w:r>
          </w:p>
        </w:tc>
        <w:tc>
          <w:tcPr>
            <w:tcW w:w="5534" w:type="dxa"/>
            <w:gridSpan w:val="6"/>
            <w:tcBorders>
              <w:top w:val="single" w:color="000000" w:sz="6" w:space="0"/>
              <w:left w:val="nil"/>
              <w:bottom w:val="single" w:color="000000" w:sz="6" w:space="0"/>
              <w:right w:val="single" w:color="000000" w:sz="6" w:space="0"/>
            </w:tcBorders>
            <w:vAlign w:val="center"/>
          </w:tcPr>
          <w:p w14:paraId="124B7914">
            <w:pPr>
              <w:jc w:val="center"/>
              <w:rPr>
                <w:rFonts w:hint="eastAsia" w:ascii="宋体" w:hAnsi="宋体"/>
                <w:color w:val="000000" w:themeColor="text1"/>
                <w14:textFill>
                  <w14:solidFill>
                    <w14:schemeClr w14:val="tx1"/>
                  </w14:solidFill>
                </w14:textFill>
              </w:rPr>
            </w:pPr>
            <w:bookmarkStart w:id="1" w:name="OLE_LINK1"/>
            <w:r>
              <w:rPr>
                <w:rFonts w:hint="eastAsia" w:ascii="宋体" w:hAnsi="宋体" w:eastAsia="宋体" w:cs="Times New Roman"/>
                <w:color w:val="auto"/>
                <w:szCs w:val="21"/>
                <w14:ligatures w14:val="none"/>
              </w:rPr>
              <w:t>基于注意力机制 LSTM 的北京市 PM2.5 浓度 72 小时多步预测研究</w:t>
            </w:r>
            <w:bookmarkEnd w:id="1"/>
          </w:p>
        </w:tc>
        <w:tc>
          <w:tcPr>
            <w:tcW w:w="1091" w:type="dxa"/>
            <w:tcBorders>
              <w:top w:val="single" w:color="000000" w:sz="6" w:space="0"/>
              <w:left w:val="nil"/>
              <w:bottom w:val="single" w:color="000000" w:sz="6" w:space="0"/>
              <w:right w:val="single" w:color="000000" w:sz="6" w:space="0"/>
            </w:tcBorders>
            <w:vAlign w:val="center"/>
          </w:tcPr>
          <w:p w14:paraId="7470AC62">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研究方向</w:t>
            </w:r>
          </w:p>
        </w:tc>
        <w:tc>
          <w:tcPr>
            <w:tcW w:w="1704" w:type="dxa"/>
            <w:tcBorders>
              <w:top w:val="single" w:color="000000" w:sz="6" w:space="0"/>
              <w:left w:val="nil"/>
              <w:bottom w:val="single" w:color="000000" w:sz="6" w:space="0"/>
              <w:right w:val="single" w:color="000000" w:sz="6" w:space="0"/>
            </w:tcBorders>
            <w:vAlign w:val="center"/>
          </w:tcPr>
          <w:p w14:paraId="21922DAE">
            <w:pPr>
              <w:jc w:val="center"/>
              <w:rPr>
                <w:rFonts w:hint="eastAsia" w:ascii="宋体" w:hAnsi="宋体"/>
                <w:b/>
                <w:color w:val="000000" w:themeColor="text1"/>
                <w14:textFill>
                  <w14:solidFill>
                    <w14:schemeClr w14:val="tx1"/>
                  </w14:solidFill>
                </w14:textFill>
              </w:rPr>
            </w:pPr>
            <w:bookmarkStart w:id="2" w:name="OLE_LINK2"/>
            <w:r>
              <w:rPr>
                <w:rFonts w:hint="eastAsia" w:ascii="宋体" w:hAnsi="宋体" w:eastAsia="宋体" w:cs="Times New Roman"/>
                <w:color w:val="auto"/>
                <w:szCs w:val="21"/>
                <w14:ligatures w14:val="none"/>
              </w:rPr>
              <w:t>机器学习；数据分析</w:t>
            </w:r>
            <w:bookmarkEnd w:id="2"/>
          </w:p>
        </w:tc>
      </w:tr>
      <w:tr w14:paraId="4C672728">
        <w:tblPrEx>
          <w:tblCellMar>
            <w:top w:w="0" w:type="dxa"/>
            <w:left w:w="28" w:type="dxa"/>
            <w:bottom w:w="0" w:type="dxa"/>
            <w:right w:w="28" w:type="dxa"/>
          </w:tblCellMar>
        </w:tblPrEx>
        <w:trPr>
          <w:cantSplit/>
          <w:trHeight w:val="2343" w:hRule="atLeast"/>
          <w:jc w:val="center"/>
        </w:trPr>
        <w:tc>
          <w:tcPr>
            <w:tcW w:w="875" w:type="dxa"/>
            <w:tcBorders>
              <w:top w:val="single" w:color="000000" w:sz="6" w:space="0"/>
              <w:left w:val="single" w:color="000000" w:sz="6" w:space="0"/>
              <w:bottom w:val="single" w:color="000000" w:sz="6" w:space="0"/>
              <w:right w:val="single" w:color="000000" w:sz="6" w:space="0"/>
            </w:tcBorders>
            <w:textDirection w:val="tbRlV"/>
            <w:vAlign w:val="center"/>
          </w:tcPr>
          <w:p w14:paraId="15825EE3">
            <w:pPr>
              <w:ind w:left="113" w:right="113"/>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选  题  价  值</w:t>
            </w:r>
          </w:p>
        </w:tc>
        <w:tc>
          <w:tcPr>
            <w:tcW w:w="8329" w:type="dxa"/>
            <w:gridSpan w:val="8"/>
            <w:tcBorders>
              <w:top w:val="single" w:color="000000" w:sz="6" w:space="0"/>
              <w:left w:val="nil"/>
              <w:bottom w:val="single" w:color="000000" w:sz="6" w:space="0"/>
              <w:right w:val="single" w:color="000000" w:sz="6" w:space="0"/>
            </w:tcBorders>
          </w:tcPr>
          <w:p w14:paraId="3CD2F34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随着我国城市化和工业化进程的持续推进，大气污染问题依然是制约城市可持续发展的重要环境因素。其中，细颗粒物（PM2.5）因粒径小、停留时间长、可深入人体呼吸系统并携带多种有毒有害物质，已被公认为影响公众健康和城市空气质量的关键污染物。大量研究表明，PM2.5 浓度升高与呼吸系统疾病、心血管疾病及过早死亡率显著相关，因此对其进行准确预测具有重要现实意义。北京市作为我国政治、经济与文化中心，人口密集、交通负荷大、能源消费结构复杂，其 PM2.5 浓度呈现出显著的时间非平稳性、季节差异性与突发波动特征。尽管近年来在大气污染防治政策推动下，北京市空气质量总体趋于改善，但在不利气象条件和区域输送影响下，重污染过程仍时有发生，这对空气质量预警和精细化治理提出了更高要求。传统 PM2.5 预测方法主要包括统计模型和数值机理模型。统计模型（如线性回归、ARIMA 等）在处理复杂非线性关系和长期依赖特征方面存在明显局限；数值机理模型虽然具备较强的物理解释能力，但对排放清单和气象场的依赖程度高、计算成本大，难以满足高时效、多步预测的实际需求。在此背景下，基于数据驱动的机器学习和深度学习方法逐渐成为空气质量预测研究的重要方向。长短期记忆网络（LSTM）作为一种典型的循环神经网络结构，能够有效刻画时间序列中的长期依赖关系，在 PM2.5 浓度预测中表现出较强优势。然而，标准 LSTM 在多步预测任务中容易受到历史冗余信息干扰，导致预测误差随时间步长增加而累积。注意力机制通过对不同时间步信息进行动态加权，可突出对预测结果贡献更大的关键时刻特征，为提升中长期预测精度提供了新的技术路径。因此，将注意力机制引入 LSTM 模型，用于北京市 PM2.5 浓度的 72 小时多步预测，具有明确的研究价值和现实背景。本研究围绕北京市 PM2.5 浓度预测，重点关注以下问题：</w:t>
            </w:r>
          </w:p>
          <w:p w14:paraId="1DFDC5E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eastAsia" w:ascii="Times New Roman" w:hAnsi="Times New Roman" w:cs="Times New Roman"/>
                <w:b w:val="0"/>
                <w:bCs w:val="0"/>
                <w:kern w:val="2"/>
                <w:sz w:val="21"/>
                <w:szCs w:val="21"/>
                <w:lang w:val="en-US" w:eastAsia="zh-CN" w:bidi="ar-SA"/>
              </w:rPr>
              <w:t>1.</w:t>
            </w:r>
            <w:r>
              <w:rPr>
                <w:rFonts w:hint="default" w:ascii="Times New Roman" w:hAnsi="Times New Roman" w:eastAsia="宋体" w:cs="Times New Roman"/>
                <w:b w:val="0"/>
                <w:bCs w:val="0"/>
                <w:kern w:val="2"/>
                <w:sz w:val="21"/>
                <w:szCs w:val="21"/>
                <w:lang w:val="en-US" w:eastAsia="zh-CN" w:bidi="ar-SA"/>
              </w:rPr>
              <w:t>如何构建融合注意力机制的 LSTM 模型，以有效刻画 PM2.5 浓度时间序列中的非线性特征与长期依赖关系；</w:t>
            </w:r>
          </w:p>
          <w:p w14:paraId="357703C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eastAsia" w:ascii="Times New Roman" w:hAnsi="Times New Roman" w:cs="Times New Roman"/>
                <w:b w:val="0"/>
                <w:bCs w:val="0"/>
                <w:kern w:val="2"/>
                <w:sz w:val="21"/>
                <w:szCs w:val="21"/>
                <w:lang w:val="en-US" w:eastAsia="zh-CN" w:bidi="ar-SA"/>
              </w:rPr>
              <w:t>2.</w:t>
            </w:r>
            <w:r>
              <w:rPr>
                <w:rFonts w:hint="default" w:ascii="Times New Roman" w:hAnsi="Times New Roman" w:eastAsia="宋体" w:cs="Times New Roman"/>
                <w:b w:val="0"/>
                <w:bCs w:val="0"/>
                <w:kern w:val="2"/>
                <w:sz w:val="21"/>
                <w:szCs w:val="21"/>
                <w:lang w:val="en-US" w:eastAsia="zh-CN" w:bidi="ar-SA"/>
              </w:rPr>
              <w:t>如何实现 72 小时多步预测任务，并缓解传统时间序列模型在中长期预测中精度衰减的问题；</w:t>
            </w:r>
          </w:p>
          <w:p w14:paraId="6C6A2B0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eastAsia" w:ascii="Times New Roman" w:hAnsi="Times New Roman" w:cs="Times New Roman"/>
                <w:b w:val="0"/>
                <w:bCs w:val="0"/>
                <w:kern w:val="2"/>
                <w:sz w:val="21"/>
                <w:szCs w:val="21"/>
                <w:lang w:val="en-US" w:eastAsia="zh-CN" w:bidi="ar-SA"/>
              </w:rPr>
              <w:t>3.</w:t>
            </w:r>
            <w:r>
              <w:rPr>
                <w:rFonts w:hint="default" w:ascii="Times New Roman" w:hAnsi="Times New Roman" w:eastAsia="宋体" w:cs="Times New Roman"/>
                <w:b w:val="0"/>
                <w:bCs w:val="0"/>
                <w:kern w:val="2"/>
                <w:sz w:val="21"/>
                <w:szCs w:val="21"/>
                <w:lang w:val="en-US" w:eastAsia="zh-CN" w:bidi="ar-SA"/>
              </w:rPr>
              <w:t>如何基于历史污染物浓度与气象因素数据，提升模型对重污染过程和突发变化的预测能力；</w:t>
            </w:r>
          </w:p>
          <w:p w14:paraId="5645F0E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eastAsia" w:ascii="Times New Roman" w:hAnsi="Times New Roman" w:cs="Times New Roman"/>
                <w:b w:val="0"/>
                <w:bCs w:val="0"/>
                <w:kern w:val="2"/>
                <w:sz w:val="21"/>
                <w:szCs w:val="21"/>
                <w:lang w:val="en-US" w:eastAsia="zh-CN" w:bidi="ar-SA"/>
              </w:rPr>
              <w:t>4.</w:t>
            </w:r>
            <w:r>
              <w:rPr>
                <w:rFonts w:hint="default" w:ascii="Times New Roman" w:hAnsi="Times New Roman" w:eastAsia="宋体" w:cs="Times New Roman"/>
                <w:b w:val="0"/>
                <w:bCs w:val="0"/>
                <w:kern w:val="2"/>
                <w:sz w:val="21"/>
                <w:szCs w:val="21"/>
                <w:lang w:val="en-US" w:eastAsia="zh-CN" w:bidi="ar-SA"/>
              </w:rPr>
              <w:t>如何评估模型在不同预测步长下的稳定性与可靠性，为空气质量预警提供科学依据。</w:t>
            </w:r>
          </w:p>
          <w:p w14:paraId="2EFDDC7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本研究将注意力机制与 LSTM 网络相结合，引入动态权重分配思想，有助于深化对 PM2.5 时间序列内部结构特征的理解，为复杂环境时序数据建模提供新的研究视角。相较于以往以短期或单步预测为主的研究，72 小时多步预测更贴近实际决策需求。注意力机制能够反映不同历史时间步对预测结果的相对重要性，为分析 PM2.5 浓度变化的关键时段提供数据驱动依据，在一定程度上弥补传统“黑箱模型”的不足。</w:t>
            </w:r>
          </w:p>
          <w:p w14:paraId="1CA9B6F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kern w:val="2"/>
                <w:sz w:val="21"/>
                <w:szCs w:val="21"/>
                <w:lang w:val="en-US" w:eastAsia="zh-CN" w:bidi="ar-SA"/>
              </w:rPr>
              <w:t>准确的 72 小时 PM2.5 浓度预测结果可为北京市空气质量预警发布、污染过程研判及应急响应提供技术支撑。辅助政府环境决策与污染防控中短期预测结果可为交通管制、工业限排等调控措施的提前部署提供量化依据，提高污染防控的前瞻性和针对性。提升公众健康风险防范能力更可靠的空气质量预测信息有助于公众合理安排出行和户外活动，降低空气污染对健康的潜在影响。</w:t>
            </w:r>
          </w:p>
          <w:p w14:paraId="697F68A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eastAsia="宋体" w:cs="Times New Roman"/>
                <w:b w:val="0"/>
                <w:bCs w:val="0"/>
                <w:kern w:val="2"/>
                <w:sz w:val="21"/>
                <w:szCs w:val="21"/>
                <w:lang w:val="en-US" w:eastAsia="zh-CN" w:bidi="ar-SA"/>
              </w:rPr>
            </w:pPr>
          </w:p>
          <w:p w14:paraId="2EC4BBD8">
            <w:pPr>
              <w:pStyle w:val="7"/>
              <w:spacing w:line="360" w:lineRule="auto"/>
              <w:jc w:val="left"/>
              <w:rPr>
                <w:rFonts w:hint="eastAsia" w:ascii="宋体" w:hAnsi="宋体"/>
                <w:color w:val="000000" w:themeColor="text1"/>
                <w14:textFill>
                  <w14:solidFill>
                    <w14:schemeClr w14:val="tx1"/>
                  </w14:solidFill>
                </w14:textFill>
              </w:rPr>
            </w:pPr>
          </w:p>
        </w:tc>
      </w:tr>
      <w:tr w14:paraId="517A82AF">
        <w:tblPrEx>
          <w:tblCellMar>
            <w:top w:w="0" w:type="dxa"/>
            <w:left w:w="28" w:type="dxa"/>
            <w:bottom w:w="0" w:type="dxa"/>
            <w:right w:w="28" w:type="dxa"/>
          </w:tblCellMar>
        </w:tblPrEx>
        <w:trPr>
          <w:cantSplit/>
          <w:trHeight w:val="2506" w:hRule="atLeast"/>
          <w:jc w:val="center"/>
        </w:trPr>
        <w:tc>
          <w:tcPr>
            <w:tcW w:w="875" w:type="dxa"/>
            <w:tcBorders>
              <w:top w:val="single" w:color="000000" w:sz="6" w:space="0"/>
              <w:left w:val="single" w:color="000000" w:sz="6" w:space="0"/>
              <w:bottom w:val="single" w:color="auto" w:sz="4" w:space="0"/>
              <w:right w:val="single" w:color="000000" w:sz="6" w:space="0"/>
            </w:tcBorders>
            <w:textDirection w:val="tbRlV"/>
            <w:vAlign w:val="center"/>
          </w:tcPr>
          <w:p w14:paraId="2C5613A2">
            <w:pPr>
              <w:ind w:left="113" w:right="113"/>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文  献  综  述</w:t>
            </w:r>
          </w:p>
        </w:tc>
        <w:tc>
          <w:tcPr>
            <w:tcW w:w="8329" w:type="dxa"/>
            <w:gridSpan w:val="8"/>
            <w:tcBorders>
              <w:top w:val="single" w:color="000000" w:sz="6" w:space="0"/>
              <w:left w:val="nil"/>
              <w:bottom w:val="single" w:color="auto" w:sz="4" w:space="0"/>
              <w:right w:val="single" w:color="000000" w:sz="6" w:space="0"/>
            </w:tcBorders>
          </w:tcPr>
          <w:p w14:paraId="021D16E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随着大气污染问题的持续加剧，PM2.5 浓度的精准预测已成为环境科学、气象科学与数据科学交叉领域的重要研究方向。PM2.5 作为影响空气质量和公众健康的重要污染物，其浓度变化受气象条件、人为排放以及区域传输等多重因素共同作用，呈现出显著的非线性和时序相关特征。传统统计模型和数值模拟方法在刻画此类复杂非线性演化规律方面存在一定局限，难以满足高精度预测需求。近年来，机器学习与深度学习方法因其在非线性建模和高维特征学习方面的优势，被广泛应用于空气污染预测研究中。以昆明市为例的实证研究表明，在多种机器学习模型中，XGBoost 在 PM2.5 短期预测任务中表现较优，但其对时间依赖特征的刻画能力仍相对有限[1]。</w:t>
            </w:r>
          </w:p>
          <w:p w14:paraId="1B0169B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在逐小时 PM2.5 浓度预测研究中，对 XGBoost、LightGBM、LSTM 等模型的系统对比结果显示，深度学习模型在复杂非线性关系建模方面具有明显潜力，但在预测时间尺度扩展时，其预测精度仍存在下降趋势[2]。为进一步提升模型在时间序列预测中的表现，有研究引入注意力机制并将其与 LSTM 相结合，构建了空气污染物浓度预测模型，结果表明该模型在短期多步预测中显著优于传统 LSTM，有效缓解了预测误差随时间步增加而扩大的问题[3]。除 PM2.5 预测外，相关方法在其他污染物预测领域亦得到了验证。例如，在工业场景下开展的 NOx 浓度预测研究中，改进的 LSTM 与注意力机制融合模型表现出较强的泛化能力，为复杂时序预测问题提供了有益思路，对 PM2.5 预测研究具有重要借鉴意义[4]。在区域尺度上，针对南昌市大气污染物开展的研究通过构建 CNN-LSTM-Attention 模型，实现了对污染物时空特征的联合建模，结果显示该模型在 PM2.5 预测中的决定系数显著提升[5]。</w:t>
            </w:r>
          </w:p>
          <w:p w14:paraId="0F54712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default" w:ascii="Times New Roman" w:hAnsi="Times New Roman" w:cs="Times New Roman"/>
                <w:b/>
                <w:bCs/>
                <w:kern w:val="0"/>
                <w:sz w:val="24"/>
                <w:szCs w:val="24"/>
                <w:lang w:val="en-US" w:eastAsia="zh-CN" w:bidi="ar-SA"/>
              </w:rPr>
            </w:pPr>
            <w:r>
              <w:rPr>
                <w:rFonts w:hint="default" w:ascii="Times New Roman" w:hAnsi="Times New Roman" w:cs="Times New Roman"/>
                <w:b/>
                <w:bCs/>
                <w:kern w:val="0"/>
                <w:sz w:val="24"/>
                <w:szCs w:val="24"/>
                <w:lang w:val="en-US" w:eastAsia="zh-CN" w:bidi="ar-SA"/>
              </w:rPr>
              <w:t>1. 基于深度学习的 PM2.5 时间序列预测研究</w:t>
            </w:r>
          </w:p>
          <w:p w14:paraId="34CB819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在 PM2.5 浓度预测研究中，深度学习模型因能够有效刻画污染物浓度与气象因子之间复杂的非线性关系而受到广泛关注。相较于传统统计模型和部分机器学习方法，深度学习模型在处理高维、多变量、强非线性的时间序列数据方面具有更强的适应性。其中，长短期记忆网络（LSTM）通过门控结构有效缓解了传统循环神经网络在长序列训练中易出现的梯度消失和梯度爆炸问题，使模型能够同时捕捉 PM2.5 浓度变化中的短期波动和长期趋势。基于江苏沿海地区的研究表明，机器学习模型在 PM2.5 与 O₃ 浓度预测中具有较好性能，但单一模型在长期预测任务中仍存在一定局限性[6]。在多步预测研究中，序列到序列（Seq2Seq）结构被逐渐引入 PM2.5 小时浓度预测领域。基于北京市多站点数据的研究结果表明，融合图卷积神经网络与注意力机制的 Seq2Seq 模型能够有效建模 PM2.5 浓度的时空依赖关系，在多步预测任务中保持较高的预测精度[7]。在模型结构改进方面，CNN 与 LSTM 的融合被证明有助于提取时间序列中的局部特征和长期依赖特征，相关研究在 PM2.5 浓度预测中取得了较好的效果[8]。在模型融合层面，将 XGBoost 与 LSTM 进行组合的研究表明，该方法能够在一定程度上兼顾非线性特征建模与时间依赖特征提取，从而提升预测精度[9]。此外，Prophet 与 LightGBM 的组合模型在 PM2.5 浓度预测中表现出良好的稳定性，为多模型融合提供了新的思路[10]。在混合模型研究中，LSTM 与 SVR 结合的预测模型在部分情景下展现出较好的泛化能力，但其性能仍受限于预测时间尺度[11]。</w:t>
            </w:r>
          </w:p>
          <w:p w14:paraId="68895409">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default" w:ascii="Times New Roman" w:hAnsi="Times New Roman" w:cs="Times New Roman"/>
                <w:b/>
                <w:bCs/>
                <w:kern w:val="0"/>
                <w:sz w:val="24"/>
                <w:szCs w:val="24"/>
                <w:lang w:val="en-US" w:eastAsia="zh-CN" w:bidi="ar-SA"/>
              </w:rPr>
            </w:pPr>
            <w:r>
              <w:rPr>
                <w:rFonts w:hint="default" w:ascii="Times New Roman" w:hAnsi="Times New Roman" w:cs="Times New Roman"/>
                <w:b/>
                <w:bCs/>
                <w:kern w:val="0"/>
                <w:sz w:val="24"/>
                <w:szCs w:val="24"/>
                <w:lang w:val="en-US" w:eastAsia="zh-CN" w:bidi="ar-SA"/>
              </w:rPr>
              <w:t>2. 融合注意力机制的多步预测研究</w:t>
            </w:r>
          </w:p>
          <w:p w14:paraId="5197196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200"/>
              <w:textAlignment w:val="auto"/>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针对 PM2.5 多步预测过程中普遍存在的误差累积和预测滞后问题，注意力机制逐渐被引入时间序列预测模型中。基于郑州市数据的研究表明，机器学习模型在 PM2.5 与 O₃ 浓度预测中能够较好地刻画气象因子的影响，但在复杂时序特征学习方面仍有提升空间[12]。注意力机制通过对关键时间步和特征赋予不同权重，使模型能够更加关注对预测结果贡献较大的信息，从而提高预测稳定性。相关研究表明，注意力机制不仅在空气污染预测中表现出良好效果，在钢结构腐蚀等复杂时序预测任务中同样能够显著提升模型性能[13]。在模型迁移方面，基于迁移学习的混合预测模型被引入 PM2.5 浓度预测研究中，有效提高了模型在不同区域和数据条件下的泛化能力[14]。在空气质量综合指标预测方面，集成深度学习模型在 AQI 预测中取得了较高精度，进一步验证了深度学习方法在空气质量预测领域的适用性[15]。此外，注意力机制与 CNN、LSTM 等模型的融合在其他工程领域同样取得了良好应用效果。例如，在岩爆风险预测研究中，融合注意力机制与卷积神经网络的 LSTM 模型显著提升了预测精度，为复杂非线性时序问题的建模提供了重要参考[16]。</w:t>
            </w:r>
          </w:p>
          <w:p w14:paraId="67FD9F0A">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eastAsia" w:ascii="Times New Roman" w:hAnsi="Times New Roman"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3.</w:t>
            </w:r>
            <w:r>
              <w:rPr>
                <w:rFonts w:hint="eastAsia" w:ascii="Times New Roman" w:hAnsi="Times New Roman" w:cs="Times New Roman"/>
                <w:b/>
                <w:bCs/>
                <w:kern w:val="0"/>
                <w:sz w:val="24"/>
                <w:szCs w:val="24"/>
                <w:lang w:val="en-US" w:eastAsia="zh-CN" w:bidi="ar-SA"/>
              </w:rPr>
              <w:t>预测成功后的 PM2.5 及相关大气污染防控对策分析</w:t>
            </w:r>
          </w:p>
          <w:p w14:paraId="784E1662">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firstLine="420" w:firstLineChars="200"/>
              <w:jc w:val="left"/>
              <w:textAlignment w:val="auto"/>
              <w:outlineLvl w:val="2"/>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PM2.5 浓度预测研究的最终目标不仅在于提升模型预测精度，更在于将预测结果有效服务于大气污染防控实践。在深度学习模型，尤其是融合注意力机制的 LSTM 模型实现对 PM2.5 浓度的高精度多步预测后，可为环境管理部门提供更具前瞻性的决策支持，从而推动大气污染防治由事后响应向事前预警和主动干预转变。首先，高精度的 PM2.5 多步预测结果可为污染预警与分级响应机制提供科学依据。通过对未来 72 小时 PM2.5 浓度变化趋势的提前研判，管理政府部门能够在污染过程尚未完全形成之前发布预警信息，合理启动相应级别的应急响应措施。例如，在预测结果显示未来将出现持续性重污染天气时，可提前实施机动车限行、重点工业企业限产或错峰生产等措施，从源头上削弱污染物排放强度，降低污染峰值水平。其次，预测结果有助于精准识别污染过程的关键时段和影响因素。融合注意力机制的预测模型能够突出对预测结果贡献较大的历史时间步和关键特征变量，这为分析污染物演变规律提供了新的技术手段。通过对模型注意力权重分布的分析，可进一步结合气象条件（如风速、边界层高度、湿度等）识别污染积累和扩散的关键阶段，从而为制定差异化、精细化的污染防控措施提供支持。再次，PM2.5 多步预测结果可为公众健康防护与社会管理决策提供重要参考。提前获取空气质量变化趋势，有助于政府部门向公众发布科学的健康防护建议，引导敏感人群合理调整出行和户外活动安排。同时，学校、医院及大型公共机构也可根据预测信息合理安排教学、诊疗和运营计划，从而降低空气污染对社会运行和公众健康的负面影响。此外，基于预测结果的持续监测与反馈机制，有助于评估污染防控措施的实施效果。通过将预测值与实际观测值进行对比分析，可检验既有防控措施在不同污染情景下的有效性，为后续政策调整和优化提供数据支撑。这种“预测—实施—评估—优化”的闭环管理模式，有利于提升大气污染治理的科学性和长期稳定性。总体而言，借助融合注意力机制的深度学习模型实现 PM2.5 浓度的高精度多步预测，不仅能够提升空气质量预测的技术水平，也为大气污染的精细化防控、环境管理决策和公众健康保护提供了重要支撑。然而，要充分发挥预测结果在实际治理中的应用价值，仍需进一步加强模型预测结果与环境政策执行、气象预报体系及多部门协同机制之间的有效衔接。</w:t>
            </w:r>
          </w:p>
          <w:p w14:paraId="3FBA5207">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default" w:ascii="Times New Roman" w:hAnsi="Times New Roman" w:cs="Times New Roman"/>
                <w:b/>
                <w:bCs/>
                <w:kern w:val="0"/>
                <w:sz w:val="24"/>
                <w:szCs w:val="24"/>
                <w:lang w:val="en-US" w:eastAsia="zh-CN" w:bidi="ar-SA"/>
              </w:rPr>
            </w:pPr>
            <w:r>
              <w:rPr>
                <w:rFonts w:hint="eastAsia" w:ascii="Times New Roman" w:hAnsi="Times New Roman" w:cs="Times New Roman"/>
                <w:b/>
                <w:bCs/>
                <w:kern w:val="0"/>
                <w:sz w:val="24"/>
                <w:szCs w:val="24"/>
                <w:lang w:val="en-US" w:eastAsia="zh-CN" w:bidi="ar-SA"/>
              </w:rPr>
              <w:t>4.文献评述</w:t>
            </w:r>
          </w:p>
          <w:p w14:paraId="6BFC264B">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firstLine="420" w:firstLineChars="200"/>
              <w:jc w:val="left"/>
              <w:textAlignment w:val="auto"/>
              <w:outlineLvl w:val="2"/>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综上所述，国内外学者围绕 PM2.5 浓度预测问题开展了大量研究，并在模型构建方法、特征选取以及预测精度提升等方面取得了较为丰富的成果。从研究方法演进来看，PM2.5 预测模型经历了由传统统计模型、机器学习模型向深度学习模型逐步发展的过程。其中，LSTM 及其改进模型因在时间序列建模方面具有显著优势，已成为当前 PM2.5 浓度预测研究的重要技术手段。现有研究普遍表明，深度学习模型能够较好地刻画 PM2.5 浓度与气象因素之间复杂的非线性关系，在逐小时或短期预测任务中表现出较高的预测精度。同时，随着研究的深入，学者们逐渐意识到单一模型在多步预测中存在误差累积和预测滞后等问题，并尝试通过引入注意力机制、卷积结构或模型融合等方式对传统 LSTM 模型进行改进。相关研究结果表明，注意力机制能够有效增强模型对关键信息的识别能力，在一定程度上缓解多步预测中预测精度随时间步增加而下降的问题。</w:t>
            </w:r>
          </w:p>
          <w:p w14:paraId="3AAE6DB8">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firstLine="420" w:firstLineChars="200"/>
              <w:jc w:val="left"/>
              <w:textAlignment w:val="auto"/>
              <w:outlineLvl w:val="2"/>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尽管上述研究取得了一定进展，但从整体来看，当前 PM2.5 浓度预测研究仍存在以下不足：</w:t>
            </w:r>
            <w:r>
              <w:rPr>
                <w:rFonts w:hint="default" w:ascii="Times New Roman" w:hAnsi="Times New Roman" w:eastAsia="宋体" w:cs="Times New Roman"/>
                <w:b w:val="0"/>
                <w:bCs w:val="0"/>
                <w:kern w:val="0"/>
                <w:sz w:val="21"/>
                <w:szCs w:val="21"/>
                <w:lang w:val="en-US" w:eastAsia="zh-CN" w:bidi="ar-SA"/>
              </w:rPr>
              <w:br w:type="textWrapping"/>
            </w:r>
            <w:r>
              <w:rPr>
                <w:rFonts w:hint="default" w:ascii="Times New Roman" w:hAnsi="Times New Roman" w:eastAsia="宋体" w:cs="Times New Roman"/>
                <w:b w:val="0"/>
                <w:bCs w:val="0"/>
                <w:kern w:val="0"/>
                <w:sz w:val="21"/>
                <w:szCs w:val="21"/>
                <w:lang w:val="en-US" w:eastAsia="zh-CN" w:bidi="ar-SA"/>
              </w:rPr>
              <w:t>（1）在预测时间尺度方面，多数研究仍集中于单步或短时多步预测，对连续 72 小时及以上的中长期多步预测研究相对较少，难以满足实际空气污染预警和精细化管理的需求；</w:t>
            </w:r>
            <w:r>
              <w:rPr>
                <w:rFonts w:hint="default" w:ascii="Times New Roman" w:hAnsi="Times New Roman" w:eastAsia="宋体" w:cs="Times New Roman"/>
                <w:b w:val="0"/>
                <w:bCs w:val="0"/>
                <w:kern w:val="0"/>
                <w:sz w:val="21"/>
                <w:szCs w:val="21"/>
                <w:lang w:val="en-US" w:eastAsia="zh-CN" w:bidi="ar-SA"/>
              </w:rPr>
              <w:br w:type="textWrapping"/>
            </w:r>
            <w:r>
              <w:rPr>
                <w:rFonts w:hint="default" w:ascii="Times New Roman" w:hAnsi="Times New Roman" w:eastAsia="宋体" w:cs="Times New Roman"/>
                <w:b w:val="0"/>
                <w:bCs w:val="0"/>
                <w:kern w:val="0"/>
                <w:sz w:val="21"/>
                <w:szCs w:val="21"/>
                <w:lang w:val="en-US" w:eastAsia="zh-CN" w:bidi="ar-SA"/>
              </w:rPr>
              <w:t>（2）在研究区域方面，针对北京市这一人口密集、污染成因复杂、气象条件多变的重点区域，系统性、多步预测研究仍显不足；</w:t>
            </w:r>
            <w:r>
              <w:rPr>
                <w:rFonts w:hint="default" w:ascii="Times New Roman" w:hAnsi="Times New Roman" w:eastAsia="宋体" w:cs="Times New Roman"/>
                <w:b w:val="0"/>
                <w:bCs w:val="0"/>
                <w:kern w:val="0"/>
                <w:sz w:val="21"/>
                <w:szCs w:val="21"/>
                <w:lang w:val="en-US" w:eastAsia="zh-CN" w:bidi="ar-SA"/>
              </w:rPr>
              <w:br w:type="textWrapping"/>
            </w:r>
            <w:r>
              <w:rPr>
                <w:rFonts w:hint="default" w:ascii="Times New Roman" w:hAnsi="Times New Roman" w:eastAsia="宋体" w:cs="Times New Roman"/>
                <w:b w:val="0"/>
                <w:bCs w:val="0"/>
                <w:kern w:val="0"/>
                <w:sz w:val="21"/>
                <w:szCs w:val="21"/>
                <w:lang w:val="en-US" w:eastAsia="zh-CN" w:bidi="ar-SA"/>
              </w:rPr>
              <w:t>（3）在模型结构方面，不同注意力机制与 LSTM 结合方式的作用机理尚未形成统一认识，模型泛化能力和稳定性仍有进一步提升空间；</w:t>
            </w:r>
            <w:r>
              <w:rPr>
                <w:rFonts w:hint="default" w:ascii="Times New Roman" w:hAnsi="Times New Roman" w:eastAsia="宋体" w:cs="Times New Roman"/>
                <w:b w:val="0"/>
                <w:bCs w:val="0"/>
                <w:kern w:val="0"/>
                <w:sz w:val="21"/>
                <w:szCs w:val="21"/>
                <w:lang w:val="en-US" w:eastAsia="zh-CN" w:bidi="ar-SA"/>
              </w:rPr>
              <w:br w:type="textWrapping"/>
            </w:r>
            <w:r>
              <w:rPr>
                <w:rFonts w:hint="default" w:ascii="Times New Roman" w:hAnsi="Times New Roman" w:eastAsia="宋体" w:cs="Times New Roman"/>
                <w:b w:val="0"/>
                <w:bCs w:val="0"/>
                <w:kern w:val="0"/>
                <w:sz w:val="21"/>
                <w:szCs w:val="21"/>
                <w:lang w:val="en-US" w:eastAsia="zh-CN" w:bidi="ar-SA"/>
              </w:rPr>
              <w:t>（4）在应用层面，部分研究侧重于预测精度对比，对预测结果在污染防控决策、公众健康保护等方面的应用分析不够深入。</w:t>
            </w:r>
          </w:p>
          <w:p w14:paraId="663D0F1D">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firstLine="420" w:firstLineChars="200"/>
              <w:jc w:val="left"/>
              <w:textAlignment w:val="auto"/>
              <w:outlineLvl w:val="2"/>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因此，有必要在已有研究基础上，进一步结合北京市空气污染特征，构建融合注意力机制的 LSTM 模型，系统开展 PM2.5 浓度 72 小时多步预测研究。通过引入注意力机制增强模型对关键时间步和重要特征的关注能力，有助于提升模型在中长期预测中的稳定性与准确性。同时，将预测结果与污染防控应用相结合，对提升空气质量预警能力和辅助环境管理决策具有重要的理论意义和现实价值。</w:t>
            </w:r>
          </w:p>
          <w:p w14:paraId="319A21BE">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default" w:ascii="Times New Roman" w:hAnsi="Times New Roman" w:cs="Times New Roman"/>
                <w:b/>
                <w:bCs/>
                <w:kern w:val="0"/>
                <w:sz w:val="24"/>
                <w:szCs w:val="24"/>
                <w:lang w:val="en-US" w:eastAsia="zh-CN" w:bidi="ar-SA"/>
              </w:rPr>
            </w:pPr>
            <w:r>
              <w:rPr>
                <w:rFonts w:hint="eastAsia" w:ascii="Times New Roman" w:hAnsi="Times New Roman" w:cs="Times New Roman"/>
                <w:b/>
                <w:bCs/>
                <w:kern w:val="0"/>
                <w:sz w:val="24"/>
                <w:szCs w:val="24"/>
                <w:lang w:val="en-US" w:eastAsia="zh-CN" w:bidi="ar-SA"/>
              </w:rPr>
              <w:t>5.参考文献</w:t>
            </w:r>
          </w:p>
          <w:p w14:paraId="229ED4F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[1]于璐,杨柯,马碧涛,等.基于多种机器学习模型的小时PM2.5浓度预测研究——以昆明市为例[J].环境监控与预警,2025,17(03):21-28.</w:t>
            </w:r>
          </w:p>
          <w:p w14:paraId="384B326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2</w:t>
            </w:r>
            <w:r>
              <w:rPr>
                <w:rFonts w:hint="default" w:ascii="Times New Roman" w:hAnsi="Times New Roman" w:cs="Times New Roman"/>
                <w:b w:val="0"/>
                <w:bCs w:val="0"/>
                <w:kern w:val="0"/>
                <w:sz w:val="21"/>
                <w:szCs w:val="21"/>
                <w:lang w:val="en-US" w:eastAsia="zh-CN" w:bidi="ar-SA"/>
              </w:rPr>
              <w:t>]陈建坤,牟凤云,张用川,等.基于多机器学习模型的逐小时PM2.5浓度预测对比[J].南京林业大学学报(自然科学版),2022,46(05):152-160.</w:t>
            </w:r>
          </w:p>
          <w:p w14:paraId="6058441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3</w:t>
            </w:r>
            <w:r>
              <w:rPr>
                <w:rFonts w:hint="default" w:ascii="Times New Roman" w:hAnsi="Times New Roman" w:cs="Times New Roman"/>
                <w:b w:val="0"/>
                <w:bCs w:val="0"/>
                <w:kern w:val="0"/>
                <w:sz w:val="21"/>
                <w:szCs w:val="21"/>
                <w:lang w:val="en-US" w:eastAsia="zh-CN" w:bidi="ar-SA"/>
              </w:rPr>
              <w:t>]宋益才.基于注意力机制和LSTM的空气污染物浓度预测研究[J].中国新技术新产品,2026,(01):117-119.</w:t>
            </w:r>
          </w:p>
          <w:p w14:paraId="21B46C8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4</w:t>
            </w:r>
            <w:r>
              <w:rPr>
                <w:rFonts w:hint="default" w:ascii="Times New Roman" w:hAnsi="Times New Roman" w:cs="Times New Roman"/>
                <w:b w:val="0"/>
                <w:bCs w:val="0"/>
                <w:kern w:val="0"/>
                <w:sz w:val="21"/>
                <w:szCs w:val="21"/>
                <w:lang w:val="en-US" w:eastAsia="zh-CN" w:bidi="ar-SA"/>
              </w:rPr>
              <w:t>]赵旭东,李军,王林,等.基于改进LSTM与注意力机制的SCR入口NO</w:t>
            </w:r>
            <w:r>
              <w:rPr>
                <w:rFonts w:hint="eastAsia" w:cs="Times New Roman"/>
                <w:b w:val="0"/>
                <w:bCs w:val="0"/>
                <w:kern w:val="0"/>
                <w:sz w:val="21"/>
                <w:szCs w:val="21"/>
                <w:vertAlign w:val="subscript"/>
                <w:lang w:val="en-US" w:eastAsia="zh-CN" w:bidi="ar-SA"/>
              </w:rPr>
              <w:t>x</w:t>
            </w:r>
            <w:r>
              <w:rPr>
                <w:rFonts w:hint="default" w:ascii="Times New Roman" w:hAnsi="Times New Roman" w:cs="Times New Roman"/>
                <w:b w:val="0"/>
                <w:bCs w:val="0"/>
                <w:kern w:val="0"/>
                <w:sz w:val="21"/>
                <w:szCs w:val="21"/>
                <w:lang w:val="en-US" w:eastAsia="zh-CN" w:bidi="ar-SA"/>
              </w:rPr>
              <w:t>生成浓度预测[J].动力工程学报,2025,45(12):2044-2055.</w:t>
            </w:r>
          </w:p>
          <w:p w14:paraId="387EC0B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5</w:t>
            </w:r>
            <w:r>
              <w:rPr>
                <w:rFonts w:hint="default" w:ascii="Times New Roman" w:hAnsi="Times New Roman" w:cs="Times New Roman"/>
                <w:b w:val="0"/>
                <w:bCs w:val="0"/>
                <w:kern w:val="0"/>
                <w:sz w:val="21"/>
                <w:szCs w:val="21"/>
                <w:lang w:val="en-US" w:eastAsia="zh-CN" w:bidi="ar-SA"/>
              </w:rPr>
              <w:t>]罗毛顺,李小龙.基于融合CNN-LSTM与注意力机制对南昌市大气污染物时空分析和预测方法[J].江西科学,2025,43(06):1098-1106.</w:t>
            </w:r>
          </w:p>
          <w:p w14:paraId="4DB5174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6</w:t>
            </w:r>
            <w:r>
              <w:rPr>
                <w:rFonts w:hint="default" w:ascii="Times New Roman" w:hAnsi="Times New Roman" w:cs="Times New Roman"/>
                <w:b w:val="0"/>
                <w:bCs w:val="0"/>
                <w:kern w:val="0"/>
                <w:sz w:val="21"/>
                <w:szCs w:val="21"/>
                <w:lang w:val="en-US" w:eastAsia="zh-CN" w:bidi="ar-SA"/>
              </w:rPr>
              <w:t>]王宁,李亚滨,曾燕,等.基于机器学习的PM2.5和O</w:t>
            </w:r>
            <w:r>
              <w:rPr>
                <w:rFonts w:hint="eastAsia" w:cs="Times New Roman"/>
                <w:b w:val="0"/>
                <w:bCs w:val="0"/>
                <w:kern w:val="0"/>
                <w:sz w:val="21"/>
                <w:szCs w:val="21"/>
                <w:vertAlign w:val="subscript"/>
                <w:lang w:val="en-US" w:eastAsia="zh-CN" w:bidi="ar-SA"/>
              </w:rPr>
              <w:t>3</w:t>
            </w:r>
            <w:r>
              <w:rPr>
                <w:rFonts w:hint="default" w:ascii="Times New Roman" w:hAnsi="Times New Roman" w:cs="Times New Roman"/>
                <w:b w:val="0"/>
                <w:bCs w:val="0"/>
                <w:kern w:val="0"/>
                <w:sz w:val="21"/>
                <w:szCs w:val="21"/>
                <w:lang w:val="en-US" w:eastAsia="zh-CN" w:bidi="ar-SA"/>
              </w:rPr>
              <w:t>浓度预测模型研究[J].环境生态学,2024,6(11):83-93+98.</w:t>
            </w:r>
          </w:p>
          <w:p w14:paraId="6329B31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7</w:t>
            </w:r>
            <w:r>
              <w:rPr>
                <w:rFonts w:hint="default" w:ascii="Times New Roman" w:hAnsi="Times New Roman" w:cs="Times New Roman"/>
                <w:b w:val="0"/>
                <w:bCs w:val="0"/>
                <w:kern w:val="0"/>
                <w:sz w:val="21"/>
                <w:szCs w:val="21"/>
                <w:lang w:val="en-US" w:eastAsia="zh-CN" w:bidi="ar-SA"/>
              </w:rPr>
              <w:t>]傅颖颖,张丰,杜震洪,等.融合图卷积神经网络和注意力机制的PM2.5小时浓度多步预测[J].浙江大学学报(理学版),2021,48(01):74-83.</w:t>
            </w:r>
          </w:p>
          <w:p w14:paraId="4A30361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8</w:t>
            </w:r>
            <w:r>
              <w:rPr>
                <w:rFonts w:hint="default" w:ascii="Times New Roman" w:hAnsi="Times New Roman" w:cs="Times New Roman"/>
                <w:b w:val="0"/>
                <w:bCs w:val="0"/>
                <w:kern w:val="0"/>
                <w:sz w:val="21"/>
                <w:szCs w:val="21"/>
                <w:lang w:val="en-US" w:eastAsia="zh-CN" w:bidi="ar-SA"/>
              </w:rPr>
              <w:t>]韩飞龙,冯淇萌,周晓政,等.基于CNN-SA-LSTM的PM2.5浓度预测模型[J].智能计算机与应用,2025,15(07):200-203.</w:t>
            </w:r>
          </w:p>
          <w:p w14:paraId="6E12EE3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9</w:t>
            </w:r>
            <w:r>
              <w:rPr>
                <w:rFonts w:hint="default" w:ascii="Times New Roman" w:hAnsi="Times New Roman" w:cs="Times New Roman"/>
                <w:b w:val="0"/>
                <w:bCs w:val="0"/>
                <w:kern w:val="0"/>
                <w:sz w:val="21"/>
                <w:szCs w:val="21"/>
                <w:lang w:val="en-US" w:eastAsia="zh-CN" w:bidi="ar-SA"/>
              </w:rPr>
              <w:t>]李子熠,张天宇,李鸿强.基于XGBoost和LSTM组合模型的PM2.5浓度预测[J].河北建筑工程学院学报,2023,41(04):219-223.</w:t>
            </w:r>
          </w:p>
          <w:p w14:paraId="7D334AC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10</w:t>
            </w:r>
            <w:r>
              <w:rPr>
                <w:rFonts w:hint="default" w:ascii="Times New Roman" w:hAnsi="Times New Roman" w:cs="Times New Roman"/>
                <w:b w:val="0"/>
                <w:bCs w:val="0"/>
                <w:kern w:val="0"/>
                <w:sz w:val="21"/>
                <w:szCs w:val="21"/>
                <w:lang w:val="en-US" w:eastAsia="zh-CN" w:bidi="ar-SA"/>
              </w:rPr>
              <w:t>]高洁如,魏霖静,李玥,等.基于Prophet-LightGBM的PM2.5浓度预测模型[J].软件导刊,2024,23(07):144-152.</w:t>
            </w:r>
          </w:p>
          <w:p w14:paraId="4F22F66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11</w:t>
            </w:r>
            <w:r>
              <w:rPr>
                <w:rFonts w:hint="default" w:ascii="Times New Roman" w:hAnsi="Times New Roman" w:cs="Times New Roman"/>
                <w:b w:val="0"/>
                <w:bCs w:val="0"/>
                <w:kern w:val="0"/>
                <w:sz w:val="21"/>
                <w:szCs w:val="21"/>
                <w:lang w:val="en-US" w:eastAsia="zh-CN" w:bidi="ar-SA"/>
              </w:rPr>
              <w:t>]王倩影,杨可鑫.基于LSTM-SVR混合模型的</w:t>
            </w:r>
            <w:bookmarkStart w:id="3" w:name="_GoBack"/>
            <w:bookmarkEnd w:id="3"/>
            <w:r>
              <w:rPr>
                <w:rFonts w:hint="default" w:ascii="Times New Roman" w:hAnsi="Times New Roman" w:cs="Times New Roman"/>
                <w:b w:val="0"/>
                <w:bCs w:val="0"/>
                <w:kern w:val="0"/>
                <w:sz w:val="21"/>
                <w:szCs w:val="21"/>
                <w:lang w:val="en-US" w:eastAsia="zh-CN" w:bidi="ar-SA"/>
              </w:rPr>
              <w:t>PM2.5浓度预测[J].信息技术与信息化,2021,(09):33-36.</w:t>
            </w:r>
          </w:p>
          <w:p w14:paraId="609AA25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w:t>
            </w:r>
            <w:r>
              <w:rPr>
                <w:rFonts w:hint="eastAsia" w:ascii="Times New Roman" w:hAnsi="Times New Roman" w:cs="Times New Roman"/>
                <w:b w:val="0"/>
                <w:bCs w:val="0"/>
                <w:kern w:val="0"/>
                <w:sz w:val="21"/>
                <w:szCs w:val="21"/>
                <w:lang w:val="en-US" w:eastAsia="zh-CN" w:bidi="ar-SA"/>
              </w:rPr>
              <w:t>12</w:t>
            </w:r>
            <w:r>
              <w:rPr>
                <w:rFonts w:hint="default" w:ascii="Times New Roman" w:hAnsi="Times New Roman" w:cs="Times New Roman"/>
                <w:b w:val="0"/>
                <w:bCs w:val="0"/>
                <w:kern w:val="0"/>
                <w:sz w:val="21"/>
                <w:szCs w:val="21"/>
                <w:lang w:val="en-US" w:eastAsia="zh-CN" w:bidi="ar-SA"/>
              </w:rPr>
              <w:t>]张容硕,谢沛远,陈宏飞,等.基于机器学习的郑州市大气PM2.5与O</w:t>
            </w:r>
            <w:r>
              <w:rPr>
                <w:rFonts w:hint="eastAsia" w:cs="Times New Roman"/>
                <w:b w:val="0"/>
                <w:bCs w:val="0"/>
                <w:kern w:val="0"/>
                <w:sz w:val="21"/>
                <w:szCs w:val="21"/>
                <w:vertAlign w:val="subscript"/>
                <w:lang w:val="en-US" w:eastAsia="zh-CN" w:bidi="ar-SA"/>
              </w:rPr>
              <w:t>3</w:t>
            </w:r>
            <w:r>
              <w:rPr>
                <w:rFonts w:hint="default" w:ascii="Times New Roman" w:hAnsi="Times New Roman" w:cs="Times New Roman"/>
                <w:b w:val="0"/>
                <w:bCs w:val="0"/>
                <w:kern w:val="0"/>
                <w:sz w:val="21"/>
                <w:szCs w:val="21"/>
                <w:lang w:val="en-US" w:eastAsia="zh-CN" w:bidi="ar-SA"/>
              </w:rPr>
              <w:t>浓度预测方法及气象因子的影响分析[J].环境科学研究,2024,37(03):469-478.</w:t>
            </w:r>
          </w:p>
          <w:p w14:paraId="1545853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[1</w:t>
            </w:r>
            <w:r>
              <w:rPr>
                <w:rFonts w:hint="eastAsia" w:ascii="Times New Roman" w:hAnsi="Times New Roman" w:cs="Times New Roman"/>
                <w:b w:val="0"/>
                <w:bCs w:val="0"/>
                <w:kern w:val="0"/>
                <w:sz w:val="21"/>
                <w:szCs w:val="21"/>
                <w:lang w:val="en-US" w:eastAsia="zh-CN" w:bidi="ar-SA"/>
              </w:rPr>
              <w:t>3</w:t>
            </w:r>
            <w:r>
              <w:rPr>
                <w:rFonts w:hint="default" w:ascii="Times New Roman" w:hAnsi="Times New Roman" w:cs="Times New Roman"/>
                <w:b w:val="0"/>
                <w:bCs w:val="0"/>
                <w:kern w:val="0"/>
                <w:sz w:val="21"/>
                <w:szCs w:val="21"/>
                <w:lang w:val="en-US" w:eastAsia="zh-CN" w:bidi="ar-SA"/>
              </w:rPr>
              <w:t>]廖伟辉,张翠华,吴健,等.基于注意力机制的Bi-LSTM钢结构腐蚀预测模型[J].环境技术,2025,43(09):98-106.</w:t>
            </w:r>
          </w:p>
          <w:p w14:paraId="33460A8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[14] Lu X, Lu Y, Li T. A Transfer Learning-based Hybrid Model for PM2.5 Concentration Prediction[J]. Journal of System Simulation, 2025, 37(04): 882-894.</w:t>
            </w:r>
          </w:p>
          <w:p w14:paraId="28EF3A7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[15] Lu K, Lu Y, Li T. Air quality index prediction based on integrated deep learning model[J]. Journal of Nanjing University of Information Science and Technology, 2024, 16(01): 56-65.</w:t>
            </w:r>
          </w:p>
          <w:p w14:paraId="53A6686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r>
              <w:rPr>
                <w:rFonts w:hint="default" w:ascii="Times New Roman" w:hAnsi="Times New Roman" w:cs="Times New Roman"/>
                <w:b w:val="0"/>
                <w:bCs w:val="0"/>
                <w:kern w:val="0"/>
                <w:sz w:val="21"/>
                <w:szCs w:val="21"/>
                <w:lang w:val="en-US" w:eastAsia="zh-CN" w:bidi="ar-SA"/>
              </w:rPr>
              <w:t>[16] Zhang Y, Wang J, Guo Z, et al. LSTM-based rockburst risk prediction model incorporating attention mechanism and convolutional neural networks[J]. Journal of Mining Science and Technology, 2025, 10(06): 1150-1162.</w:t>
            </w:r>
          </w:p>
          <w:p w14:paraId="6800DA74">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b w:val="0"/>
                <w:bCs w:val="0"/>
                <w:kern w:val="0"/>
                <w:sz w:val="21"/>
                <w:szCs w:val="21"/>
                <w:lang w:val="en-US" w:eastAsia="zh-CN" w:bidi="ar-SA"/>
              </w:rPr>
            </w:pPr>
          </w:p>
          <w:p w14:paraId="349799C3">
            <w:pPr>
              <w:keepNext w:val="0"/>
              <w:keepLines w:val="0"/>
              <w:widowControl/>
              <w:suppressLineNumbers w:val="0"/>
              <w:jc w:val="left"/>
              <w:rPr>
                <w:rFonts w:hint="default" w:cs="Times New Roman"/>
                <w:b w:val="0"/>
                <w:bCs w:val="0"/>
                <w:kern w:val="0"/>
                <w:sz w:val="21"/>
                <w:szCs w:val="21"/>
                <w:lang w:val="en-US" w:eastAsia="zh-CN" w:bidi="ar-SA"/>
              </w:rPr>
            </w:pPr>
          </w:p>
          <w:p w14:paraId="38474261">
            <w:pPr>
              <w:rPr>
                <w:rFonts w:hint="eastAsia" w:ascii="宋体" w:hAnsi="宋体"/>
                <w:color w:val="000000" w:themeColor="text1"/>
                <w14:textFill>
                  <w14:solidFill>
                    <w14:schemeClr w14:val="tx1"/>
                  </w14:solidFill>
                </w14:textFill>
              </w:rPr>
            </w:pPr>
          </w:p>
          <w:p w14:paraId="20CA5836">
            <w:pPr>
              <w:rPr>
                <w:rFonts w:hint="eastAsia" w:ascii="宋体" w:hAnsi="宋体"/>
                <w:color w:val="000000" w:themeColor="text1"/>
                <w14:textFill>
                  <w14:solidFill>
                    <w14:schemeClr w14:val="tx1"/>
                  </w14:solidFill>
                </w14:textFill>
              </w:rPr>
            </w:pPr>
          </w:p>
          <w:p w14:paraId="0DA6C259">
            <w:pPr>
              <w:rPr>
                <w:rFonts w:hint="eastAsia" w:ascii="宋体" w:hAnsi="宋体"/>
                <w:color w:val="000000" w:themeColor="text1"/>
                <w14:textFill>
                  <w14:solidFill>
                    <w14:schemeClr w14:val="tx1"/>
                  </w14:solidFill>
                </w14:textFill>
              </w:rPr>
            </w:pPr>
          </w:p>
        </w:tc>
      </w:tr>
      <w:tr w14:paraId="01D3DAA5">
        <w:tblPrEx>
          <w:tblCellMar>
            <w:top w:w="0" w:type="dxa"/>
            <w:left w:w="28" w:type="dxa"/>
            <w:bottom w:w="0" w:type="dxa"/>
            <w:right w:w="28" w:type="dxa"/>
          </w:tblCellMar>
        </w:tblPrEx>
        <w:trPr>
          <w:trHeight w:val="2040" w:hRule="atLeast"/>
          <w:jc w:val="center"/>
        </w:trPr>
        <w:tc>
          <w:tcPr>
            <w:tcW w:w="875" w:type="dxa"/>
            <w:tcBorders>
              <w:top w:val="single" w:color="auto" w:sz="4" w:space="0"/>
              <w:left w:val="single" w:color="000000" w:sz="6" w:space="0"/>
              <w:bottom w:val="single" w:color="000000" w:sz="6" w:space="0"/>
              <w:right w:val="single" w:color="000000" w:sz="6" w:space="0"/>
            </w:tcBorders>
            <w:vAlign w:val="center"/>
          </w:tcPr>
          <w:p w14:paraId="63F44FCF">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研究方法与思路</w:t>
            </w:r>
          </w:p>
        </w:tc>
        <w:tc>
          <w:tcPr>
            <w:tcW w:w="8329" w:type="dxa"/>
            <w:gridSpan w:val="8"/>
            <w:tcBorders>
              <w:top w:val="single" w:color="auto" w:sz="4" w:space="0"/>
              <w:left w:val="nil"/>
              <w:bottom w:val="single" w:color="000000" w:sz="6" w:space="0"/>
              <w:right w:val="single" w:color="000000" w:sz="6" w:space="0"/>
            </w:tcBorders>
          </w:tcPr>
          <w:p w14:paraId="3D2D0D2D">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jc w:val="left"/>
              <w:textAlignment w:val="auto"/>
              <w:outlineLvl w:val="2"/>
              <w:rPr>
                <w:rFonts w:hint="default" w:ascii="Times New Roman" w:hAnsi="Times New Roman" w:cs="Times New Roman"/>
                <w:b/>
                <w:bCs/>
                <w:kern w:val="0"/>
                <w:sz w:val="24"/>
                <w:szCs w:val="24"/>
                <w:lang w:val="en-US" w:eastAsia="zh-CN" w:bidi="ar-SA"/>
              </w:rPr>
            </w:pPr>
            <w:r>
              <w:rPr>
                <w:rFonts w:hint="eastAsia" w:ascii="Times New Roman" w:hAnsi="Times New Roman" w:cs="Times New Roman"/>
                <w:b/>
                <w:bCs/>
                <w:kern w:val="0"/>
                <w:sz w:val="24"/>
                <w:szCs w:val="24"/>
                <w:lang w:val="en-US" w:eastAsia="zh-CN" w:bidi="ar-SA"/>
              </w:rPr>
              <w:t>1.</w:t>
            </w:r>
            <w:r>
              <w:rPr>
                <w:rFonts w:hint="default" w:ascii="Times New Roman" w:hAnsi="Times New Roman" w:cs="Times New Roman"/>
                <w:b/>
                <w:bCs/>
                <w:kern w:val="0"/>
                <w:sz w:val="24"/>
                <w:szCs w:val="24"/>
                <w:lang w:val="en-US" w:eastAsia="zh-CN" w:bidi="ar-SA"/>
              </w:rPr>
              <w:t>主要研究内容与研究思路</w:t>
            </w:r>
          </w:p>
          <w:p w14:paraId="7D556CD2">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firstLine="420" w:firstLineChars="200"/>
              <w:jc w:val="left"/>
              <w:textAlignment w:val="auto"/>
              <w:outlineLvl w:val="2"/>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本研究围绕北京市 PM2.5 浓度的中长期预测问题，基于机器学习与深度学习方法，重点探讨融合注意力机制的 LSTM 模型在 72 小时多步预测任务中的应用效果。研究首先以北京市空气质量监测数据和气象观测数据为基础，对 PM2.5 浓度时间序列的变化特征进行分析，重点关注其周期性、突发性及长期演变规律，以明确多步预测建模的可行性和复杂性。研究将对原始空气质量数据和气象数据进行系统预处理，包括缺失值填补、异常值识别与剔除、时间尺度统一以及特征归一化处理，从而构建结构完整、质量可靠的时间序列数据集。在此基础上，通过引入气象因子作为辅助输入变量，增强模型对 PM2.5 浓度变化驱动因素的感知能力，为后续深度学习模型训练提供数据支撑。研究以 LSTM 网络为核心预测框架，充分利用其在处理时间序列长期依赖关系方面的优势，同时引入注意力机制，对历史时间步信息进行动态加权，使模型能够在多步预测过程中更加关注对未来 PM2.5 浓度变化影响较大的关键时段信息。通过构建融合注意力机制的 LSTM 预测模型，实现对未来连续 72 小时 PM2.5 浓度的整体预测，从而缓解传统 LSTM 在多步预测中易出现的误差累积问题。研究将采用多种评价指标对预测结果进行综合分析，通过对比预测值与实际观测值之间的差异，评估模型在不同预测步长下的稳定性与准确性。同时，将融合注意力机制的模型与未引入注意力机制的 LSTM 模型进行对比，以验证注意力机制在提升多步预测性能方面的实际效果。此外，研究还将结合预测结果，对北京市 PM2.5 浓度变化趋势进行分析，探讨模型在空气质量预警和污染防控中的潜在应用价值。本研究通过构建融合注意力机制的 LSTM 模型，对北京市 PM2.5 浓度开展 72 小时多步预测研究，旨在在现有研究基础上进一步提升中长期预测精度与模型稳定性，为空气质量预测技术的发展以及大气污染防控决策提供参考依据。</w:t>
            </w:r>
          </w:p>
          <w:p w14:paraId="7E01048D">
            <w:pPr>
              <w:rPr>
                <w:rFonts w:hint="eastAsia"/>
                <w:lang w:val="en-US" w:eastAsia="zh-CN"/>
              </w:rPr>
            </w:pPr>
            <w:r>
              <w:rPr>
                <w:rFonts w:hint="eastAsia"/>
                <w:lang w:val="en-US" w:eastAsia="zh-CN"/>
              </w:rPr>
              <w:t>本文的主要研究思路如下：</w:t>
            </w:r>
          </w:p>
          <w:p w14:paraId="02429964">
            <w:pPr>
              <w:ind w:firstLine="420" w:firstLineChars="20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本研究在系统梳理国内外 PM2.5 浓度预测相关研究成果的基础上，围绕深度学习模型在多步预测中存在的误差累积和稳定性不足等问题，结合北京市空气污染特征，构建以融合注意力机制的 LSTM 模型为核心的研究框架。研究思路总体上遵循“问题分析—模型构建—预测验证—应用分析”的逻辑路径，力求在保证方法科学性的同时，提高研究结果的实际应用价值。</w:t>
            </w:r>
          </w:p>
          <w:p w14:paraId="34DC4835">
            <w:pPr>
              <w:ind w:firstLine="420" w:firstLineChars="200"/>
              <w:rPr>
                <w:rFonts w:hint="default" w:ascii="Times New Roman" w:hAnsi="Times New Roman" w:eastAsia="宋体" w:cs="Times New Roman"/>
                <w:b w:val="0"/>
                <w:bCs w:val="0"/>
                <w:kern w:val="0"/>
                <w:sz w:val="21"/>
                <w:szCs w:val="21"/>
                <w:lang w:val="en-US" w:eastAsia="zh-CN" w:bidi="ar-SA"/>
              </w:rPr>
            </w:pPr>
            <w:r>
              <w:rPr>
                <w:rFonts w:hint="eastAsia" w:ascii="Times New Roman" w:hAnsi="Times New Roman" w:cs="Times New Roman"/>
                <w:b w:val="0"/>
                <w:bCs w:val="0"/>
                <w:kern w:val="0"/>
                <w:sz w:val="21"/>
                <w:szCs w:val="21"/>
                <w:lang w:val="en-US" w:eastAsia="zh-CN" w:bidi="ar-SA"/>
              </w:rPr>
              <w:t>第一步，</w:t>
            </w:r>
            <w:r>
              <w:rPr>
                <w:rFonts w:hint="default" w:ascii="Times New Roman" w:hAnsi="Times New Roman" w:eastAsia="宋体" w:cs="Times New Roman"/>
                <w:b w:val="0"/>
                <w:bCs w:val="0"/>
                <w:kern w:val="0"/>
                <w:sz w:val="21"/>
                <w:szCs w:val="21"/>
                <w:lang w:val="en-US" w:eastAsia="zh-CN" w:bidi="ar-SA"/>
              </w:rPr>
              <w:t>以北京市 PM2.5 浓度变化的复杂性和中长期预测需求为切入点，通过分析历史监测数据，识别 PM2.5 浓度在时间维度上的变化规律及其与气象因素之间的关联特征。在此过程中，重点关注 PM2.5 浓度在连续时间尺度上的波动特性，为后续选择合适的预测模型和确定预测步长提供依据。这一阶段的分析既为模型输入变量的选取奠定基础，也为多步预测任务的合理性提供数据支撑。</w:t>
            </w:r>
          </w:p>
          <w:p w14:paraId="5A7EC0CB">
            <w:pPr>
              <w:ind w:firstLine="420" w:firstLineChars="200"/>
              <w:rPr>
                <w:rFonts w:hint="default" w:ascii="Times New Roman" w:hAnsi="Times New Roman" w:eastAsia="宋体" w:cs="Times New Roman"/>
                <w:b w:val="0"/>
                <w:bCs w:val="0"/>
                <w:kern w:val="0"/>
                <w:sz w:val="21"/>
                <w:szCs w:val="21"/>
                <w:lang w:val="en-US" w:eastAsia="zh-CN" w:bidi="ar-SA"/>
              </w:rPr>
            </w:pPr>
            <w:r>
              <w:rPr>
                <w:rFonts w:hint="eastAsia" w:ascii="Times New Roman" w:hAnsi="Times New Roman" w:cs="Times New Roman"/>
                <w:b w:val="0"/>
                <w:bCs w:val="0"/>
                <w:kern w:val="0"/>
                <w:sz w:val="21"/>
                <w:szCs w:val="21"/>
                <w:lang w:val="en-US" w:eastAsia="zh-CN" w:bidi="ar-SA"/>
              </w:rPr>
              <w:t>第二步，</w:t>
            </w:r>
            <w:r>
              <w:rPr>
                <w:rFonts w:hint="default" w:ascii="Times New Roman" w:hAnsi="Times New Roman" w:eastAsia="宋体" w:cs="Times New Roman"/>
                <w:b w:val="0"/>
                <w:bCs w:val="0"/>
                <w:kern w:val="0"/>
                <w:sz w:val="21"/>
                <w:szCs w:val="21"/>
                <w:lang w:val="en-US" w:eastAsia="zh-CN" w:bidi="ar-SA"/>
              </w:rPr>
              <w:t>研究以 LSTM 模型作为时间序列预测的基本框架，利用其在刻画长期依赖关系方面的优势，对 PM2.5 浓度序列进行建模。针对文献中普遍指出的 LSTM 在多步预测中易出现信息衰减和误差放大的问题，进一步引入注意力机制，对不同历史时间步的信息贡献进行动态加权，使模型在预测过程中能够更加关注对未来 PM2.5 浓度变化具有关键影响的时段，从而提升模型在 72 小时多步预测任务中的稳定性和预测精度。</w:t>
            </w:r>
          </w:p>
          <w:p w14:paraId="246A00C0">
            <w:pPr>
              <w:ind w:firstLine="420" w:firstLineChars="200"/>
              <w:rPr>
                <w:rFonts w:hint="default" w:ascii="Times New Roman" w:hAnsi="Times New Roman" w:eastAsia="宋体" w:cs="Times New Roman"/>
                <w:b w:val="0"/>
                <w:bCs w:val="0"/>
                <w:kern w:val="0"/>
                <w:sz w:val="21"/>
                <w:szCs w:val="21"/>
                <w:lang w:val="en-US" w:eastAsia="zh-CN" w:bidi="ar-SA"/>
              </w:rPr>
            </w:pPr>
            <w:r>
              <w:rPr>
                <w:rFonts w:hint="eastAsia" w:ascii="Times New Roman" w:hAnsi="Times New Roman" w:cs="Times New Roman"/>
                <w:b w:val="0"/>
                <w:bCs w:val="0"/>
                <w:kern w:val="0"/>
                <w:sz w:val="21"/>
                <w:szCs w:val="21"/>
                <w:lang w:val="en-US" w:eastAsia="zh-CN" w:bidi="ar-SA"/>
              </w:rPr>
              <w:t>第三步</w:t>
            </w:r>
            <w:r>
              <w:rPr>
                <w:rFonts w:hint="default" w:ascii="Times New Roman" w:hAnsi="Times New Roman" w:eastAsia="宋体" w:cs="Times New Roman"/>
                <w:b w:val="0"/>
                <w:bCs w:val="0"/>
                <w:kern w:val="0"/>
                <w:sz w:val="21"/>
                <w:szCs w:val="21"/>
                <w:lang w:val="en-US" w:eastAsia="zh-CN" w:bidi="ar-SA"/>
              </w:rPr>
              <w:t>研究通过构建合理的训练集与测试集，对融合注意力机制的 LSTM 模型进行训练，并在不同预测步长下对模型性能进行评估。同时，将预测结果与未引入注意力机制的 LSTM 模型进行对比分析，以检验注意力机制在多步预测中的实际改进效果。通过这种对比思路，使模型性能提升具有明确的依据和可验证性。</w:t>
            </w:r>
          </w:p>
          <w:p w14:paraId="13FCAF93">
            <w:pPr>
              <w:ind w:firstLine="420" w:firstLineChars="200"/>
              <w:rPr>
                <w:rFonts w:hint="default" w:ascii="Times New Roman" w:hAnsi="Times New Roman" w:eastAsia="宋体" w:cs="Times New Roman"/>
                <w:b w:val="0"/>
                <w:bCs w:val="0"/>
                <w:kern w:val="0"/>
                <w:sz w:val="21"/>
                <w:szCs w:val="21"/>
                <w:lang w:val="en-US" w:eastAsia="zh-CN" w:bidi="ar-SA"/>
              </w:rPr>
            </w:pPr>
            <w:r>
              <w:rPr>
                <w:rFonts w:hint="eastAsia" w:ascii="Times New Roman" w:hAnsi="Times New Roman" w:cs="Times New Roman"/>
                <w:b w:val="0"/>
                <w:bCs w:val="0"/>
                <w:kern w:val="0"/>
                <w:sz w:val="21"/>
                <w:szCs w:val="21"/>
                <w:lang w:val="en-US" w:eastAsia="zh-CN" w:bidi="ar-SA"/>
              </w:rPr>
              <w:t>第四步，</w:t>
            </w:r>
            <w:r>
              <w:rPr>
                <w:rFonts w:hint="default" w:ascii="Times New Roman" w:hAnsi="Times New Roman" w:eastAsia="宋体" w:cs="Times New Roman"/>
                <w:b w:val="0"/>
                <w:bCs w:val="0"/>
                <w:kern w:val="0"/>
                <w:sz w:val="21"/>
                <w:szCs w:val="21"/>
                <w:lang w:val="en-US" w:eastAsia="zh-CN" w:bidi="ar-SA"/>
              </w:rPr>
              <w:t>结合模型预测结果，对北京市 PM2.5 浓度的未来变化趋势进行分析，探讨预测信息在空气质量预警和污染防控中的应用潜力。通过将模型输出与实际污染防治需求相结合，使研究不仅停留在方法层面，而是进一步体现数据驱动模型在环境管理决策中的现实意义。</w:t>
            </w:r>
          </w:p>
          <w:p w14:paraId="32CFC1B5">
            <w:pPr>
              <w:numPr>
                <w:ilvl w:val="0"/>
                <w:numId w:val="0"/>
              </w:numPr>
              <w:rPr>
                <w:rFonts w:hint="eastAsia" w:ascii="Times New Roman" w:hAnsi="Times New Roman" w:eastAsia="宋体"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2.主要研究方法</w:t>
            </w:r>
          </w:p>
          <w:p w14:paraId="5308EAB8">
            <w:pPr>
              <w:numPr>
                <w:ilvl w:val="0"/>
                <w:numId w:val="0"/>
              </w:numPr>
              <w:ind w:firstLine="420" w:firstLineChars="20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eastAsia="宋体" w:cs="Times New Roman"/>
                <w:b w:val="0"/>
                <w:bCs w:val="0"/>
                <w:kern w:val="0"/>
                <w:sz w:val="21"/>
                <w:szCs w:val="21"/>
                <w:lang w:val="en-US" w:eastAsia="zh-CN" w:bidi="ar-SA"/>
              </w:rPr>
              <w:t>本研究综合采用文献分析方法、机器学习建模方法与数据分析方法，从理论梳理、模型构建到结果验证多个层面展开系统研究，以确保研究结论的科学性和可靠性。在研究初期，主要采用文献分析法对国内外 PM2.5 浓度预测领域的相关研究成果进行系统梳理。通过查阅近年来关于空气污染预测、LSTM 模型以及注意力机制在时间序列预测中应用的学术文献，重点总结不同模型在预测精度、多步预测能力及应用场景方面的研究进展与不足。在此基础上，明确当前研究在中长期多步预测和模型稳定性方面仍存在的问题，从而为本文模型结构的选择和研究方向的确定提供理论依据和研究背景支撑。在模型构建阶段，研究以机器学习建模方法为核心，重点采用深度学习中的 LSTM 网络及其改进模型开展 PM2.5 浓度预测研究。首先，基于历史 PM2.5 浓度数据和相关气象因子，构建标准 LSTM 时间序列预测模型，用于刻画 PM2.5 浓度的基本时间演化规律。在此基础上，引入注意力机制，对 LSTM 模型进行结构改进，构建融合注意力机制的 Attention-LSTM 模型，使模型在多步预测过程中能够动态分配不同历史时间步的权重，从而增强对关键信息的关注能力。通过对比两类模型在 72 小时多步预测任务中的表现，分析注意力机制对提升模型预测精度和稳定性的作用效果。在模型验证与结果分析阶段，研究采用数据分析方法对预测结果进行系统评估。通过引入多种误差评价指标，对模型预测值与实际观测值之间的差异进行量化分析，全面评估模型在不同预测步长下的预测性能。同时，通过对比 LSTM 模型与 Attention-LSTM 模型的预测结果，分析模型在误差分布、稳定性以及预测趋势保持能力等方面的差异，从而验证所构建模型在 PM2.5 多步预测任务中的有效性。此外，结合预测结果对北京市 PM2.5 浓度变化趋势进行分析，进一步探讨模型在空气质量预警与污染防控中的应用潜力。</w:t>
            </w:r>
          </w:p>
          <w:p w14:paraId="78483C3C">
            <w:pPr>
              <w:numPr>
                <w:ilvl w:val="0"/>
                <w:numId w:val="0"/>
              </w:numPr>
              <w:rPr>
                <w:rFonts w:hint="default" w:ascii="Times New Roman" w:hAnsi="Times New Roman" w:eastAsia="宋体" w:cs="Times New Roman"/>
                <w:b/>
                <w:bCs/>
                <w:kern w:val="0"/>
                <w:sz w:val="24"/>
                <w:szCs w:val="24"/>
                <w:lang w:val="en-US" w:eastAsia="zh-CN" w:bidi="ar-SA"/>
              </w:rPr>
            </w:pPr>
            <w:r>
              <w:rPr>
                <w:rFonts w:hint="eastAsia" w:ascii="Times New Roman" w:hAnsi="Times New Roman" w:eastAsia="宋体" w:cs="Times New Roman"/>
                <w:b/>
                <w:bCs/>
                <w:kern w:val="0"/>
                <w:sz w:val="24"/>
                <w:szCs w:val="24"/>
                <w:lang w:val="en-US" w:eastAsia="zh-CN" w:bidi="ar-SA"/>
              </w:rPr>
              <w:t>3.写作提纲</w:t>
            </w:r>
          </w:p>
          <w:p w14:paraId="03E602C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绪论</w:t>
            </w:r>
          </w:p>
          <w:p w14:paraId="4C6EA91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（一）研究背景与意义</w:t>
            </w:r>
          </w:p>
          <w:p w14:paraId="468049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（二）国内外文献综述</w:t>
            </w:r>
          </w:p>
          <w:p w14:paraId="4D16F0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（三）研究思路与研究方法</w:t>
            </w:r>
          </w:p>
          <w:p w14:paraId="7150FE7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 xml:space="preserve"> PM2.5 浓度预测理论与方法基础</w:t>
            </w:r>
          </w:p>
          <w:p w14:paraId="1229205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PM2.5 及其污染特征概述</w:t>
            </w:r>
          </w:p>
          <w:p w14:paraId="5DCDB9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时间序列预测理论基础</w:t>
            </w:r>
          </w:p>
          <w:p w14:paraId="16E7216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三</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 xml:space="preserve"> 深度学习在空气质量预测中的应用原理</w:t>
            </w:r>
          </w:p>
          <w:p w14:paraId="4D10B28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数据来源与特征分析</w:t>
            </w:r>
          </w:p>
          <w:p w14:paraId="67303D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数据来源与数据说明</w:t>
            </w:r>
          </w:p>
          <w:p w14:paraId="0D6520D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数据预处理方法</w:t>
            </w:r>
          </w:p>
          <w:p w14:paraId="630837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三</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 xml:space="preserve"> PM2.5 浓度及气象因子特征分析</w:t>
            </w:r>
          </w:p>
          <w:p w14:paraId="77EDD4C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三</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基于注意力机制 LSTM 的模型构建</w:t>
            </w:r>
          </w:p>
          <w:p w14:paraId="69DE08E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LSTM 模型结构与原理</w:t>
            </w:r>
          </w:p>
          <w:p w14:paraId="569BB09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注意力机制的引入与模型改进</w:t>
            </w:r>
          </w:p>
          <w:p w14:paraId="27396DC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三</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Attention-LSTM 模型整体框架设计</w:t>
            </w:r>
          </w:p>
          <w:p w14:paraId="16B754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四</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北京市 PM2.5 浓度 72 小时多步预测实证分析</w:t>
            </w:r>
          </w:p>
          <w:p w14:paraId="1DFFF33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实验设计与评价指标</w:t>
            </w:r>
          </w:p>
          <w:p w14:paraId="0A870BE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预测结果分析与模型性能对比</w:t>
            </w:r>
          </w:p>
          <w:p w14:paraId="7E193AE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三</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多步预测效果及结果讨论</w:t>
            </w:r>
          </w:p>
          <w:p w14:paraId="60E23A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五、</w:t>
            </w:r>
            <w:r>
              <w:rPr>
                <w:rFonts w:hint="default" w:ascii="Times New Roman" w:hAnsi="Times New Roman" w:cs="Times New Roman"/>
                <w:b w:val="0"/>
                <w:bCs w:val="0"/>
                <w:lang w:val="en-US" w:eastAsia="zh-CN"/>
              </w:rPr>
              <w:t>结论与展望</w:t>
            </w:r>
          </w:p>
          <w:p w14:paraId="609312C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一</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主要研究结论</w:t>
            </w:r>
          </w:p>
          <w:p w14:paraId="7A5253D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二</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研究不足与未来展望</w:t>
            </w:r>
          </w:p>
          <w:p w14:paraId="7309D05D">
            <w:pPr>
              <w:rPr>
                <w:rFonts w:hint="eastAsia" w:ascii="Times New Roman" w:hAnsi="Times New Roman" w:eastAsia="宋体" w:cs="Times New Roman"/>
                <w:b w:val="0"/>
                <w:bCs w:val="0"/>
                <w:kern w:val="0"/>
                <w:sz w:val="21"/>
                <w:szCs w:val="21"/>
                <w:lang w:val="en-US" w:eastAsia="zh-CN" w:bidi="ar-SA"/>
              </w:rPr>
            </w:pPr>
          </w:p>
          <w:p w14:paraId="56559528">
            <w:pPr>
              <w:rPr>
                <w:rFonts w:hint="eastAsia" w:ascii="Times New Roman" w:hAnsi="Times New Roman" w:eastAsia="宋体" w:cs="Times New Roman"/>
                <w:b w:val="0"/>
                <w:bCs w:val="0"/>
                <w:kern w:val="0"/>
                <w:sz w:val="21"/>
                <w:szCs w:val="21"/>
                <w:lang w:val="en-US" w:eastAsia="zh-CN" w:bidi="ar-SA"/>
              </w:rPr>
            </w:pPr>
          </w:p>
          <w:p w14:paraId="2C48140C">
            <w:pPr>
              <w:rPr>
                <w:rFonts w:hint="eastAsia" w:ascii="宋体" w:hAnsi="宋体"/>
                <w:color w:val="000000" w:themeColor="text1"/>
                <w14:textFill>
                  <w14:solidFill>
                    <w14:schemeClr w14:val="tx1"/>
                  </w14:solidFill>
                </w14:textFill>
              </w:rPr>
            </w:pPr>
          </w:p>
          <w:p w14:paraId="6435D524">
            <w:pPr>
              <w:rPr>
                <w:rFonts w:hint="eastAsia" w:ascii="宋体" w:hAnsi="宋体"/>
                <w:color w:val="000000" w:themeColor="text1"/>
                <w14:textFill>
                  <w14:solidFill>
                    <w14:schemeClr w14:val="tx1"/>
                  </w14:solidFill>
                </w14:textFill>
              </w:rPr>
            </w:pPr>
          </w:p>
          <w:p w14:paraId="003EBC8B">
            <w:pPr>
              <w:rPr>
                <w:rFonts w:hint="eastAsia" w:ascii="宋体" w:hAnsi="宋体"/>
                <w:color w:val="000000" w:themeColor="text1"/>
                <w14:textFill>
                  <w14:solidFill>
                    <w14:schemeClr w14:val="tx1"/>
                  </w14:solidFill>
                </w14:textFill>
              </w:rPr>
            </w:pPr>
          </w:p>
        </w:tc>
      </w:tr>
      <w:tr w14:paraId="2165510D">
        <w:tblPrEx>
          <w:tblCellMar>
            <w:top w:w="0" w:type="dxa"/>
            <w:left w:w="28" w:type="dxa"/>
            <w:bottom w:w="0" w:type="dxa"/>
            <w:right w:w="28" w:type="dxa"/>
          </w:tblCellMar>
        </w:tblPrEx>
        <w:trPr>
          <w:trHeight w:val="1965" w:hRule="atLeast"/>
          <w:jc w:val="center"/>
        </w:trPr>
        <w:tc>
          <w:tcPr>
            <w:tcW w:w="875" w:type="dxa"/>
            <w:vMerge w:val="restart"/>
            <w:tcBorders>
              <w:top w:val="nil"/>
              <w:left w:val="single" w:color="000000" w:sz="6" w:space="0"/>
              <w:bottom w:val="single" w:color="000000" w:sz="6" w:space="0"/>
              <w:right w:val="single" w:color="000000" w:sz="6" w:space="0"/>
            </w:tcBorders>
            <w:vAlign w:val="center"/>
          </w:tcPr>
          <w:p w14:paraId="37779D9F">
            <w:pPr>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指导教师意见</w:t>
            </w:r>
          </w:p>
        </w:tc>
        <w:tc>
          <w:tcPr>
            <w:tcW w:w="8329" w:type="dxa"/>
            <w:gridSpan w:val="8"/>
            <w:tcBorders>
              <w:top w:val="single" w:color="000000" w:sz="6" w:space="0"/>
              <w:left w:val="nil"/>
              <w:bottom w:val="single" w:color="auto" w:sz="4" w:space="0"/>
              <w:right w:val="single" w:color="000000" w:sz="6" w:space="0"/>
            </w:tcBorders>
          </w:tcPr>
          <w:p w14:paraId="01CFF136">
            <w:pPr>
              <w:pStyle w:val="7"/>
              <w:jc w:val="left"/>
              <w:rPr>
                <w:rFonts w:hint="eastAsia" w:ascii="宋体" w:hAnsi="宋体"/>
                <w:color w:val="000000" w:themeColor="text1"/>
                <w14:textFill>
                  <w14:solidFill>
                    <w14:schemeClr w14:val="tx1"/>
                  </w14:solidFill>
                </w14:textFill>
              </w:rPr>
            </w:pPr>
          </w:p>
        </w:tc>
      </w:tr>
      <w:tr w14:paraId="6C07DA5A">
        <w:tblPrEx>
          <w:tblCellMar>
            <w:top w:w="0" w:type="dxa"/>
            <w:left w:w="28" w:type="dxa"/>
            <w:bottom w:w="0" w:type="dxa"/>
            <w:right w:w="28" w:type="dxa"/>
          </w:tblCellMar>
        </w:tblPrEx>
        <w:trPr>
          <w:trHeight w:val="420" w:hRule="atLeast"/>
          <w:jc w:val="center"/>
        </w:trPr>
        <w:tc>
          <w:tcPr>
            <w:tcW w:w="875" w:type="dxa"/>
            <w:vMerge w:val="continue"/>
            <w:tcBorders>
              <w:top w:val="nil"/>
              <w:left w:val="single" w:color="000000" w:sz="6" w:space="0"/>
              <w:bottom w:val="single" w:color="000000" w:sz="6" w:space="0"/>
              <w:right w:val="single" w:color="000000" w:sz="6" w:space="0"/>
            </w:tcBorders>
            <w:vAlign w:val="center"/>
          </w:tcPr>
          <w:p w14:paraId="46E32E8D">
            <w:pPr>
              <w:widowControl/>
              <w:jc w:val="left"/>
              <w:rPr>
                <w:rFonts w:hint="eastAsia" w:ascii="宋体" w:hAnsi="宋体"/>
                <w:color w:val="000000" w:themeColor="text1"/>
                <w14:textFill>
                  <w14:solidFill>
                    <w14:schemeClr w14:val="tx1"/>
                  </w14:solidFill>
                </w14:textFill>
              </w:rPr>
            </w:pPr>
          </w:p>
        </w:tc>
        <w:tc>
          <w:tcPr>
            <w:tcW w:w="607" w:type="dxa"/>
            <w:tcBorders>
              <w:top w:val="single" w:color="auto" w:sz="4" w:space="0"/>
              <w:left w:val="nil"/>
              <w:bottom w:val="single" w:color="000000" w:sz="6" w:space="0"/>
              <w:right w:val="single" w:color="auto" w:sz="4" w:space="0"/>
            </w:tcBorders>
            <w:vAlign w:val="center"/>
          </w:tcPr>
          <w:p w14:paraId="147DA500">
            <w:pPr>
              <w:ind w:firstLine="105" w:firstLineChars="5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签名</w:t>
            </w:r>
          </w:p>
        </w:tc>
        <w:tc>
          <w:tcPr>
            <w:tcW w:w="3137" w:type="dxa"/>
            <w:gridSpan w:val="3"/>
            <w:tcBorders>
              <w:top w:val="single" w:color="auto" w:sz="4" w:space="0"/>
              <w:left w:val="nil"/>
              <w:bottom w:val="single" w:color="000000" w:sz="6" w:space="0"/>
              <w:right w:val="single" w:color="auto" w:sz="4" w:space="0"/>
            </w:tcBorders>
            <w:vAlign w:val="center"/>
          </w:tcPr>
          <w:p w14:paraId="332FB94F">
            <w:pPr>
              <w:ind w:firstLine="315" w:firstLineChars="150"/>
              <w:jc w:val="center"/>
              <w:rPr>
                <w:rFonts w:hint="eastAsia" w:ascii="宋体" w:hAnsi="宋体"/>
                <w:color w:val="000000" w:themeColor="text1"/>
                <w14:textFill>
                  <w14:solidFill>
                    <w14:schemeClr w14:val="tx1"/>
                  </w14:solidFill>
                </w14:textFill>
              </w:rPr>
            </w:pPr>
          </w:p>
        </w:tc>
        <w:tc>
          <w:tcPr>
            <w:tcW w:w="840" w:type="dxa"/>
            <w:tcBorders>
              <w:top w:val="single" w:color="auto" w:sz="4" w:space="0"/>
              <w:left w:val="nil"/>
              <w:bottom w:val="single" w:color="000000" w:sz="6" w:space="0"/>
              <w:right w:val="single" w:color="auto" w:sz="4" w:space="0"/>
            </w:tcBorders>
            <w:vAlign w:val="center"/>
          </w:tcPr>
          <w:p w14:paraId="48E4CA0A">
            <w:pPr>
              <w:ind w:firstLine="210" w:firstLineChars="100"/>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时间</w:t>
            </w:r>
          </w:p>
        </w:tc>
        <w:tc>
          <w:tcPr>
            <w:tcW w:w="3745" w:type="dxa"/>
            <w:gridSpan w:val="3"/>
            <w:tcBorders>
              <w:top w:val="single" w:color="auto" w:sz="4" w:space="0"/>
              <w:left w:val="nil"/>
              <w:bottom w:val="single" w:color="000000" w:sz="6" w:space="0"/>
              <w:right w:val="single" w:color="000000" w:sz="6" w:space="0"/>
            </w:tcBorders>
            <w:vAlign w:val="center"/>
          </w:tcPr>
          <w:p w14:paraId="0C27C045">
            <w:pPr>
              <w:ind w:firstLine="315" w:firstLineChars="150"/>
              <w:jc w:val="center"/>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2026</w:t>
            </w:r>
            <w:r>
              <w:rPr>
                <w:rFonts w:hint="eastAsia" w:ascii="宋体" w:hAnsi="宋体"/>
                <w:color w:val="000000" w:themeColor="text1"/>
                <w14:textFill>
                  <w14:solidFill>
                    <w14:schemeClr w14:val="tx1"/>
                  </w14:solidFill>
                </w14:textFill>
              </w:rPr>
              <w:t xml:space="preserve"> 年   </w:t>
            </w:r>
            <w:r>
              <w:rPr>
                <w:rFonts w:hint="eastAsia" w:ascii="宋体" w:hAnsi="宋体"/>
                <w:color w:val="000000" w:themeColor="text1"/>
                <w:lang w:val="en-US" w:eastAsia="zh-CN"/>
                <w14:textFill>
                  <w14:solidFill>
                    <w14:schemeClr w14:val="tx1"/>
                  </w14:solidFill>
                </w14:textFill>
              </w:rPr>
              <w:t>1</w:t>
            </w:r>
            <w:r>
              <w:rPr>
                <w:rFonts w:hint="eastAsia" w:ascii="宋体" w:hAnsi="宋体"/>
                <w:color w:val="000000" w:themeColor="text1"/>
                <w14:textFill>
                  <w14:solidFill>
                    <w14:schemeClr w14:val="tx1"/>
                  </w14:solidFill>
                </w14:textFill>
              </w:rPr>
              <w:t xml:space="preserve">  月  </w:t>
            </w:r>
            <w:r>
              <w:rPr>
                <w:rFonts w:hint="eastAsia" w:ascii="宋体" w:hAnsi="宋体"/>
                <w:color w:val="000000" w:themeColor="text1"/>
                <w:lang w:val="en-US" w:eastAsia="zh-CN"/>
                <w14:textFill>
                  <w14:solidFill>
                    <w14:schemeClr w14:val="tx1"/>
                  </w14:solidFill>
                </w14:textFill>
              </w:rPr>
              <w:t>16</w:t>
            </w:r>
            <w:r>
              <w:rPr>
                <w:rFonts w:hint="eastAsia" w:ascii="宋体" w:hAnsi="宋体"/>
                <w:color w:val="000000" w:themeColor="text1"/>
                <w14:textFill>
                  <w14:solidFill>
                    <w14:schemeClr w14:val="tx1"/>
                  </w14:solidFill>
                </w14:textFill>
              </w:rPr>
              <w:t xml:space="preserve">  日</w:t>
            </w:r>
          </w:p>
        </w:tc>
      </w:tr>
    </w:tbl>
    <w:p w14:paraId="04508CE2">
      <w:pPr>
        <w:ind w:firstLine="360" w:firstLineChars="200"/>
        <w:rPr>
          <w:color w:val="FF0000"/>
          <w:sz w:val="18"/>
          <w:szCs w:val="18"/>
        </w:rPr>
      </w:pP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TC1sDSyNDE2NzMxMjZQ0lEKTi0uzszPAykwrAUAv/uqbCwAAAA="/>
    <w:docVar w:name="commondata" w:val="eyJoZGlkIjoiOGYzNzMyNjFlY2NjZGE4ZWRjZjg3MTJjMDY3OTQ2YWQifQ=="/>
  </w:docVars>
  <w:rsids>
    <w:rsidRoot w:val="00DF5297"/>
    <w:rsid w:val="0000771C"/>
    <w:rsid w:val="00013A4A"/>
    <w:rsid w:val="00021D01"/>
    <w:rsid w:val="0002592B"/>
    <w:rsid w:val="00043FE6"/>
    <w:rsid w:val="00076F93"/>
    <w:rsid w:val="000A2D59"/>
    <w:rsid w:val="000A47F4"/>
    <w:rsid w:val="000A7D5E"/>
    <w:rsid w:val="000B75B6"/>
    <w:rsid w:val="000D1954"/>
    <w:rsid w:val="000D40E1"/>
    <w:rsid w:val="000F5C92"/>
    <w:rsid w:val="001042B4"/>
    <w:rsid w:val="00116930"/>
    <w:rsid w:val="001260C3"/>
    <w:rsid w:val="001273C2"/>
    <w:rsid w:val="00131438"/>
    <w:rsid w:val="001348E9"/>
    <w:rsid w:val="00146250"/>
    <w:rsid w:val="00162910"/>
    <w:rsid w:val="001636BA"/>
    <w:rsid w:val="00174118"/>
    <w:rsid w:val="001846BE"/>
    <w:rsid w:val="001B5A15"/>
    <w:rsid w:val="001C542F"/>
    <w:rsid w:val="001F0E65"/>
    <w:rsid w:val="002037E1"/>
    <w:rsid w:val="0021125B"/>
    <w:rsid w:val="00263EFA"/>
    <w:rsid w:val="002664B0"/>
    <w:rsid w:val="002664FB"/>
    <w:rsid w:val="00277048"/>
    <w:rsid w:val="00291B47"/>
    <w:rsid w:val="002A1E2F"/>
    <w:rsid w:val="002A2C9E"/>
    <w:rsid w:val="002E2FC5"/>
    <w:rsid w:val="00300697"/>
    <w:rsid w:val="003174B9"/>
    <w:rsid w:val="00333EC5"/>
    <w:rsid w:val="003369A3"/>
    <w:rsid w:val="00345081"/>
    <w:rsid w:val="0034770C"/>
    <w:rsid w:val="00376683"/>
    <w:rsid w:val="003863E9"/>
    <w:rsid w:val="00396637"/>
    <w:rsid w:val="003B16D2"/>
    <w:rsid w:val="003E4F1A"/>
    <w:rsid w:val="003F4B1A"/>
    <w:rsid w:val="004004A3"/>
    <w:rsid w:val="00402557"/>
    <w:rsid w:val="004044ED"/>
    <w:rsid w:val="00406641"/>
    <w:rsid w:val="00421FEF"/>
    <w:rsid w:val="0045305F"/>
    <w:rsid w:val="00461DCC"/>
    <w:rsid w:val="00462DF3"/>
    <w:rsid w:val="004644D4"/>
    <w:rsid w:val="004771DF"/>
    <w:rsid w:val="0049107B"/>
    <w:rsid w:val="004A43AE"/>
    <w:rsid w:val="004A53AB"/>
    <w:rsid w:val="004B11AD"/>
    <w:rsid w:val="004D34C0"/>
    <w:rsid w:val="005062F6"/>
    <w:rsid w:val="00516CB2"/>
    <w:rsid w:val="0052717C"/>
    <w:rsid w:val="005305AE"/>
    <w:rsid w:val="00544A8D"/>
    <w:rsid w:val="00586EBC"/>
    <w:rsid w:val="005A4525"/>
    <w:rsid w:val="005B79E2"/>
    <w:rsid w:val="005D0BE2"/>
    <w:rsid w:val="005E26C1"/>
    <w:rsid w:val="005E3EC1"/>
    <w:rsid w:val="00620C2E"/>
    <w:rsid w:val="00627C0F"/>
    <w:rsid w:val="00637DF9"/>
    <w:rsid w:val="0064649F"/>
    <w:rsid w:val="00662351"/>
    <w:rsid w:val="00697164"/>
    <w:rsid w:val="006A03E2"/>
    <w:rsid w:val="006A5C6D"/>
    <w:rsid w:val="006F4699"/>
    <w:rsid w:val="006F514E"/>
    <w:rsid w:val="00716227"/>
    <w:rsid w:val="0073227C"/>
    <w:rsid w:val="00751F4B"/>
    <w:rsid w:val="00774BAF"/>
    <w:rsid w:val="007A1A9C"/>
    <w:rsid w:val="007A2C4D"/>
    <w:rsid w:val="007B311E"/>
    <w:rsid w:val="007D2EAB"/>
    <w:rsid w:val="007D559A"/>
    <w:rsid w:val="007D6D00"/>
    <w:rsid w:val="008024F4"/>
    <w:rsid w:val="008220F1"/>
    <w:rsid w:val="00851087"/>
    <w:rsid w:val="00871DBE"/>
    <w:rsid w:val="0089362D"/>
    <w:rsid w:val="0089545C"/>
    <w:rsid w:val="008A2121"/>
    <w:rsid w:val="008A567F"/>
    <w:rsid w:val="008B36E6"/>
    <w:rsid w:val="008B59E7"/>
    <w:rsid w:val="008D36F5"/>
    <w:rsid w:val="008D59A2"/>
    <w:rsid w:val="008F7F11"/>
    <w:rsid w:val="00916DFB"/>
    <w:rsid w:val="009703F5"/>
    <w:rsid w:val="009709C0"/>
    <w:rsid w:val="00974FDC"/>
    <w:rsid w:val="009823CF"/>
    <w:rsid w:val="0099082E"/>
    <w:rsid w:val="009943A2"/>
    <w:rsid w:val="00997D9B"/>
    <w:rsid w:val="009A3437"/>
    <w:rsid w:val="009A5DBD"/>
    <w:rsid w:val="009C0147"/>
    <w:rsid w:val="009C1090"/>
    <w:rsid w:val="009D24DC"/>
    <w:rsid w:val="009D3828"/>
    <w:rsid w:val="00A13707"/>
    <w:rsid w:val="00A2369B"/>
    <w:rsid w:val="00A30A51"/>
    <w:rsid w:val="00A6539E"/>
    <w:rsid w:val="00A669B9"/>
    <w:rsid w:val="00A905CF"/>
    <w:rsid w:val="00A9657B"/>
    <w:rsid w:val="00A96A5F"/>
    <w:rsid w:val="00AA5CBC"/>
    <w:rsid w:val="00AB3A67"/>
    <w:rsid w:val="00AC4337"/>
    <w:rsid w:val="00B14985"/>
    <w:rsid w:val="00B52D8F"/>
    <w:rsid w:val="00B57A9C"/>
    <w:rsid w:val="00B77E03"/>
    <w:rsid w:val="00B828B7"/>
    <w:rsid w:val="00B96BE2"/>
    <w:rsid w:val="00B97820"/>
    <w:rsid w:val="00BD20F8"/>
    <w:rsid w:val="00BD2B9F"/>
    <w:rsid w:val="00BE5B15"/>
    <w:rsid w:val="00BF608A"/>
    <w:rsid w:val="00BF7237"/>
    <w:rsid w:val="00C34A4D"/>
    <w:rsid w:val="00C42F90"/>
    <w:rsid w:val="00C536EC"/>
    <w:rsid w:val="00CB0A50"/>
    <w:rsid w:val="00CB7C46"/>
    <w:rsid w:val="00CC4604"/>
    <w:rsid w:val="00CD5A68"/>
    <w:rsid w:val="00CD6FAE"/>
    <w:rsid w:val="00D03A92"/>
    <w:rsid w:val="00D6088F"/>
    <w:rsid w:val="00D92445"/>
    <w:rsid w:val="00D971A9"/>
    <w:rsid w:val="00DB0E36"/>
    <w:rsid w:val="00DD5658"/>
    <w:rsid w:val="00DF5297"/>
    <w:rsid w:val="00E02C64"/>
    <w:rsid w:val="00E1211A"/>
    <w:rsid w:val="00E178D9"/>
    <w:rsid w:val="00E335ED"/>
    <w:rsid w:val="00E51823"/>
    <w:rsid w:val="00E51AF5"/>
    <w:rsid w:val="00E57B2D"/>
    <w:rsid w:val="00E60EAE"/>
    <w:rsid w:val="00E657AA"/>
    <w:rsid w:val="00E65F43"/>
    <w:rsid w:val="00E849B7"/>
    <w:rsid w:val="00EA6D98"/>
    <w:rsid w:val="00EB6EBD"/>
    <w:rsid w:val="00EC1397"/>
    <w:rsid w:val="00EC7C6F"/>
    <w:rsid w:val="00ED4C8B"/>
    <w:rsid w:val="00EE312E"/>
    <w:rsid w:val="00EE4706"/>
    <w:rsid w:val="00F40E9A"/>
    <w:rsid w:val="00F52785"/>
    <w:rsid w:val="00F61B8D"/>
    <w:rsid w:val="00F764C0"/>
    <w:rsid w:val="00F81177"/>
    <w:rsid w:val="00F86A16"/>
    <w:rsid w:val="00F8771D"/>
    <w:rsid w:val="00FC5F70"/>
    <w:rsid w:val="00FC6BDA"/>
    <w:rsid w:val="00FD2986"/>
    <w:rsid w:val="00FD4A1C"/>
    <w:rsid w:val="00FF0E45"/>
    <w:rsid w:val="02D31A57"/>
    <w:rsid w:val="05FD2B10"/>
    <w:rsid w:val="0C7B478E"/>
    <w:rsid w:val="110D7292"/>
    <w:rsid w:val="13F965A6"/>
    <w:rsid w:val="1539565C"/>
    <w:rsid w:val="168D6EA4"/>
    <w:rsid w:val="168F3F57"/>
    <w:rsid w:val="1770458D"/>
    <w:rsid w:val="189647BB"/>
    <w:rsid w:val="1CC15528"/>
    <w:rsid w:val="1CE720C9"/>
    <w:rsid w:val="209D0D1F"/>
    <w:rsid w:val="20B165A2"/>
    <w:rsid w:val="223B00A8"/>
    <w:rsid w:val="23887A65"/>
    <w:rsid w:val="256E1419"/>
    <w:rsid w:val="26D326FA"/>
    <w:rsid w:val="28BF2B0F"/>
    <w:rsid w:val="290636D2"/>
    <w:rsid w:val="2C02237E"/>
    <w:rsid w:val="2D973712"/>
    <w:rsid w:val="33AB5E4B"/>
    <w:rsid w:val="36DE21C1"/>
    <w:rsid w:val="374B64C7"/>
    <w:rsid w:val="37D72911"/>
    <w:rsid w:val="3CB74ABF"/>
    <w:rsid w:val="3E581CCD"/>
    <w:rsid w:val="40DE5DF9"/>
    <w:rsid w:val="44E74103"/>
    <w:rsid w:val="4BE156B5"/>
    <w:rsid w:val="4F8D4018"/>
    <w:rsid w:val="4FFA4D6A"/>
    <w:rsid w:val="517D5E7F"/>
    <w:rsid w:val="51D97A85"/>
    <w:rsid w:val="5FAE7ABB"/>
    <w:rsid w:val="6028345A"/>
    <w:rsid w:val="63D8582D"/>
    <w:rsid w:val="66855163"/>
    <w:rsid w:val="66FC50D5"/>
    <w:rsid w:val="68701B1C"/>
    <w:rsid w:val="688A4CB2"/>
    <w:rsid w:val="6F6A61D5"/>
    <w:rsid w:val="74117DFF"/>
    <w:rsid w:val="75A92217"/>
    <w:rsid w:val="78353D80"/>
    <w:rsid w:val="798F69C6"/>
    <w:rsid w:val="7A847F6E"/>
    <w:rsid w:val="7B6B4EDD"/>
    <w:rsid w:val="7C330D65"/>
    <w:rsid w:val="7DBE5C46"/>
    <w:rsid w:val="7EFB2A6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2"/>
    <w:qFormat/>
    <w:uiPriority w:val="99"/>
    <w:pPr>
      <w:keepNext/>
      <w:jc w:val="center"/>
      <w:outlineLvl w:val="0"/>
    </w:pPr>
    <w:rPr>
      <w:rFonts w:eastAsia="黑体"/>
      <w:b/>
      <w:bCs/>
      <w:sz w:val="32"/>
      <w:szCs w:val="32"/>
    </w:rPr>
  </w:style>
  <w:style w:type="paragraph" w:styleId="3">
    <w:name w:val="heading 2"/>
    <w:basedOn w:val="1"/>
    <w:next w:val="1"/>
    <w:link w:val="23"/>
    <w:qFormat/>
    <w:uiPriority w:val="99"/>
    <w:pPr>
      <w:keepNext/>
      <w:jc w:val="center"/>
      <w:outlineLvl w:val="1"/>
    </w:pPr>
    <w:rPr>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40"/>
    <w:unhideWhenUsed/>
    <w:qFormat/>
    <w:uiPriority w:val="99"/>
    <w:pPr>
      <w:jc w:val="left"/>
    </w:pPr>
  </w:style>
  <w:style w:type="paragraph" w:styleId="6">
    <w:name w:val="Body Text"/>
    <w:basedOn w:val="1"/>
    <w:link w:val="38"/>
    <w:unhideWhenUsed/>
    <w:qFormat/>
    <w:uiPriority w:val="99"/>
    <w:pPr>
      <w:spacing w:after="120"/>
    </w:pPr>
  </w:style>
  <w:style w:type="paragraph" w:styleId="7">
    <w:name w:val="Body Text Indent"/>
    <w:basedOn w:val="1"/>
    <w:link w:val="20"/>
    <w:unhideWhenUsed/>
    <w:qFormat/>
    <w:uiPriority w:val="99"/>
    <w:pPr>
      <w:spacing w:before="100" w:beforeAutospacing="1" w:after="120"/>
      <w:ind w:left="420" w:leftChars="200"/>
    </w:pPr>
  </w:style>
  <w:style w:type="paragraph" w:styleId="8">
    <w:name w:val="Balloon Text"/>
    <w:basedOn w:val="1"/>
    <w:link w:val="21"/>
    <w:unhideWhenUsed/>
    <w:qFormat/>
    <w:uiPriority w:val="99"/>
    <w:rPr>
      <w:sz w:val="18"/>
      <w:szCs w:val="18"/>
    </w:rPr>
  </w:style>
  <w:style w:type="paragraph" w:styleId="9">
    <w:name w:val="footer"/>
    <w:basedOn w:val="1"/>
    <w:link w:val="31"/>
    <w:unhideWhenUsed/>
    <w:qFormat/>
    <w:uiPriority w:val="99"/>
    <w:pPr>
      <w:tabs>
        <w:tab w:val="center" w:pos="4153"/>
        <w:tab w:val="right" w:pos="8306"/>
      </w:tabs>
      <w:snapToGrid w:val="0"/>
      <w:jc w:val="left"/>
    </w:pPr>
    <w:rPr>
      <w:sz w:val="18"/>
      <w:szCs w:val="18"/>
    </w:rPr>
  </w:style>
  <w:style w:type="paragraph" w:styleId="10">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annotation subject"/>
    <w:basedOn w:val="5"/>
    <w:next w:val="5"/>
    <w:link w:val="41"/>
    <w:unhideWhenUsed/>
    <w:qFormat/>
    <w:uiPriority w:val="99"/>
    <w:rPr>
      <w:b/>
      <w:bCs/>
    </w:rPr>
  </w:style>
  <w:style w:type="character" w:styleId="17">
    <w:name w:val="Strong"/>
    <w:basedOn w:val="16"/>
    <w:qFormat/>
    <w:uiPriority w:val="22"/>
    <w:rPr>
      <w:b/>
    </w:rPr>
  </w:style>
  <w:style w:type="character" w:styleId="18">
    <w:name w:val="Emphasis"/>
    <w:basedOn w:val="16"/>
    <w:qFormat/>
    <w:uiPriority w:val="20"/>
    <w:rPr>
      <w:i/>
      <w:iCs/>
    </w:rPr>
  </w:style>
  <w:style w:type="character" w:styleId="19">
    <w:name w:val="annotation reference"/>
    <w:basedOn w:val="16"/>
    <w:unhideWhenUsed/>
    <w:qFormat/>
    <w:uiPriority w:val="99"/>
    <w:rPr>
      <w:sz w:val="21"/>
      <w:szCs w:val="21"/>
    </w:rPr>
  </w:style>
  <w:style w:type="character" w:customStyle="1" w:styleId="20">
    <w:name w:val="正文文本缩进 字符"/>
    <w:basedOn w:val="16"/>
    <w:link w:val="7"/>
    <w:qFormat/>
    <w:uiPriority w:val="99"/>
    <w:rPr>
      <w:rFonts w:ascii="Times New Roman" w:hAnsi="Times New Roman" w:eastAsia="宋体" w:cs="Times New Roman"/>
      <w:szCs w:val="21"/>
    </w:rPr>
  </w:style>
  <w:style w:type="character" w:customStyle="1" w:styleId="21">
    <w:name w:val="批注框文本 字符"/>
    <w:basedOn w:val="16"/>
    <w:link w:val="8"/>
    <w:semiHidden/>
    <w:qFormat/>
    <w:uiPriority w:val="99"/>
    <w:rPr>
      <w:rFonts w:ascii="Times New Roman" w:hAnsi="Times New Roman" w:eastAsia="宋体" w:cs="Times New Roman"/>
      <w:sz w:val="18"/>
      <w:szCs w:val="18"/>
    </w:rPr>
  </w:style>
  <w:style w:type="character" w:customStyle="1" w:styleId="22">
    <w:name w:val="标题 1 字符"/>
    <w:basedOn w:val="16"/>
    <w:link w:val="2"/>
    <w:qFormat/>
    <w:uiPriority w:val="99"/>
    <w:rPr>
      <w:rFonts w:ascii="Times New Roman" w:hAnsi="Times New Roman" w:eastAsia="黑体" w:cs="Times New Roman"/>
      <w:b/>
      <w:bCs/>
      <w:sz w:val="32"/>
      <w:szCs w:val="32"/>
    </w:rPr>
  </w:style>
  <w:style w:type="character" w:customStyle="1" w:styleId="23">
    <w:name w:val="标题 2 字符"/>
    <w:basedOn w:val="16"/>
    <w:link w:val="3"/>
    <w:qFormat/>
    <w:uiPriority w:val="99"/>
    <w:rPr>
      <w:rFonts w:ascii="Times New Roman" w:hAnsi="Times New Roman" w:eastAsia="宋体" w:cs="Times New Roman"/>
      <w:sz w:val="32"/>
      <w:szCs w:val="32"/>
    </w:rPr>
  </w:style>
  <w:style w:type="character" w:customStyle="1" w:styleId="24">
    <w:name w:val="font31"/>
    <w:basedOn w:val="16"/>
    <w:qFormat/>
    <w:uiPriority w:val="0"/>
    <w:rPr>
      <w:rFonts w:hint="eastAsia" w:ascii="宋体" w:hAnsi="宋体" w:eastAsia="宋体"/>
      <w:b/>
      <w:bCs/>
      <w:color w:val="000000"/>
      <w:sz w:val="36"/>
      <w:szCs w:val="36"/>
      <w:u w:val="single"/>
    </w:rPr>
  </w:style>
  <w:style w:type="character" w:customStyle="1" w:styleId="25">
    <w:name w:val="font41"/>
    <w:basedOn w:val="16"/>
    <w:qFormat/>
    <w:uiPriority w:val="0"/>
    <w:rPr>
      <w:rFonts w:hint="eastAsia" w:ascii="宋体" w:hAnsi="宋体" w:eastAsia="宋体"/>
      <w:b/>
      <w:bCs/>
      <w:color w:val="000000"/>
      <w:sz w:val="36"/>
      <w:szCs w:val="36"/>
      <w:u w:val="none"/>
    </w:rPr>
  </w:style>
  <w:style w:type="character" w:customStyle="1" w:styleId="26">
    <w:name w:val="font11"/>
    <w:basedOn w:val="16"/>
    <w:qFormat/>
    <w:uiPriority w:val="0"/>
    <w:rPr>
      <w:rFonts w:hint="default" w:ascii="Times New Roman" w:hAnsi="Times New Roman" w:cs="Times New Roman"/>
      <w:b/>
      <w:bCs/>
      <w:color w:val="000000"/>
      <w:sz w:val="36"/>
      <w:szCs w:val="36"/>
      <w:u w:val="none"/>
    </w:rPr>
  </w:style>
  <w:style w:type="character" w:customStyle="1" w:styleId="27">
    <w:name w:val="font01"/>
    <w:basedOn w:val="16"/>
    <w:qFormat/>
    <w:uiPriority w:val="0"/>
    <w:rPr>
      <w:rFonts w:hint="default" w:ascii="Times New Roman" w:hAnsi="Times New Roman" w:cs="Times New Roman"/>
      <w:b/>
      <w:bCs/>
      <w:color w:val="000000"/>
      <w:sz w:val="36"/>
      <w:szCs w:val="36"/>
      <w:u w:val="single"/>
    </w:rPr>
  </w:style>
  <w:style w:type="character" w:customStyle="1" w:styleId="28">
    <w:name w:val="font21"/>
    <w:basedOn w:val="16"/>
    <w:qFormat/>
    <w:uiPriority w:val="0"/>
    <w:rPr>
      <w:rFonts w:hint="default" w:ascii="Times New Roman" w:hAnsi="Times New Roman" w:cs="Times New Roman"/>
      <w:color w:val="000000"/>
      <w:sz w:val="24"/>
      <w:szCs w:val="24"/>
      <w:u w:val="none"/>
    </w:rPr>
  </w:style>
  <w:style w:type="character" w:customStyle="1" w:styleId="29">
    <w:name w:val="font51"/>
    <w:basedOn w:val="16"/>
    <w:qFormat/>
    <w:uiPriority w:val="0"/>
    <w:rPr>
      <w:rFonts w:hint="eastAsia" w:ascii="宋体" w:hAnsi="宋体" w:eastAsia="宋体"/>
      <w:color w:val="000000"/>
      <w:sz w:val="24"/>
      <w:szCs w:val="24"/>
      <w:u w:val="none"/>
    </w:rPr>
  </w:style>
  <w:style w:type="character" w:customStyle="1" w:styleId="30">
    <w:name w:val="页眉 字符"/>
    <w:basedOn w:val="16"/>
    <w:link w:val="10"/>
    <w:qFormat/>
    <w:uiPriority w:val="99"/>
    <w:rPr>
      <w:rFonts w:ascii="Times New Roman" w:hAnsi="Times New Roman" w:eastAsia="宋体" w:cs="Times New Roman"/>
      <w:sz w:val="18"/>
      <w:szCs w:val="18"/>
    </w:rPr>
  </w:style>
  <w:style w:type="character" w:customStyle="1" w:styleId="31">
    <w:name w:val="页脚 字符"/>
    <w:basedOn w:val="16"/>
    <w:link w:val="9"/>
    <w:qFormat/>
    <w:uiPriority w:val="99"/>
    <w:rPr>
      <w:rFonts w:ascii="Times New Roman" w:hAnsi="Times New Roman" w:eastAsia="宋体" w:cs="Times New Roman"/>
      <w:sz w:val="18"/>
      <w:szCs w:val="18"/>
    </w:rPr>
  </w:style>
  <w:style w:type="character" w:customStyle="1" w:styleId="32">
    <w:name w:val="15"/>
    <w:basedOn w:val="16"/>
    <w:qFormat/>
    <w:uiPriority w:val="0"/>
    <w:rPr>
      <w:rFonts w:hint="eastAsia" w:ascii="宋体" w:hAnsi="宋体" w:eastAsia="宋体"/>
      <w:b/>
      <w:bCs/>
      <w:color w:val="000000"/>
      <w:sz w:val="36"/>
      <w:szCs w:val="36"/>
    </w:rPr>
  </w:style>
  <w:style w:type="character" w:customStyle="1" w:styleId="33">
    <w:name w:val="16"/>
    <w:basedOn w:val="16"/>
    <w:qFormat/>
    <w:uiPriority w:val="0"/>
    <w:rPr>
      <w:rFonts w:hint="default" w:ascii="Times New Roman" w:hAnsi="Times New Roman" w:cs="Times New Roman"/>
      <w:b/>
      <w:bCs/>
      <w:color w:val="000000"/>
      <w:sz w:val="36"/>
      <w:szCs w:val="36"/>
    </w:rPr>
  </w:style>
  <w:style w:type="character" w:customStyle="1" w:styleId="34">
    <w:name w:val="17"/>
    <w:basedOn w:val="16"/>
    <w:qFormat/>
    <w:uiPriority w:val="0"/>
    <w:rPr>
      <w:rFonts w:hint="eastAsia" w:ascii="宋体" w:hAnsi="宋体" w:eastAsia="宋体"/>
      <w:b/>
      <w:bCs/>
      <w:color w:val="000000"/>
      <w:sz w:val="36"/>
      <w:szCs w:val="36"/>
    </w:rPr>
  </w:style>
  <w:style w:type="character" w:customStyle="1" w:styleId="35">
    <w:name w:val="18"/>
    <w:basedOn w:val="16"/>
    <w:qFormat/>
    <w:uiPriority w:val="0"/>
    <w:rPr>
      <w:rFonts w:hint="eastAsia" w:ascii="宋体" w:hAnsi="宋体" w:eastAsia="宋体"/>
      <w:b/>
      <w:bCs/>
      <w:color w:val="000000"/>
      <w:sz w:val="36"/>
      <w:szCs w:val="36"/>
      <w:u w:val="single"/>
    </w:rPr>
  </w:style>
  <w:style w:type="character" w:customStyle="1" w:styleId="36">
    <w:name w:val="19"/>
    <w:basedOn w:val="16"/>
    <w:qFormat/>
    <w:uiPriority w:val="0"/>
    <w:rPr>
      <w:rFonts w:hint="eastAsia" w:ascii="宋体" w:hAnsi="宋体" w:eastAsia="宋体"/>
      <w:color w:val="000000"/>
      <w:sz w:val="24"/>
      <w:szCs w:val="24"/>
    </w:rPr>
  </w:style>
  <w:style w:type="character" w:customStyle="1" w:styleId="37">
    <w:name w:val="20"/>
    <w:basedOn w:val="16"/>
    <w:qFormat/>
    <w:uiPriority w:val="0"/>
    <w:rPr>
      <w:rFonts w:hint="default" w:ascii="Times New Roman" w:hAnsi="Times New Roman" w:cs="Times New Roman"/>
      <w:color w:val="000000"/>
      <w:sz w:val="24"/>
      <w:szCs w:val="24"/>
    </w:rPr>
  </w:style>
  <w:style w:type="character" w:customStyle="1" w:styleId="38">
    <w:name w:val="正文文本 字符"/>
    <w:basedOn w:val="16"/>
    <w:link w:val="6"/>
    <w:semiHidden/>
    <w:qFormat/>
    <w:uiPriority w:val="99"/>
    <w:rPr>
      <w:rFonts w:ascii="Times New Roman" w:hAnsi="Times New Roman" w:eastAsia="宋体" w:cs="Times New Roman"/>
      <w:szCs w:val="21"/>
    </w:rPr>
  </w:style>
  <w:style w:type="paragraph" w:customStyle="1" w:styleId="39">
    <w:name w:val="列出段落1"/>
    <w:basedOn w:val="1"/>
    <w:qFormat/>
    <w:uiPriority w:val="34"/>
    <w:pPr>
      <w:ind w:firstLine="420" w:firstLineChars="200"/>
    </w:pPr>
  </w:style>
  <w:style w:type="character" w:customStyle="1" w:styleId="40">
    <w:name w:val="批注文字 字符"/>
    <w:basedOn w:val="16"/>
    <w:link w:val="5"/>
    <w:semiHidden/>
    <w:qFormat/>
    <w:uiPriority w:val="99"/>
    <w:rPr>
      <w:rFonts w:ascii="Times New Roman" w:hAnsi="Times New Roman" w:eastAsia="宋体" w:cs="Times New Roman"/>
      <w:kern w:val="2"/>
      <w:sz w:val="21"/>
      <w:szCs w:val="21"/>
    </w:rPr>
  </w:style>
  <w:style w:type="character" w:customStyle="1" w:styleId="41">
    <w:name w:val="批注主题 字符"/>
    <w:basedOn w:val="40"/>
    <w:link w:val="14"/>
    <w:semiHidden/>
    <w:qFormat/>
    <w:uiPriority w:val="99"/>
    <w:rPr>
      <w:rFonts w:ascii="Times New Roman" w:hAnsi="Times New Roman" w:eastAsia="宋体" w:cs="Times New Roman"/>
      <w:b/>
      <w:bCs/>
      <w:kern w:val="2"/>
      <w:sz w:val="21"/>
      <w:szCs w:val="21"/>
    </w:rPr>
  </w:style>
  <w:style w:type="paragraph" w:customStyle="1" w:styleId="42">
    <w:name w:val="修订1"/>
    <w:hidden/>
    <w:unhideWhenUsed/>
    <w:qFormat/>
    <w:uiPriority w:val="99"/>
    <w:rPr>
      <w:rFonts w:ascii="Times New Roman" w:hAnsi="Times New Roman" w:eastAsia="宋体" w:cs="Times New Roman"/>
      <w:kern w:val="2"/>
      <w:sz w:val="21"/>
      <w:szCs w:val="21"/>
      <w:lang w:val="en-US" w:eastAsia="zh-CN" w:bidi="ar-SA"/>
    </w:rPr>
  </w:style>
  <w:style w:type="character" w:customStyle="1" w:styleId="43">
    <w:name w:val="font91"/>
    <w:basedOn w:val="16"/>
    <w:qFormat/>
    <w:uiPriority w:val="0"/>
    <w:rPr>
      <w:rFonts w:hint="eastAsia" w:ascii="宋体" w:hAnsi="宋体" w:eastAsia="宋体" w:cs="宋体"/>
      <w:b/>
      <w:bCs/>
      <w:color w:val="FF0000"/>
      <w:sz w:val="20"/>
      <w:szCs w:val="20"/>
      <w:u w:val="none"/>
    </w:rPr>
  </w:style>
  <w:style w:type="character" w:customStyle="1" w:styleId="44">
    <w:name w:val="font112"/>
    <w:basedOn w:val="16"/>
    <w:qFormat/>
    <w:uiPriority w:val="0"/>
    <w:rPr>
      <w:rFonts w:hint="default" w:ascii="Times New Roman" w:hAnsi="Times New Roman" w:cs="Times New Roman"/>
      <w:color w:val="000000"/>
      <w:sz w:val="20"/>
      <w:szCs w:val="20"/>
      <w:u w:val="none"/>
    </w:rPr>
  </w:style>
  <w:style w:type="character" w:customStyle="1" w:styleId="45">
    <w:name w:val="font121"/>
    <w:basedOn w:val="16"/>
    <w:qFormat/>
    <w:uiPriority w:val="0"/>
    <w:rPr>
      <w:rFonts w:hint="eastAsia" w:ascii="宋体" w:hAnsi="宋体" w:eastAsia="宋体" w:cs="宋体"/>
      <w:color w:val="000000"/>
      <w:sz w:val="20"/>
      <w:szCs w:val="20"/>
      <w:u w:val="none"/>
    </w:rPr>
  </w:style>
  <w:style w:type="paragraph" w:customStyle="1" w:styleId="46">
    <w:name w:val="Table Paragraph"/>
    <w:basedOn w:val="1"/>
    <w:qFormat/>
    <w:uiPriority w:val="1"/>
    <w:rPr>
      <w:rFonts w:ascii="宋体" w:hAnsi="宋体" w:cs="宋体"/>
      <w:lang w:val="zh-CN" w:bidi="zh-CN"/>
    </w:rPr>
  </w:style>
  <w:style w:type="paragraph" w:styleId="4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DFB87-3463-433B-9FA1-0CBEDEA97900}">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7920</Words>
  <Characters>9331</Characters>
  <Lines>39</Lines>
  <Paragraphs>32</Paragraphs>
  <TotalTime>73</TotalTime>
  <ScaleCrop>false</ScaleCrop>
  <LinksUpToDate>false</LinksUpToDate>
  <CharactersWithSpaces>9694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2025-12-22T14:38:00Z</dcterms:created>
  <dc:creator>admin</dc:creator>
  <cp:lastModifiedBy>云麟</cp:lastModifiedBy>
  <cp:lastPrinted>2022-10-06T12:22:00Z</cp:lastPrinted>
  <dcterms:modified xsi:type="dcterms:W3CDTF">2026-01-24T11:47:09Z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5323745E0048494DA442B8D5D3C0E135_13</vt:lpwstr>
  </property>
</Properties>
</file>