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</w:pPr>
      <w:r>
        <w:t>员工离职转岗时 固定资产怎样交接才不留尾账</w:t>
      </w:r>
    </w:p>
    <w:p>
      <w:pPr>
        <w:pStyle w:val="ArticleLead"/>
        <w:keepNext/>
        <w:keepLines/>
        <w:widowControl/>
      </w:pPr>
      <w:r>
        <w:t>人员已经离岗，设备却仍挂在原领用人名下，往往是清单、实物和接收确认没有衔接。围绕离职与转岗场景，梳理资产清单核对、分项验收、异常跟进和责任变更的方法。</w:t>
      </w:r>
    </w:p>
    <w:p>
      <w:pPr>
        <w:pStyle w:val="ArticleMeta"/>
        <w:keepNext w:val="0"/>
        <w:keepLines/>
        <w:widowControl/>
      </w:pPr>
      <w:r>
        <w:t>关键词  固定资产管理、资产交接、离职资产归还、资产领用、RFID资产管理</w:t>
      </w:r>
    </w:p>
    <w:p>
      <w:pPr>
        <w:keepNext w:val="0"/>
        <w:keepLines w:val="0"/>
        <w:widowControl/>
      </w:pPr>
      <w:r>
        <w:t>员工把笔记本放回行政办公室，接收人员在离职单上签了字，几周后盘点时，显示器仍登记在原员工名下，扩展坞也找不到去向。另一种情况是员工转岗后继续使用原设备，新旧部门都以为对方会更新台账，结果设备有人用，责任记录却停在原处。</w:t>
      </w:r>
    </w:p>
    <w:p>
      <w:pPr>
        <w:keepNext w:val="0"/>
        <w:keepLines w:val="0"/>
        <w:widowControl/>
      </w:pPr>
      <w:r>
        <w:t>固定资产交接需要落实到每件实物。发起时确定范围，接收时核对身份和状态，结束时明确新的保管关系；暂时无法完成的项目，则单独留下处理人和期限。这样才能避免一张整单签字掩盖多个未完成事项。</w:t>
      </w:r>
    </w:p>
    <w:p>
      <w:pPr>
        <w:keepNext/>
        <w:keepLines/>
        <w:spacing w:before="1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3886200" cy="2914650"/>
            <wp:docPr id="1" name="Picture 1" descr="办公设备与交接信息核对场景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  <w:keepLines/>
        <w:widowControl/>
      </w:pPr>
      <w:r>
        <w:t>图 1  办公设备与交接信息核对场景示意</w:t>
      </w:r>
    </w:p>
    <w:p>
      <w:pPr>
        <w:pStyle w:val="Heading1"/>
        <w:keepNext/>
        <w:keepLines/>
        <w:widowControl/>
      </w:pPr>
      <w:r>
        <w:t>从领用记录中整理待交接清单</w:t>
      </w:r>
    </w:p>
    <w:p>
      <w:pPr>
        <w:keepNext w:val="0"/>
        <w:keepLines w:val="0"/>
        <w:widowControl/>
      </w:pPr>
      <w:r>
        <w:t>收到离职或转岗通知后，资产管理员可以按人员标识汇总其名下的领用、借用和代管记录。仅按姓名搜索容易把同名人员混在一起，也可能漏掉借用单中尚未归还的设备。</w:t>
      </w:r>
    </w:p>
    <w:p>
      <w:pPr>
        <w:keepNext w:val="0"/>
        <w:keepLines w:val="0"/>
        <w:widowControl/>
      </w:pPr>
      <w:r>
        <w:t>清单应包含资产编号、名称、型号、所在位置、当前状态及随附物品。笔记本、显示器若分别建档，应分别列项；未独立建档的电源适配器、支架和扩展配件，可以列在对应设备的附件栏，避免接收时只核对主机。</w:t>
      </w:r>
    </w:p>
    <w:p>
      <w:pPr>
        <w:keepNext w:val="0"/>
        <w:keepLines w:val="0"/>
        <w:widowControl/>
      </w:pPr>
      <w:r>
        <w:t>员工需要核对这份清单，并补充台账没有记录的实际情况。例如，设备在异地项目现场、临时交给同事使用，或已经送修。借给同事不等于责任已经转移，送修也不等于可以从清单中删除，相关情况应附上可追查的记录。</w:t>
      </w:r>
    </w:p>
    <w:p>
      <w:pPr>
        <w:keepNext w:val="0"/>
        <w:keepLines w:val="0"/>
        <w:widowControl/>
      </w:pPr>
      <w:r>
        <w:t>会议室和实验室中的共享设备，则要核实离岗人员是实际使用人、代管人还是登记联系人。若只需变更保管责任，可以在原地点交接，避免为了完成流程而搬动仍在使用的设备。</w:t>
      </w:r>
    </w:p>
    <w:p>
      <w:pPr>
        <w:pStyle w:val="Heading1"/>
        <w:keepNext/>
        <w:keepLines/>
        <w:widowControl/>
      </w:pPr>
      <w:r>
        <w:t>离职归还与转岗续用分别处理</w:t>
      </w:r>
    </w:p>
    <w:p>
      <w:pPr>
        <w:keepNext w:val="0"/>
        <w:keepLines w:val="0"/>
        <w:widowControl/>
      </w:pPr>
      <w:r>
        <w:t>离职场景需要确认设备交回库房、转交指定人员，还是仍有事项待处理。转岗场景则应先判断原设备能否随人继续使用，再按内部制度办理部门、位置或保管关系变更。</w:t>
      </w:r>
    </w:p>
    <w:p>
      <w:pPr>
        <w:keepNext w:val="0"/>
        <w:keepLines w:val="0"/>
        <w:widowControl/>
      </w:pPr>
      <w:r>
        <w:t>例如，员工调入另一部门后仍使用原笔记本，实物没有进入库房，就不宜为了走完流程虚填一次“归还入库”。可以记录原部门释放、新部门接收及生效日期，并保留设备当前位置。成本归属等信息是否调整，由对应管理人员按既有规则确认。</w:t>
      </w:r>
    </w:p>
    <w:p>
      <w:pPr>
        <w:keepNext w:val="0"/>
        <w:keepLines w:val="0"/>
        <w:widowControl/>
      </w:pPr>
      <w:r>
        <w:t>对于寄回的设备，寄出、物流签收和验收完成也应分开记录。快递送达只能证明包裹已到达，无法说明编号、附件和设备状态已经核对。接收人员完成检查后，再确认相应交接项目。</w:t>
      </w:r>
    </w:p>
    <w:p>
      <w:pPr>
        <w:pStyle w:val="Heading1"/>
        <w:keepNext/>
        <w:keepLines/>
        <w:widowControl/>
      </w:pPr>
      <w:r>
        <w:t>验收要同时核对实物和记录</w:t>
      </w:r>
    </w:p>
    <w:p>
      <w:pPr>
        <w:keepNext w:val="0"/>
        <w:keepLines w:val="0"/>
        <w:widowControl/>
      </w:pPr>
      <w:r>
        <w:t>现场交接时，双方先确认资产编号及其他可核验标识，再检查外观、基本状态和附件。型号相同的两台设备，不能只凭外观认定是哪一台；标签缺损时，可以结合序列号、原始登记信息等线索复核，查明身份后再处理补标。</w:t>
      </w:r>
    </w:p>
    <w:p>
      <w:pPr>
        <w:keepNext w:val="0"/>
        <w:keepLines w:val="0"/>
        <w:widowControl/>
      </w:pPr>
      <w:r>
        <w:t>RFID识读可以辅助匹配标签与资产记录，但读到标签不等于设备功能正常，也不等于附件齐全。为避免邻近设备被误纳入交接，应限定本次清单，并对实际接收的实物逐件确认。</w:t>
      </w:r>
    </w:p>
    <w:p>
      <w:pPr>
        <w:keepNext w:val="0"/>
        <w:keepLines w:val="0"/>
        <w:widowControl/>
      </w:pPr>
      <w:r>
        <w:t>验收结果可以分为接收完成、已接收待检测、附件待补和实物待核实等情况。资产已经由库房保管，但功能检测尚未完成时，应如实记录接收人和接收时间，同时保留待检状态，避免因为检测未完成而让保管责任继续悬空。</w:t>
      </w:r>
    </w:p>
    <w:p>
      <w:pPr>
        <w:keepNext/>
        <w:keepLines/>
        <w:spacing w:before="1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3886200" cy="2914650"/>
            <wp:docPr id="2" name="Picture 2" descr="在管理端核对资产清单与接收记录的场景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  <w:keepLines/>
        <w:widowControl/>
      </w:pPr>
      <w:r>
        <w:t>图 2  在管理端核对资产清单与接收记录的场景示意</w:t>
      </w:r>
    </w:p>
    <w:p>
      <w:pPr>
        <w:pStyle w:val="Heading1"/>
        <w:keepNext/>
        <w:keepLines/>
        <w:widowControl/>
      </w:pPr>
      <w:r>
        <w:t>设备归还后还有哪些事项需要确认</w:t>
      </w:r>
    </w:p>
    <w:p>
      <w:pPr>
        <w:keepNext w:val="0"/>
        <w:keepLines w:val="0"/>
        <w:widowControl/>
      </w:pPr>
      <w:r>
        <w:t>计算设备归还后，业务资料移交、访问权限调整、数据处理及重新部署，应交由相应人员按照组织制度完成。资产管理员可以在交接记录中关联办理结果，不必把业务文件内容复制到资产台账。</w:t>
      </w:r>
    </w:p>
    <w:p>
      <w:pPr>
        <w:keepNext w:val="0"/>
        <w:keepLines w:val="0"/>
        <w:widowControl/>
      </w:pPr>
      <w:r>
        <w:t>设备接收与这些事项各有完成条件。可以先记录实物已经入库，设备仍处于待处理状态；只有满足再次领用条件后，才进入可发放清单。原使用人的设备照片或口头说明，也不能代替实际处理结果。</w:t>
      </w:r>
    </w:p>
    <w:p>
      <w:pPr>
        <w:keepNext w:val="0"/>
        <w:keepLines w:val="0"/>
        <w:widowControl/>
      </w:pPr>
      <w:r>
        <w:t>一份便于复查的交接记录，可以保留以下内容。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t>交接对象与范围，包括本次涉及的资产及附件。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t>实物核对结果，包括已发现的问题和相关记录。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t>当前保管人及存放位置，包括接收时间。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t>尚未完成的事项，包括处理人、下一步和约定期限。</w:t>
      </w:r>
    </w:p>
    <w:p>
      <w:pPr>
        <w:keepNext w:val="0"/>
        <w:keepLines/>
        <w:numPr>
          <w:ilvl w:val="0"/>
          <w:numId w:val="10"/>
        </w:numPr>
        <w:spacing w:after="80" w:line="290" w:lineRule="auto"/>
        <w:widowControl/>
      </w:pPr>
      <w:r>
        <w:t>每项确认的办理人及时间，便于追查状态变化。</w:t>
      </w:r>
    </w:p>
    <w:p>
      <w:pPr>
        <w:keepNext w:val="0"/>
        <w:keepLines w:val="0"/>
        <w:widowControl/>
      </w:pPr>
      <w:r>
        <w:t>使用首码 RFID 资产管理系统办理交接时，可将人员清单、逐项接收、附件记录和历史查询列入流程配置及验收范围，并按实际版本核实支持情况。交接单上的状态应与现场动作对应，减少管理员事后凭聊天记录补录的工作。</w:t>
      </w:r>
    </w:p>
    <w:p>
      <w:pPr>
        <w:pStyle w:val="Heading1"/>
        <w:keepNext/>
        <w:keepLines/>
        <w:widowControl/>
      </w:pPr>
      <w:r>
        <w:t>有差异的资产单独跟进</w:t>
      </w:r>
    </w:p>
    <w:p>
      <w:pPr>
        <w:keepNext w:val="0"/>
        <w:keepLines w:val="0"/>
        <w:widowControl/>
      </w:pPr>
      <w:r>
        <w:t>假设一份交接清单包含四件资产，其中两件已接收，一件正在外部维修，一件需要核实去向。可以分别记录两件的接收结果，为维修设备关联维修单，并为去向待核的设备指定跟进人。不能为了让整单显示完成，把四件全部改成已归还。</w:t>
      </w:r>
    </w:p>
    <w:p>
      <w:pPr>
        <w:keepNext w:val="0"/>
        <w:keepLines w:val="0"/>
        <w:widowControl/>
      </w:pPr>
      <w:r>
        <w:t>对实物待核的项目，先查领用、借用、维修及转交记录，再联系有关人员核实。尚未查明去向时，保留“待核实”状态和已完成的排查动作，避免过早把记录写成遗失结论。</w:t>
      </w:r>
    </w:p>
    <w:p>
      <w:pPr>
        <w:keepNext w:val="0"/>
        <w:keepLines w:val="0"/>
        <w:widowControl/>
      </w:pPr>
      <w:r>
        <w:t>人员离岗后，未完成事项仍要能被后续负责人查到。原人员档案可以停用，但与资产交接有关的历史记录应按组织的留存规则保留，不能因为账号停用就一并消失。</w:t>
      </w:r>
    </w:p>
    <w:p>
      <w:pPr>
        <w:keepNext/>
        <w:keepLines/>
        <w:spacing w:before="16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3886200" cy="2914650"/>
            <wp:docPr id="3" name="Picture 3" descr="对照设备标识与附件检查实物的场景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  <w:keepLines/>
        <w:widowControl/>
      </w:pPr>
      <w:r>
        <w:t>图 3  对照设备标识与附件检查实物的场景示意</w:t>
      </w:r>
    </w:p>
    <w:p>
      <w:pPr>
        <w:pStyle w:val="Heading1"/>
        <w:keepNext/>
        <w:keepLines/>
        <w:widowControl/>
      </w:pPr>
      <w:r>
        <w:t>结束交接前查一次接收结果</w:t>
      </w:r>
    </w:p>
    <w:p>
      <w:pPr>
        <w:keepNext w:val="0"/>
        <w:keepLines w:val="0"/>
        <w:widowControl/>
      </w:pPr>
      <w:r>
        <w:t>交接结束前，资产管理员可以从接收方视角复核：库房是否能查到新接收设备，新保管人名下是否出现对应记录，继续使用的设备是否已更新部门和位置。仅检查原领用人名下是否清空，容易漏掉设备被转到错误人员或错误地点的情况。</w:t>
      </w:r>
    </w:p>
    <w:p>
      <w:pPr>
        <w:keepNext w:val="0"/>
        <w:keepLines w:val="0"/>
        <w:widowControl/>
      </w:pPr>
      <w:r>
        <w:t>后续按月查看待验收、附件待补和去向待核的存量，关注各自停留时间。问题集中在寄回设备，就调整签收后的验收安排；问题集中在转岗续用，就补齐部门间的确认节点。</w:t>
      </w:r>
    </w:p>
    <w:p>
      <w:pPr>
        <w:keepNext w:val="0"/>
        <w:keepLines w:val="0"/>
        <w:widowControl/>
      </w:pPr>
      <w:r>
        <w:t>一项资产交接能否结束，应该能够从记录中直接看出：实物由谁保管，状态由谁确认，遗留事项由谁继续处理。把这些信息落实到每一件设备，人员变动后才有连续、可查的资产记录。</w:t>
      </w:r>
    </w:p>
    <w:sectPr w:rsidR="00FC693F" w:rsidRPr="0006063C" w:rsidSect="00034616"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  <w:spacing w:after="80" w:line="29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  <w:jc w:val="both"/>
    </w:pPr>
    <w:rPr>
      <w:rFonts w:ascii="Calibri" w:hAnsi="Calibri" w:eastAsia="Microsoft YaHei"/>
      <w:color w:val="000000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64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2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Lead">
    <w:name w:val="Article Lead"/>
    <w:pPr>
      <w:spacing w:before="0" w:after="160" w:line="312" w:lineRule="auto"/>
    </w:pPr>
    <w:rPr>
      <w:rFonts w:ascii="Calibri" w:hAnsi="Calibri" w:eastAsia="Microsoft YaHei"/>
      <w:b w:val="0"/>
      <w:color w:val="000000"/>
      <w:sz w:val="22"/>
      <w:lang w:val="zh-CN" w:eastAsia="zh-CN"/>
    </w:rPr>
  </w:style>
  <w:style w:type="paragraph" w:customStyle="1" w:styleId="ArticleMeta">
    <w:name w:val="Article Meta"/>
    <w:pPr>
      <w:spacing w:before="0" w:after="300"/>
    </w:pPr>
    <w:rPr>
      <w:rFonts w:ascii="Calibri" w:hAnsi="Calibri" w:eastAsia="Microsoft YaHei"/>
      <w:b w:val="0"/>
      <w:color w:val="595959"/>
      <w:sz w:val="18"/>
      <w:lang w:val="zh-CN" w:eastAsia="zh-CN"/>
    </w:rPr>
  </w:style>
  <w:style w:type="paragraph" w:customStyle="1" w:styleId="FigureCaption">
    <w:name w:val="Figure Caption"/>
    <w:pPr>
      <w:spacing w:before="0" w:after="180"/>
      <w:jc w:val="center"/>
    </w:pPr>
    <w:rPr>
      <w:rFonts w:ascii="Calibri" w:hAnsi="Calibri" w:eastAsia="Microsoft YaHei"/>
      <w:b w:val="0"/>
      <w:i/>
      <w:color w:val="595959"/>
      <w:sz w:val="18"/>
      <w:lang w:val="zh-CN" w:eastAsia="zh-CN"/>
    </w:rPr>
  </w:style>
  <w:style w:type="paragraph" w:customStyle="1" w:styleId="ArticleNote">
    <w:name w:val="Article Note"/>
    <w:pPr>
      <w:spacing w:before="200" w:after="160" w:line="300" w:lineRule="auto"/>
      <w:ind w:left="259" w:right="259"/>
    </w:pPr>
    <w:rPr>
      <w:rFonts w:ascii="Calibri" w:hAnsi="Calibri" w:eastAsia="Microsoft YaHei"/>
      <w:b w:val="0"/>
      <w:i/>
      <w:color w:val="595959"/>
      <w:sz w:val="19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员工离职转岗时 固定资产怎样交接才不留尾账</dc:title>
  <dc:subject>人员已经离岗，设备却仍挂在原领用人名下，往往是清单、实物和接收确认没有衔接。围绕离职与转岗场景，梳理资产清单核对、分项验收、异常跟进和责任变更的方法。</dc:subject>
  <dc:creator>首码信息</dc:creator>
  <cp:keywords>固定资产管理、资产交接、离职资产归还、资产领用、RFID资产管理</cp:keywords>
  <dc:description/>
  <cp:lastModifiedBy>首码信息</cp:lastModifiedBy>
  <cp:revision>1</cp:revision>
  <dcterms:created xsi:type="dcterms:W3CDTF">2026-10-08T00:00:00Z</dcterms:created>
  <dcterms:modified xsi:type="dcterms:W3CDTF">2026-10-08T00:00:00Z</dcterms:modified>
  <cp:category>资产管理实务</cp:category>
</cp:coreProperties>
</file>