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
      <w:pPr>
        <w:pStyle w:val="Heading1"/>
      </w:pPr>
      <w:r>
        <w:t>Keywords</w:t>
      </w:r>
    </w:p>
    <w:p/>
    <w:p>
      <w:pPr>
        <w:pStyle w:val="Heading1"/>
      </w:pPr>
      <w:r>
        <w:t>1. Introduction</w:t>
      </w:r>
    </w:p>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an order of magnitude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Pr/>
      <w:r>
        <w:rPr>
          <w:b w:val="0"/>
          <w:i w:val="0"/>
        </w:rPr>
        <w:t>Fitting Eq. (1) to the 21-point single-phase breakthrough curve under the two-pass protocol of Section 3.5 yields c_b = 0.0459, A = 2334, a = 0.431, α = 107.1 mm, Q = 0.46 mL/min, t₀ = 25.66 min, and σ = 3.96 min. The fitted curve reproduces the measured BTC with R² = 0.9939 and RMSE = 0.0210. Fig. 5a displays the decomposition that makes the two-source structure visible: the shaded Gaussian pulse, which carries 53% of the integrated signal, describes the shut-in accumulation slug (Source I); the shaded erfc tail, which carries 47%, describes the sustained matrix-diffusion-controlled release (Source II); and the tanh weight joins the two across a smooth window of roughly 8–10 min centered on the fitted crossover t₀ = 25.66 min. Each component is recognizable in the data itself: the Gaussian tracks the steep rise and the peak near t = 15 min, while the erfc tail tracks the slow decay that persists to the end of the measurement window. The residuals, plotted beneath the fit in Fig. 5a, scatter about zero with no systematic structure and no feature aligned with the crossover, so the blending transition introduces no visible fitting artifact at t₀.</w:t>
      </w:r>
    </w:p>
    <w:p>
      <w:pPr/>
      <w:r>
        <w:rPr>
          <w:b w:val="0"/>
          <w:i w:val="0"/>
        </w:rPr>
        <w:t>The model has six free parameters — enough degrees of freedom to overfit: of the seven fitted coefficients in Eq. (1), the transition width σ is effectively determined by its physically motivated scale, approximately the 4-min sampling interval (Section 2.2), leaving six values that the data actually determine. However, extra parameters only improve curve-matching; they do not produce physically correct parameter values. If the model structure is incorrect, the optimizer will assign Q whatever value helps match the curve shape, with compensating adjustments in A and α to preserve the fit. Q itself was unconstrained in the objective function — no penalty, prior, or constraint directed it toward the pump setting of 0.50 mL/min; it was bounded only by the wide search envelope [10, 5000] mL/min.</w:t>
      </w:r>
    </w:p>
    <w:p>
      <w:pPr/>
      <w:r>
        <w:rPr>
          <w:b w:val="0"/>
          <w:i w:val="0"/>
        </w:rPr>
        <w:t>Yet Q consistently settles at 0.46 ± 0.02 mL/min across four independent global searches, against the pump setting of 0.50 mL/min — an 8% deviation (Fig. 5b). The search bounds for Q spanned 10–5000 mL/min (Table S6) — a 500-fold range with no prior or penalty directing the optimizer toward the pump value. An incorrect model structure could have achieved comparable R² with Q = 2.0 or Q = 0.05 mL/min simply by compensating with A and α. Within that envelope nothing points the optimizer toward the pump setting; the converged value is determined entirely by the timing and shape of the observed BTC.</w:t>
      </w:r>
    </w:p>
    <w:p>
      <w:pPr/>
      <w:r>
        <w:rPr>
          <w:b w:val="0"/>
          <w:i w:val="0"/>
        </w:rPr>
        <w:t>The fact that Q emerges from the BTC shape at 0.46 mL/min, entirely unforced and unconstrained by any prior, constitutes evidence that the model structure captures the actual transport physics. Q is not a fitting artifact — it is a recovered engineering parameter. Two derived quantities provide internal consistency checks, though neither constitutes independent verification: the fitted mean residence time (MRT = 37.4 min) agrees with the convective travel time (x/v = 38.6 min) within 3%, and the Peclet number Pe = x/α = 0.934 places the transport in the dispersion-dominated regime discussed further in Section 4.4.</w:t>
      </w:r>
    </w:p>
    <w:p>
      <w:r>
        <w:rPr>
          <w:b w:val="0"/>
          <w:i w:val="0"/>
        </w:rPr>
        <w:t>[Fig. 5 placeholder — see Figure Captions]</w:t>
      </w:r>
    </w:p>
    <w:p>
      <w:pPr>
        <w:pStyle w:val="Heading2"/>
      </w:pPr>
      <w:r>
        <w:t>4.3 Comparison with Time-of-Arrival Methods</w:t>
      </w:r>
    </w:p>
    <w:p>
      <w:pPr/>
      <w:r>
        <w:rPr>
          <w:b w:val="0"/>
          <w:i w:val="0"/>
        </w:rPr>
        <w:t>A natural question is whether the full coupled model of Eq. (1) is necessary, or whether simpler time-of-arrival (TOA) methods — which require no optimization — could suffice for estimating the per-interval flow rate Q. Three TOA approaches were evaluated against the same 21-point single-phase breakthrough curve interpreted in Section 4.2 (Fig. 6).</w:t>
      </w:r>
    </w:p>
    <w:p>
      <w:pPr/>
      <w:r>
        <w:rPr>
          <w:b w:val="0"/>
          <w:i w:val="0"/>
        </w:rPr>
        <w:t>The peak-time method assumes that the convective front arrives at the sampling point when the concentration reaches its maximum. Applying it to the measured BTC (t_peak = 15 min) yields Q = 1.31 mL/min, overestimating the pump setting of 0.50 mL/min by 162%. This gross overestimate arises because dispersive spreading shifts the apparent peak earlier than the true convective arrival: the peak marks the maximum of the slug, not its centroid, and the sustained-release tail further distorts the concentration envelope. The half-peak method, which uses the time at which the concentration reaches half its maximum (t_half ≈ 5 min), performs worse still, returning Q = 3.93 mL/min (+685%), because the rising limb is similarly affected by dispersion.</w:t>
      </w:r>
    </w:p>
    <w:p>
      <w:pPr/>
      <w:r>
        <w:rPr>
          <w:b w:val="0"/>
          <w:i w:val="0"/>
        </w:rPr>
        <w:t>The first-moment method uses the entire BTC rather than a single point: computing the mean residence time from the first moment of the curve, MRT = ∫t·C dt / ∫C dt = 37.1 min, and converting it through the same geometric relation gives Q = 0.53 mL/min (+5.8%), substantially more accurate than the peak-based methods. However, the first moment conflates the shut-in slug and the sustained tail into a single number: it provides no signal decomposition, no mechanistic insight into the relative contributions of the two release processes, and no estimate of the Peclet number.</w:t>
      </w:r>
    </w:p>
    <w:p>
      <w:pPr/>
      <w:r>
        <w:rPr>
          <w:b w:val="0"/>
          <w:i w:val="0"/>
        </w:rPr>
        <w:t>The coupled model of Eq. (1) achieves the best accuracy (Q = 0.46 mL/min, −8%) while simultaneously decomposing the BTC into its Gaussian (53%) and erfc (47%) components and recovering Pe = 0.934 for mechanistic interpretation (Section 4.2). Fig. 6 summarizes the comparison: the coupled model uniquely combines flow-rate accuracy with signal decomposition and physical interpretability.</w:t>
      </w:r>
    </w:p>
    <w:p>
      <w:r>
        <w:rPr>
          <w:b w:val="0"/>
          <w:i w:val="0"/>
        </w:rPr>
        <w:t>[Fig. 6 placeholder — see Figure Captions]</w:t>
      </w:r>
    </w:p>
    <w:p>
      <w:pPr>
        <w:pStyle w:val="Heading2"/>
      </w:pPr>
      <w:r>
        <w:t>4.4 Independent Corroboration: K-P Kinetics and ADE Peclet Number</w:t>
      </w:r>
    </w:p>
    <w:p>
      <w:pPr/>
      <w:r>
        <w:rPr>
          <w:b w:val="0"/>
          <w:i w:val="0"/>
        </w:rPr>
        <w:t>Two completely independent experiments converge on the same physical picture. In the static batch release study (Section 3.3), ESP-T was immersed in dodecane in sealed glass vials, the tracer concentration in the liquid phase was quantified by ICP-MS as a function of time, and the resulting batch concentration history was fitted to the Korsmeyer–Peppas power law to extract the release exponent n. The fitted range n = 0.45–0.85 identifies anomalous (non-Fickian) release, in which matrix relaxation rather than diffusion alone controls the rate. In the core displacement experiment, an entirely different apparatus — a core holder with a packed proppant bed — generated the breakthrough curve of Section 4.2; fitting the coupled model of Eq. (1) to that BTC recovered the Peclet number Pe = x/α = 0.934, placing the transport in the dispersion-dominated (non-piston) regime.</w:t>
      </w:r>
    </w:p>
    <w:p>
      <w:pPr/>
      <w:r>
        <w:rPr>
          <w:b w:val="0"/>
          <w:i w:val="0"/>
        </w:rPr>
        <w:t>The two experiments are independent in every respect that matters: different apparatus (a static glass vial versus a dynamic core holder), different data (a batch concentration history versus a flowing breakthrough curve), and different fitting targets (the release parameters K and n versus the transport parameters Q, α, A, a, t₀, and σ). This is not cross-validation on a common dataset — the experiments share neither measurements nor fitted parameters, so their agreement cannot be manufactured by a shared fitting procedure or inflated by correlated errors.</w:t>
      </w:r>
    </w:p>
    <w:p>
      <w:pPr/>
      <w:r>
        <w:rPr>
          <w:b w:val="0"/>
          <w:i w:val="0"/>
        </w:rPr>
        <w:t>Despite these differences, both experiments point to the same physics. In the batch experiment, n &lt; 1 indicates relaxation-limited, non-Fickian release; in the core experiment, Pe = 0.934 means that dispersion and convection contribute approximately equally to tracer spreading, so the front is far from piston-like. Non-Fickian release and non-piston transport are two manifestations of the same slow, matrix-dominated exchange process that the coupled model of Section 2 was constructed to represent. Fig. 7 places the two lines of evidence side by side: the K-P fits to the batch data (left panel) and the Peclet annotation on the fitted BTC (right panel).</w:t>
      </w:r>
    </w:p>
    <w:p>
      <w:pPr/>
      <w:r>
        <w:rPr>
          <w:b w:val="0"/>
          <w:i w:val="0"/>
        </w:rPr>
        <w:t>Because the experiments are independent, their convergence does more than restate the Section 4.2 result: it shows that the model reproduces an independently observed transport regime rather than merely a single, carefully tuned dataset. The self-calibration test of Section 4.2 established that the model recovers a known engineering parameter; the corroboration of this section establishes that the parameters it recovers describe the same physics seen in an experiment of a completely different kind.</w:t>
      </w:r>
    </w:p>
    <w:p>
      <w:r>
        <w:rPr>
          <w:b w:val="0"/>
          <w:i w:val="0"/>
        </w:rPr>
        <w:t>[Fig. 7 placeholder — see Figure Captions]</w:t>
      </w:r>
    </w:p>
    <w:p>
      <w:pPr>
        <w:pStyle w:val="Heading2"/>
      </w:pPr>
      <w:r>
        <w:t>4.5 Signal Decomposition and Robustness</w:t>
      </w:r>
    </w:p>
    <w:p>
      <w:pPr/>
      <w:r>
        <w:rPr>
          <w:b w:val="0"/>
          <w:i w:val="0"/>
        </w:rPr>
        <w:t>Separating the fitted curve (Eq. 1) into its two components (Fig. 5a) shows that the erfc tail accounts for approximately 47% of the tracer signal integrated over the 105-min measurement window, with the Gaussian pulse contributing 53%. Nearly half of the tracer detected at the wellhead therefore originates not from the shut-in accumulation slug but from sustained, ongoing release during the production period. This decomposition is a model output, not a direct measurement; its physical validity rests on independent grounds — the self-calibration test of Section 4.2, which establishes that the model captures the actual transport physics, and the independent corroboration of Section 4.4, which recovers the same two-process picture from a completely different experiment.</w:t>
      </w:r>
    </w:p>
    <w:p>
      <w:pPr/>
      <w:r>
        <w:rPr>
          <w:b w:val="0"/>
          <w:i w:val="0"/>
        </w:rPr>
        <w:t>To verify that the decomposition is not an artifact of the chosen transition width, σ was varied from 1.98 to 11.89 min — a six-fold range spanning 0.5×–3.0× of the fitted value (3.96 min) — while the other six parameters were held fixed (Fig. 8). The erfc tail fraction stays between 46.7% and 47.5% across the entire scan, a spread of less than one percentage point. If the 47% figure were a parametric artifact of the blending window, varying σ over a six-fold range would perturb it substantially; instead, the decomposition is insensitive to the only parameter that controls how the two components are separated in time.</w:t>
      </w:r>
    </w:p>
    <w:p>
      <w:pPr/>
      <w:r>
        <w:rPr>
          <w:b w:val="0"/>
          <w:i w:val="0"/>
        </w:rPr>
        <w:t>The σ insensitivity confirms that the erfc tail is a robust structural feature of the BTC rather than a tuning outcome. Taken together with the statistical necessity of the two-component structure (Section 4.1) and the independent corroboration (Section 4.4), it establishes the decomposition as physically meaningful: the sustained-release fraction is a property of the tracer system, with a practical consequence — a single shut-in can support monitoring over an extended production period.</w:t>
      </w:r>
    </w:p>
    <w:p>
      <w:r>
        <w:rPr>
          <w:b w:val="0"/>
          <w:i w:val="0"/>
        </w:rPr>
        <w:t>[Fig. 8 placeholder — see Figure Captions]</w:t>
      </w:r>
    </w:p>
    <w:p>
      <w:pPr>
        <w:pStyle w:val="Heading1"/>
      </w:pPr>
      <w:r>
        <w:t>5. Extension to Two-Phase Production Allocation</w:t>
      </w:r>
    </w:p>
    <w:p/>
    <w:p>
      <w:pPr>
        <w:pStyle w:val="Heading2"/>
      </w:pPr>
      <w:r>
        <w:t>5.1 Physical Context</w:t>
      </w:r>
    </w:p>
    <w:p/>
    <w:p>
      <w:pPr>
        <w:pStyle w:val="Heading2"/>
      </w:pPr>
      <w:r>
        <w:t>5.2 The Dilution Problem and the Flux Solution</w:t>
      </w:r>
    </w:p>
    <w:p/>
    <w:p>
      <w:r>
        <w:rPr>
          <w:i/>
        </w:rPr>
        <w:t>[Fig. 9 placeholder — see Figure Captions] — Two-phase flow 3-panel</w:t>
      </w:r>
    </w:p>
    <w:p>
      <w:pPr>
        <w:pStyle w:val="Heading2"/>
      </w:pPr>
      <w:r>
        <w:t>5.3 Flux-to-Production-Rate Calibration</w:t>
      </w:r>
    </w:p>
    <w:p/>
    <w:p>
      <w:pPr>
        <w:pStyle w:val="Heading2"/>
      </w:pPr>
      <w:r>
        <w:t>5.4 Coupling to the BTC Framework</w:t>
      </w:r>
    </w:p>
    <w:p/>
    <w:p>
      <w:pPr>
        <w:pStyle w:val="Heading1"/>
      </w:pPr>
      <w:r>
        <w:t>6. Field Deployment Pathway</w:t>
      </w:r>
    </w:p>
    <w:p/>
    <w:p>
      <w:r>
        <w:rPr>
          <w:i/>
        </w:rPr>
        <w:t>[Fig. 10 placeholder — see Figure Captions] — Field deployment pathway schematic</w:t>
      </w:r>
    </w:p>
    <w:p>
      <w:pPr>
        <w:pStyle w:val="Heading1"/>
      </w:pPr>
      <w:r>
        <w:t>7. Conclusions</w:t>
      </w:r>
    </w:p>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