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Title: [TBD — written in Task 12 after all content is final]</w:t>
      </w:r>
    </w:p>
    <w:p/>
    <w:p>
      <w:pPr>
        <w:pStyle w:val="Heading1"/>
      </w:pPr>
      <w:r>
        <w:t>Abstract</w:t>
      </w:r>
    </w:p>
    <w:p/>
    <w:p>
      <w:pPr>
        <w:pStyle w:val="Heading1"/>
      </w:pPr>
      <w:r>
        <w:t>Keywords</w:t>
      </w:r>
    </w:p>
    <w:p/>
    <w:p>
      <w:pPr>
        <w:pStyle w:val="Heading1"/>
      </w:pPr>
      <w:r>
        <w:t>1. Introduction</w:t>
      </w:r>
    </w:p>
    <w:p/>
    <w:p>
      <w:pPr>
        <w:pStyle w:val="Heading1"/>
      </w:pPr>
      <w:r>
        <w:t>2. Coupled Release–Transport Model</w:t>
      </w:r>
    </w:p>
    <w:p>
      <w:r>
        <w:rPr>
          <w:b w:val="0"/>
          <w:i w:val="0"/>
        </w:rPr>
        <w:t>This section develops the coupled release–transport model that underpins the interpretation of every breakthrough curve (BTC) in this work. The model decomposes a tracer-proppant BTC into two physically distinct components — a Gaussian pulse generated by shut-in accumulation and an erfc tail generated by sustained matrix-diffusion-controlled release — linked by a C¹-continuous hyperbolic-tangent transition. All model parameters are defined here; Sections 4.1–4.5 subject the model to statistical selection, physical self-calibration, and robustness testing.</w:t>
      </w:r>
    </w:p>
    <w:p>
      <w:pPr>
        <w:pStyle w:val="Heading2"/>
      </w:pPr>
      <w:r>
        <w:t>2.1 Physical Basis</w:t>
      </w:r>
    </w:p>
    <w:p>
      <w:r>
        <w:rPr>
          <w:b w:val="0"/>
          <w:i w:val="0"/>
        </w:rPr>
        <w:t>The core displacement protocol imposes a tracer history that any quantitative interpretation must respect (Fig. 1). During the 96-h shut-in that precedes flowback (Section 3.4), the pore fluid is static and the proppant pack remains fully wetted. Tracer continues to diffuse out of the epoxy matrix throughout this period, and because no fluid movement removes it, the released mass accumulates in the pore space of the pack and in the adjacent near-wellbore region. When displacement resumes at the pump rate, this accumulated mass is swept toward the sampling point as a coherent slug: the outlet concentration rises steeply and passes through a sharp maximum as the slug is produced. This is Source I, the shut-in accumulation slug, and it produces the Gaussian-shaped pulse that dominates the early breakthrough curve.</w:t>
      </w:r>
    </w:p>
    <w:p>
      <w:r>
        <w:rPr>
          <w:b w:val="0"/>
          <w:i w:val="0"/>
        </w:rPr>
        <w:t>Source II arises from the same shut-in but persists far longer. The polymer matrix does not stop releasing tracer when flow resumes: the model oil continues to swell the cross-linked epoxy network, and tracer ions continue to diffuse from the matrix into the flowing fluid. This sustained, diffusion-controlled release feeds a low-amplitude concentration tail that decays slowly and remains measurable long after the main slug has passed the sampling point.</w:t>
      </w:r>
    </w:p>
    <w:p>
      <w:r>
        <w:rPr>
          <w:b w:val="0"/>
          <w:i w:val="0"/>
        </w:rPr>
        <w:t>The two sources are physically irreducible — they are not modeling choices but consequences of the experimental shut-in. The slug exists because the shut-in allowed accumulation; the tail exists because release is diffusion-controlled and cannot be interrupted at flowback. A model that attributes the entire BTC to a single process therefore omits one of the two mechanisms that are demonstrably present in the experiment. The model developed below treats the BTC as the superposition of both sources, weighted by a smooth transition between them.</w:t>
      </w:r>
    </w:p>
    <w:p>
      <w:r>
        <w:rPr>
          <w:i/>
        </w:rPr>
        <w:t>[Fig. 1 placeholder — see Figure Captions] — BTC generation schematic</w:t>
      </w:r>
    </w:p>
    <w:p>
      <w:pPr>
        <w:pStyle w:val="Heading2"/>
      </w:pPr>
      <w:r>
        <w:t>2.2 Governing Equations</w:t>
      </w:r>
    </w:p>
    <w:p>
      <w:r>
        <w:rPr>
          <w:b w:val="0"/>
          <w:i w:val="0"/>
        </w:rPr>
        <w:t>Tracer transport through the production tubing is governed by the one-dimensional advection–dispersion equation (ADE):</w:t>
      </w:r>
    </w:p>
    <w:p>
      <w:pPr>
        <w:jc w:val="center"/>
      </w:pPr>
      <w:r>
        <w:rPr>
          <w:b w:val="0"/>
          <w:i w:val="0"/>
        </w:rPr>
        <w:t>∂C/∂t + v·∂C/∂x = D·∂²C/∂x²</w:t>
      </w:r>
    </w:p>
    <w:p>
      <w:r>
        <w:rPr>
          <w:b w:val="0"/>
          <w:i w:val="0"/>
        </w:rPr>
        <w:t>where C is the tracer concentration, v is the cross-section-averaged flow velocity, and D is the longitudinal dispersion coefficient. For tube flow, the velocity is fixed by the volumetric flow rate Q and the tubing inner diameter d, and the dispersion coefficient is proportional to the velocity through the longitudinal dispersivity α:</w:t>
      </w:r>
    </w:p>
    <w:p>
      <w:pPr>
        <w:jc w:val="center"/>
      </w:pPr>
      <w:r>
        <w:rPr>
          <w:b w:val="0"/>
          <w:i w:val="0"/>
        </w:rPr>
        <w:t>v = 4Q/(πd²),  D = α·v</w:t>
      </w:r>
    </w:p>
    <w:p>
      <w:r>
        <w:rPr>
          <w:b w:val="0"/>
          <w:i w:val="0"/>
        </w:rPr>
        <w:t>The geometry is fixed by the experiment: x = 100 mm is the tubing length between the pack outlet and the sampling point, and d = 5 mm is the tubing inner diameter. Neither is fitted. Q and α are free parameters to be estimated from the BTC. For an instantaneous pulse of mass M released at x = 0 and t = 0, the ADE admits the classical solution C(x, t) = (M/A)·(1/√(4πDt))·exp(−(x − vt)²/(4Dt)), in which the concentration depends on x, v, D, and t only through the dimensionless similarity variable (x − vt)/√(4Dt) — the signed distance from the concentration peak normalized by the dispersion width. Substituting the tube-flow relations for v and D and clearing the fractional form in πd² yields the working dimensionless variable z:</w:t>
      </w:r>
    </w:p>
    <w:p>
      <w:pPr>
        <w:jc w:val="center"/>
      </w:pPr>
      <w:r>
        <w:rPr>
          <w:b w:val="0"/>
          <w:i w:val="0"/>
        </w:rPr>
        <w:t>z = (xπd² − 4Qt) / √(16αQtπd²)</w:t>
      </w:r>
    </w:p>
    <w:p>
      <w:r>
        <w:rPr>
          <w:b w:val="0"/>
          <w:i w:val="0"/>
        </w:rPr>
        <w:t>Here z = 0 marks the convective front, i.e., the concentration peak; z &gt; 0 lies in the post-peak decay regime and z &lt; 0 on the rising limb. The numerator is the spatial offset of the sampling point from the moving peak, and the denominator is the dispersion width, which grows as √t. In the fitted form, consistent units of mm, mL, and min are used throughout, so z is dimensionless.</w:t>
      </w:r>
    </w:p>
    <w:p>
      <w:r>
        <w:rPr>
          <w:b w:val="0"/>
          <w:i w:val="0"/>
        </w:rPr>
        <w:t>The two tracer sources of Section 2.1 enter as two additive components. Source I, the shut-in accumulation slug, takes the instantaneous-pulse solution expressed in z:</w:t>
      </w:r>
    </w:p>
    <w:p>
      <w:pPr>
        <w:jc w:val="center"/>
      </w:pPr>
      <w:r>
        <w:rPr>
          <w:b w:val="0"/>
          <w:i w:val="0"/>
        </w:rPr>
        <w:t>C</w:t>
      </w:r>
      <w:r>
        <w:rPr>
          <w:b w:val="0"/>
          <w:i w:val="0"/>
          <w:vertAlign w:val="subscript"/>
        </w:rPr>
        <w:t>rise</w:t>
      </w:r>
      <w:r>
        <w:rPr>
          <w:b w:val="0"/>
          <w:i w:val="0"/>
        </w:rPr>
        <w:t>(t) = c</w:t>
      </w:r>
      <w:r>
        <w:rPr>
          <w:b w:val="0"/>
          <w:i w:val="0"/>
          <w:vertAlign w:val="subscript"/>
        </w:rPr>
        <w:t>b</w:t>
      </w:r>
      <w:r>
        <w:rPr>
          <w:b w:val="0"/>
          <w:i w:val="0"/>
        </w:rPr>
        <w:t xml:space="preserve"> + (A·d)/√(16παQt·d²) × exp(−z²)</w:t>
      </w:r>
    </w:p>
    <w:p>
      <w:r>
        <w:rPr>
          <w:b w:val="0"/>
          <w:i w:val="0"/>
        </w:rPr>
        <w:t>where c</w:t>
      </w:r>
      <w:r>
        <w:rPr>
          <w:b w:val="0"/>
          <w:i w:val="0"/>
          <w:vertAlign w:val="subscript"/>
        </w:rPr>
        <w:t>b</w:t>
      </w:r>
      <w:r>
        <w:rPr>
          <w:b w:val="0"/>
          <w:i w:val="0"/>
        </w:rPr>
        <w:t xml:space="preserve"> is the baseline concentration (the asymptotic plateau of the BTC) and A is the pulse amplitude coefficient, proportional to the tracer mass that accumulated during shut-in. Source II, the sustained matrix-diffusion-controlled release, takes the erfc form appropriate to a source that is maintained over time:</w:t>
      </w:r>
    </w:p>
    <w:p>
      <w:pPr>
        <w:jc w:val="center"/>
      </w:pPr>
      <w:r>
        <w:rPr>
          <w:b w:val="0"/>
          <w:i w:val="0"/>
        </w:rPr>
        <w:t>C</w:t>
      </w:r>
      <w:r>
        <w:rPr>
          <w:b w:val="0"/>
          <w:i w:val="0"/>
          <w:vertAlign w:val="subscript"/>
        </w:rPr>
        <w:t>fall</w:t>
      </w:r>
      <w:r>
        <w:rPr>
          <w:b w:val="0"/>
          <w:i w:val="0"/>
        </w:rPr>
        <w:t>(t) = c</w:t>
      </w:r>
      <w:r>
        <w:rPr>
          <w:b w:val="0"/>
          <w:i w:val="0"/>
          <w:vertAlign w:val="subscript"/>
        </w:rPr>
        <w:t>b</w:t>
      </w:r>
      <w:r>
        <w:rPr>
          <w:b w:val="0"/>
          <w:i w:val="0"/>
        </w:rPr>
        <w:t xml:space="preserve"> + (a/2) × erfc(−z)</w:t>
      </w:r>
    </w:p>
    <w:p>
      <w:r>
        <w:rPr>
          <w:b w:val="0"/>
          <w:i w:val="0"/>
        </w:rPr>
        <w:t>where a is the tail amplitude coefficient, the sustained-release source strength. The erfc component decays slowly and is the long-time signature of the non-exhausting polymer-matrix source, consistent with the non-Fickian release kinetics measured independently in batch experiments (Section 3.3). The two components are combined through a hyperbolic-tangent weight function:</w:t>
      </w:r>
    </w:p>
    <w:p>
      <w:pPr>
        <w:jc w:val="center"/>
      </w:pPr>
      <w:r>
        <w:rPr>
          <w:b w:val="0"/>
          <w:i w:val="0"/>
        </w:rPr>
        <w:t>w(t) = ½[1 + tanh((t₀ − t)/σ)]</w:t>
      </w:r>
    </w:p>
    <w:p>
      <w:pPr>
        <w:jc w:val="center"/>
      </w:pPr>
      <w:r>
        <w:rPr>
          <w:b w:val="0"/>
          <w:i w:val="0"/>
        </w:rPr>
        <w:t>C(t) = c</w:t>
      </w:r>
      <w:r>
        <w:rPr>
          <w:b w:val="0"/>
          <w:i w:val="0"/>
          <w:vertAlign w:val="subscript"/>
        </w:rPr>
        <w:t>b</w:t>
      </w:r>
      <w:r>
        <w:rPr>
          <w:b w:val="0"/>
          <w:i w:val="0"/>
        </w:rPr>
        <w:t xml:space="preserve"> + w(t)·C</w:t>
      </w:r>
      <w:r>
        <w:rPr>
          <w:b w:val="0"/>
          <w:i w:val="0"/>
          <w:vertAlign w:val="subscript"/>
        </w:rPr>
        <w:t>rise</w:t>
      </w:r>
      <w:r>
        <w:rPr>
          <w:b w:val="0"/>
          <w:i w:val="0"/>
        </w:rPr>
        <w:t>(t) + [1 − w(t)]·C</w:t>
      </w:r>
      <w:r>
        <w:rPr>
          <w:b w:val="0"/>
          <w:i w:val="0"/>
          <w:vertAlign w:val="subscript"/>
        </w:rPr>
        <w:t>fall</w:t>
      </w:r>
      <w:r>
        <w:rPr>
          <w:b w:val="0"/>
          <w:i w:val="0"/>
        </w:rPr>
        <w:t>(t)   (Eq. 1)</w:t>
      </w:r>
    </w:p>
    <w:p>
      <w:r>
        <w:rPr>
          <w:b w:val="0"/>
          <w:i w:val="0"/>
        </w:rPr>
        <w:t>The crossover time t₀ locates the transition from slug-dominated to tail-dominated behavior, and the transition width σ controls its sharpness. σ is fitted — its value (3.96 min, Section 4.2) is approximately the 4-min sampling interval, providing a physically motivated regularization — whereas x and d remain fixed geometry. As t ≪ t₀, w → 1 and C(t) → C</w:t>
      </w:r>
      <w:r>
        <w:rPr>
          <w:b w:val="0"/>
          <w:i w:val="0"/>
          <w:vertAlign w:val="subscript"/>
        </w:rPr>
        <w:t>rise</w:t>
      </w:r>
      <w:r>
        <w:rPr>
          <w:b w:val="0"/>
          <w:i w:val="0"/>
        </w:rPr>
        <w:t>(t); as t ≫ t₀, w → 0 and C(t) → C</w:t>
      </w:r>
      <w:r>
        <w:rPr>
          <w:b w:val="0"/>
          <w:i w:val="0"/>
          <w:vertAlign w:val="subscript"/>
        </w:rPr>
        <w:t>fall</w:t>
      </w:r>
      <w:r>
        <w:rPr>
          <w:b w:val="0"/>
          <w:i w:val="0"/>
        </w:rPr>
        <w:t>(t); near t₀ the two signals mix smoothly over a window of width ≈ 8–10 min. Because both components and w are smooth, the blended curve (Eq. 1) is C¹-continuous, a requirement for gradient-based optimization: a hard piecewise switch at t₀ would introduce a non-differentiable kink at the crossover, and no physical mechanism switches the two release processes instantaneously.</w:t>
      </w:r>
    </w:p>
    <w:p>
      <w:pPr>
        <w:pStyle w:val="Heading2"/>
      </w:pPr>
      <w:r>
        <w:t>2.3 Parameter Set and Derived Quantities</w:t>
      </w:r>
    </w:p>
    <w:p>
      <w:r>
        <w:rPr>
          <w:b w:val="0"/>
          <w:i w:val="0"/>
        </w:rPr>
        <w:t>Equation (1) contains seven parameters — c</w:t>
      </w:r>
      <w:r>
        <w:rPr>
          <w:b w:val="0"/>
          <w:i w:val="0"/>
          <w:vertAlign w:val="subscript"/>
        </w:rPr>
        <w:t>b</w:t>
      </w:r>
      <w:r>
        <w:rPr>
          <w:b w:val="0"/>
          <w:i w:val="0"/>
        </w:rPr>
        <w:t>, A, a, α, Q, t₀, and σ — whose physical meanings and model origins are summarized in Table 1. Three derived transport quantities are computed from the fitted values: the Peclet number Pe = x/α, which measures the balance of advection to dispersion; the mean flow velocity v = 4Q/(πd²); and the mean residence time MRT = x/v.</w:t>
      </w:r>
    </w:p>
    <w:p>
      <w:r>
        <w:rPr>
          <w:b/>
        </w:rPr>
        <w:t xml:space="preserve">Table 1.  </w:t>
      </w:r>
      <w:r>
        <w:t>Parameter set of the coupled release–transport model (Eq. 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Parameter</w:t>
            </w:r>
          </w:p>
        </w:tc>
        <w:tc>
          <w:tcPr>
            <w:tcW w:type="dxa" w:w="2160"/>
          </w:tcPr>
          <w:p>
            <w:r>
              <w:rPr>
                <w:b/>
                <w:i w:val="0"/>
              </w:rPr>
              <w:t>Symbol</w:t>
            </w:r>
          </w:p>
        </w:tc>
        <w:tc>
          <w:tcPr>
            <w:tcW w:type="dxa" w:w="2160"/>
          </w:tcPr>
          <w:p>
            <w:r>
              <w:rPr>
                <w:b/>
                <w:i w:val="0"/>
              </w:rPr>
              <w:t>Origin</w:t>
            </w:r>
          </w:p>
        </w:tc>
        <w:tc>
          <w:tcPr>
            <w:tcW w:type="dxa" w:w="2160"/>
          </w:tcPr>
          <w:p>
            <w:r>
              <w:rPr>
                <w:b/>
                <w:i w:val="0"/>
              </w:rPr>
              <w:t>Physical meaning</w:t>
            </w:r>
          </w:p>
        </w:tc>
      </w:tr>
      <w:tr>
        <w:tc>
          <w:tcPr>
            <w:tcW w:type="dxa" w:w="2160"/>
          </w:tcPr>
          <w:p>
            <w:r>
              <w:rPr>
                <w:b w:val="0"/>
                <w:i w:val="0"/>
              </w:rPr>
              <w:t>Baseline concentration</w:t>
            </w:r>
          </w:p>
        </w:tc>
        <w:tc>
          <w:tcPr>
            <w:tcW w:type="dxa" w:w="2160"/>
          </w:tcPr>
          <w:p>
            <w:r>
              <w:rPr>
                <w:b w:val="0"/>
                <w:i w:val="0"/>
              </w:rPr>
              <w:t>c</w:t>
            </w:r>
            <w:r>
              <w:rPr>
                <w:b w:val="0"/>
                <w:i w:val="0"/>
                <w:vertAlign w:val="subscript"/>
              </w:rPr>
              <w:t>b</w:t>
            </w:r>
          </w:p>
        </w:tc>
        <w:tc>
          <w:tcPr>
            <w:tcW w:type="dxa" w:w="2160"/>
          </w:tcPr>
          <w:p>
            <w:r>
              <w:rPr>
                <w:b w:val="0"/>
                <w:i w:val="0"/>
              </w:rPr>
              <w:t>Both</w:t>
            </w:r>
          </w:p>
        </w:tc>
        <w:tc>
          <w:tcPr>
            <w:tcW w:type="dxa" w:w="2160"/>
          </w:tcPr>
          <w:p>
            <w:r>
              <w:rPr>
                <w:b w:val="0"/>
                <w:i w:val="0"/>
              </w:rPr>
              <w:t>Asymptotic plateau of the BTC</w:t>
            </w:r>
          </w:p>
        </w:tc>
      </w:tr>
      <w:tr>
        <w:tc>
          <w:tcPr>
            <w:tcW w:type="dxa" w:w="2160"/>
          </w:tcPr>
          <w:p>
            <w:r>
              <w:rPr>
                <w:b w:val="0"/>
                <w:i w:val="0"/>
              </w:rPr>
              <w:t>Pulse amplitude</w:t>
            </w:r>
          </w:p>
        </w:tc>
        <w:tc>
          <w:tcPr>
            <w:tcW w:type="dxa" w:w="2160"/>
          </w:tcPr>
          <w:p>
            <w:r>
              <w:rPr>
                <w:b w:val="0"/>
                <w:i w:val="0"/>
              </w:rPr>
              <w:t>A</w:t>
            </w:r>
          </w:p>
        </w:tc>
        <w:tc>
          <w:tcPr>
            <w:tcW w:type="dxa" w:w="2160"/>
          </w:tcPr>
          <w:p>
            <w:r>
              <w:rPr>
                <w:b w:val="0"/>
                <w:i w:val="0"/>
              </w:rPr>
              <w:t>Rise</w:t>
            </w:r>
          </w:p>
        </w:tc>
        <w:tc>
          <w:tcPr>
            <w:tcW w:type="dxa" w:w="2160"/>
          </w:tcPr>
          <w:p>
            <w:r>
              <w:rPr>
                <w:b w:val="0"/>
                <w:i w:val="0"/>
              </w:rPr>
              <w:t>Tracer mass accumulated during shut-in</w:t>
            </w:r>
          </w:p>
        </w:tc>
      </w:tr>
      <w:tr>
        <w:tc>
          <w:tcPr>
            <w:tcW w:type="dxa" w:w="2160"/>
          </w:tcPr>
          <w:p>
            <w:r>
              <w:rPr>
                <w:b w:val="0"/>
                <w:i w:val="0"/>
              </w:rPr>
              <w:t>Tail amplitude</w:t>
            </w:r>
          </w:p>
        </w:tc>
        <w:tc>
          <w:tcPr>
            <w:tcW w:type="dxa" w:w="2160"/>
          </w:tcPr>
          <w:p>
            <w:r>
              <w:rPr>
                <w:b w:val="0"/>
                <w:i w:val="0"/>
              </w:rPr>
              <w:t>a</w:t>
            </w:r>
          </w:p>
        </w:tc>
        <w:tc>
          <w:tcPr>
            <w:tcW w:type="dxa" w:w="2160"/>
          </w:tcPr>
          <w:p>
            <w:r>
              <w:rPr>
                <w:b w:val="0"/>
                <w:i w:val="0"/>
              </w:rPr>
              <w:t>Fall</w:t>
            </w:r>
          </w:p>
        </w:tc>
        <w:tc>
          <w:tcPr>
            <w:tcW w:type="dxa" w:w="2160"/>
          </w:tcPr>
          <w:p>
            <w:r>
              <w:rPr>
                <w:b w:val="0"/>
                <w:i w:val="0"/>
              </w:rPr>
              <w:t>Sustained-release source strength</w:t>
            </w:r>
          </w:p>
        </w:tc>
      </w:tr>
      <w:tr>
        <w:tc>
          <w:tcPr>
            <w:tcW w:type="dxa" w:w="2160"/>
          </w:tcPr>
          <w:p>
            <w:r>
              <w:rPr>
                <w:b w:val="0"/>
                <w:i w:val="0"/>
              </w:rPr>
              <w:t>Longitudinal dispersivity</w:t>
            </w:r>
          </w:p>
        </w:tc>
        <w:tc>
          <w:tcPr>
            <w:tcW w:type="dxa" w:w="2160"/>
          </w:tcPr>
          <w:p>
            <w:r>
              <w:rPr>
                <w:b w:val="0"/>
                <w:i w:val="0"/>
              </w:rPr>
              <w:t>α</w:t>
            </w:r>
          </w:p>
        </w:tc>
        <w:tc>
          <w:tcPr>
            <w:tcW w:type="dxa" w:w="2160"/>
          </w:tcPr>
          <w:p>
            <w:r>
              <w:rPr>
                <w:b w:val="0"/>
                <w:i w:val="0"/>
              </w:rPr>
              <w:t>Rise</w:t>
            </w:r>
          </w:p>
        </w:tc>
        <w:tc>
          <w:tcPr>
            <w:tcW w:type="dxa" w:w="2160"/>
          </w:tcPr>
          <w:p>
            <w:r>
              <w:rPr>
                <w:b w:val="0"/>
                <w:i w:val="0"/>
              </w:rPr>
              <w:t>Dispersion in the production tubing</w:t>
            </w:r>
          </w:p>
        </w:tc>
      </w:tr>
      <w:tr>
        <w:tc>
          <w:tcPr>
            <w:tcW w:type="dxa" w:w="2160"/>
          </w:tcPr>
          <w:p>
            <w:r>
              <w:rPr>
                <w:b w:val="0"/>
                <w:i w:val="0"/>
              </w:rPr>
              <w:t>Flow rate</w:t>
            </w:r>
          </w:p>
        </w:tc>
        <w:tc>
          <w:tcPr>
            <w:tcW w:type="dxa" w:w="2160"/>
          </w:tcPr>
          <w:p>
            <w:r>
              <w:rPr>
                <w:b w:val="0"/>
                <w:i w:val="0"/>
              </w:rPr>
              <w:t>Q</w:t>
            </w:r>
          </w:p>
        </w:tc>
        <w:tc>
          <w:tcPr>
            <w:tcW w:type="dxa" w:w="2160"/>
          </w:tcPr>
          <w:p>
            <w:r>
              <w:rPr>
                <w:b w:val="0"/>
                <w:i w:val="0"/>
              </w:rPr>
              <w:t>Rise</w:t>
            </w:r>
          </w:p>
        </w:tc>
        <w:tc>
          <w:tcPr>
            <w:tcW w:type="dxa" w:w="2160"/>
          </w:tcPr>
          <w:p>
            <w:r>
              <w:rPr>
                <w:b w:val="0"/>
                <w:i w:val="0"/>
              </w:rPr>
              <w:t>Target parameter — unconstrained in the fit</w:t>
            </w:r>
          </w:p>
        </w:tc>
      </w:tr>
      <w:tr>
        <w:tc>
          <w:tcPr>
            <w:tcW w:type="dxa" w:w="2160"/>
          </w:tcPr>
          <w:p>
            <w:r>
              <w:rPr>
                <w:b w:val="0"/>
                <w:i w:val="0"/>
              </w:rPr>
              <w:t>Crossover time</w:t>
            </w:r>
          </w:p>
        </w:tc>
        <w:tc>
          <w:tcPr>
            <w:tcW w:type="dxa" w:w="2160"/>
          </w:tcPr>
          <w:p>
            <w:r>
              <w:rPr>
                <w:b w:val="0"/>
                <w:i w:val="0"/>
              </w:rPr>
              <w:t>t₀</w:t>
            </w:r>
          </w:p>
        </w:tc>
        <w:tc>
          <w:tcPr>
            <w:tcW w:type="dxa" w:w="2160"/>
          </w:tcPr>
          <w:p>
            <w:r>
              <w:rPr>
                <w:b w:val="0"/>
                <w:i w:val="0"/>
              </w:rPr>
              <w:t>Both</w:t>
            </w:r>
          </w:p>
        </w:tc>
        <w:tc>
          <w:tcPr>
            <w:tcW w:type="dxa" w:w="2160"/>
          </w:tcPr>
          <w:p>
            <w:r>
              <w:rPr>
                <w:b w:val="0"/>
                <w:i w:val="0"/>
              </w:rPr>
              <w:t>Slug-to-tail transition time</w:t>
            </w:r>
          </w:p>
        </w:tc>
      </w:tr>
      <w:tr>
        <w:tc>
          <w:tcPr>
            <w:tcW w:type="dxa" w:w="2160"/>
          </w:tcPr>
          <w:p>
            <w:r>
              <w:rPr>
                <w:b w:val="0"/>
                <w:i w:val="0"/>
              </w:rPr>
              <w:t>Transition width</w:t>
            </w:r>
          </w:p>
        </w:tc>
        <w:tc>
          <w:tcPr>
            <w:tcW w:type="dxa" w:w="2160"/>
          </w:tcPr>
          <w:p>
            <w:r>
              <w:rPr>
                <w:b w:val="0"/>
                <w:i w:val="0"/>
              </w:rPr>
              <w:t>σ</w:t>
            </w:r>
          </w:p>
        </w:tc>
        <w:tc>
          <w:tcPr>
            <w:tcW w:type="dxa" w:w="2160"/>
          </w:tcPr>
          <w:p>
            <w:r>
              <w:rPr>
                <w:b w:val="0"/>
                <w:i w:val="0"/>
              </w:rPr>
              <w:t>Both</w:t>
            </w:r>
          </w:p>
        </w:tc>
        <w:tc>
          <w:tcPr>
            <w:tcW w:type="dxa" w:w="2160"/>
          </w:tcPr>
          <w:p>
            <w:r>
              <w:rPr>
                <w:b w:val="0"/>
                <w:i w:val="0"/>
              </w:rPr>
              <w:t>Fitted, ≈ sampling interval</w:t>
            </w:r>
          </w:p>
        </w:tc>
      </w:tr>
    </w:tbl>
    <w:p>
      <w:r>
        <w:rPr>
          <w:b w:val="0"/>
          <w:i w:val="0"/>
        </w:rPr>
        <w:t>Two parameters require explicit comment. σ is nominally free but is fitted with a physically motivated scale: its value is close to the 4-min sampling interval, and Section 4.5 shows that the conclusions are insensitive to σ over a six-fold range. Q is the target parameter of this study: it receives no penalty, prior, or constraint toward any particular value in the objective function. Q is bounded only by the search envelope [10, 5000] mL/min (Table S6) — a 500-fold range — which admits every flow rate physically possible in the apparatus while exercising no bias on the outcome. If the model structure is correct, Q must emerge from the concentration data alone; Section 2.4 formalizes this requirement as the validation test.</w:t>
      </w:r>
    </w:p>
    <w:p>
      <w:pPr>
        <w:pStyle w:val="Heading2"/>
      </w:pPr>
      <w:r>
        <w:t>2.4 Validation Strategy: Self-Calibration as Decisive Test</w:t>
      </w:r>
    </w:p>
    <w:p>
      <w:r>
        <w:rPr>
          <w:b w:val="0"/>
          <w:i w:val="0"/>
        </w:rPr>
        <w:t>Goodness-of-fit statistics alone cannot validate a model of this class. R² and RMSE measure how well a curve of k parameters reproduces 21 data points; they cannot distinguish a physically correct model from an overfitted one with the same number of parameters. Every single-process alternative considered in Section 4.1 achieves a respectable fit to part of the BTC. The question is therefore not whether Eq. (1) fits the data, but whether its parameters are physically real.</w:t>
      </w:r>
    </w:p>
    <w:p>
      <w:r>
        <w:rPr>
          <w:b w:val="0"/>
          <w:i w:val="0"/>
        </w:rPr>
        <w:t>The validation strategy adopted here is predictive rather than descriptive. Q is a physical quantity with an independent, known value: the pump was set to 0.50 mL/min during the displacement experiment (Section 3.4). The model is given no access to this value — Q enters the objective function without penalty, prior, or constraint toward the pump setting, bounded only by the [10, 5000] mL/min search envelope (Section 2.3). If the model structure were incorrect, the optimizer would assign Q an arbitrary value within that envelope, compensating with A and α to preserve the fit; the fitted Q would then be a curve-matching artifact. If the model structure is correct, Q must converge to approximately the pump value, because that is the only flow rate consistent with the timing and shape of the observed BTC.</w:t>
      </w:r>
    </w:p>
    <w:p>
      <w:r>
        <w:rPr>
          <w:b w:val="0"/>
          <w:i w:val="0"/>
        </w:rPr>
        <w:t>The test is falsifiable. If Q converged to 2.3 or 0.07 mL/min while R² remained at 0.99, the model would be wrong regardless of its statistical performance: its fitted Q would contradict an independently measured physical quantity. A converged value of Q consistent with the pump setting across independent searches therefore constitutes positive evidence — a successful prediction — that the model structure captures the transport physics rather than the curve shape. Section 4.2 reports the outcome of this test.</w:t>
      </w:r>
    </w:p>
    <w:p>
      <w:pPr>
        <w:pStyle w:val="Heading1"/>
      </w:pPr>
      <w:r>
        <w:t>3. Experimental Methods</w:t>
      </w:r>
    </w:p>
    <w:p>
      <w:r>
        <w:rPr>
          <w:b w:val="0"/>
          <w:i w:val="0"/>
        </w:rPr>
        <w:t>This section describes the synthesis and characterization of the tracer proppant, the batch release experiments that establish its release mechanism, the core displacement protocol that generated the breakthrough curves, and the two-pass strategy used to estimate model parameters. Procedural detail beyond these essentials is deferred to the Supplementary Material.</w:t>
      </w:r>
    </w:p>
    <w:p>
      <w:pPr>
        <w:pStyle w:val="Heading2"/>
      </w:pPr>
      <w:r>
        <w:t>3.1 ESP-T Synthesis</w:t>
      </w:r>
    </w:p>
    <w:p>
      <w:r>
        <w:rPr>
          <w:b w:val="0"/>
          <w:i w:val="0"/>
        </w:rPr>
        <w:t>ESP-T was synthesized in three steps (Fig. S1). (i) Stearic acid-modified nano-Fe₃O₄ (nano-Fe₃O₄@SA) was prepared by co-precipitation: 2.703 g FeCl₃ and 1.15 g FeCl₂·4H₂O were dissolved in 100 mL deionized water at 80 °C under N₂ purge, with 2×10⁻⁵ mol MnCl₂·6H₂O added as a dopant; 5.5 mL NH₃·H₂O was then added and the reaction proceeded at pH 10 for 2 h. The precipitate was magnetically separated, washed, and sonicated with ethanolic stearic acid for oleophilic surface modification. (ii) A pre-mixture of 20 mL E51 epoxy resin, ~0.75 g nano-Fe₃O₄@SA (~3.3 wt%), 1 g hollow glass microspheres, and 7 g T31 curing agent was homogenized. (iii) The pre-mixture was emulsified in a SiO₂/guar gum aqueous dispersion, cured at 50 °C for 1 h, then rinsed and dried at 80 °C for 10 h. Pure epoxy microspheres were prepared identically without nano-Fe₃O₄@SA as a reference. The co-precipitation method also accommodates other transition metals (Zn, Cu, Co, Ni) and rare earths (Eu, Dy, Nd) for multi-stage coding. Reagent specifications are listed in Table S1.</w:t>
      </w:r>
    </w:p>
    <w:p>
      <w:pPr>
        <w:pStyle w:val="Heading2"/>
      </w:pPr>
      <w:r>
        <w:t>3.2 Material Prerequisites for Model Validity</w:t>
      </w:r>
    </w:p>
    <w:p>
      <w:r>
        <w:rPr>
          <w:b w:val="0"/>
          <w:i w:val="0"/>
        </w:rPr>
        <w:t>The model of Section 2 rests on four material prerequisites: bulk encapsulation of the tracer within the particle, thermal stability at downhole temperatures, non-Fickian release kinetics, and oil-phase selectivity. Each was verified by an independent measurement (Fig. 2) before any breakthrough curve was interpreted; the results and their implications for the model are summarized in Table 2.</w:t>
      </w:r>
    </w:p>
    <w:p>
      <w:r>
        <w:rPr>
          <w:b/>
        </w:rPr>
        <w:t xml:space="preserve">Table 2.  </w:t>
      </w:r>
      <w:r>
        <w:t>Material prerequisites of the coupled release–transport model and the evidence supporting each.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Prerequisite</w:t>
            </w:r>
          </w:p>
        </w:tc>
        <w:tc>
          <w:tcPr>
            <w:tcW w:type="dxa" w:w="2160"/>
          </w:tcPr>
          <w:p>
            <w:r>
              <w:rPr>
                <w:b/>
                <w:i w:val="0"/>
              </w:rPr>
              <w:t>Method</w:t>
            </w:r>
          </w:p>
        </w:tc>
        <w:tc>
          <w:tcPr>
            <w:tcW w:type="dxa" w:w="2160"/>
          </w:tcPr>
          <w:p>
            <w:r>
              <w:rPr>
                <w:b/>
                <w:i w:val="0"/>
              </w:rPr>
              <w:t>Result</w:t>
            </w:r>
          </w:p>
        </w:tc>
        <w:tc>
          <w:tcPr>
            <w:tcW w:type="dxa" w:w="2160"/>
          </w:tcPr>
          <w:p>
            <w:r>
              <w:rPr>
                <w:b/>
                <w:i w:val="0"/>
              </w:rPr>
              <w:t>Implication for Model</w:t>
            </w:r>
          </w:p>
        </w:tc>
      </w:tr>
      <w:tr>
        <w:tc>
          <w:tcPr>
            <w:tcW w:type="dxa" w:w="2160"/>
          </w:tcPr>
          <w:p>
            <w:r>
              <w:rPr>
                <w:b w:val="0"/>
                <w:i w:val="0"/>
              </w:rPr>
              <w:t>Tracer in matrix</w:t>
            </w:r>
          </w:p>
        </w:tc>
        <w:tc>
          <w:tcPr>
            <w:tcW w:type="dxa" w:w="2160"/>
          </w:tcPr>
          <w:p>
            <w:r>
              <w:rPr>
                <w:b w:val="0"/>
                <w:i w:val="0"/>
              </w:rPr>
              <w:t>SEM-EDS cross-section</w:t>
            </w:r>
          </w:p>
        </w:tc>
        <w:tc>
          <w:tcPr>
            <w:tcW w:type="dxa" w:w="2160"/>
          </w:tcPr>
          <w:p>
            <w:r>
              <w:rPr>
                <w:b w:val="0"/>
                <w:i w:val="0"/>
              </w:rPr>
              <w:t>Fe distributed throughout particle</w:t>
            </w:r>
          </w:p>
        </w:tc>
        <w:tc>
          <w:tcPr>
            <w:tcW w:type="dxa" w:w="2160"/>
          </w:tcPr>
          <w:p>
            <w:r>
              <w:rPr>
                <w:b w:val="0"/>
                <w:i w:val="0"/>
              </w:rPr>
              <w:t>Confirms bulk encapsulation → sustained source term valid</w:t>
            </w:r>
          </w:p>
        </w:tc>
      </w:tr>
      <w:tr>
        <w:tc>
          <w:tcPr>
            <w:tcW w:type="dxa" w:w="2160"/>
          </w:tcPr>
          <w:p>
            <w:r>
              <w:rPr>
                <w:b w:val="0"/>
                <w:i w:val="0"/>
              </w:rPr>
              <w:t>Thermal stability</w:t>
            </w:r>
          </w:p>
        </w:tc>
        <w:tc>
          <w:tcPr>
            <w:tcW w:type="dxa" w:w="2160"/>
          </w:tcPr>
          <w:p>
            <w:r>
              <w:rPr>
                <w:b w:val="0"/>
                <w:i w:val="0"/>
              </w:rPr>
              <w:t>TGA/DTG (air, 10 °C/min)</w:t>
            </w:r>
          </w:p>
        </w:tc>
        <w:tc>
          <w:tcPr>
            <w:tcW w:type="dxa" w:w="2160"/>
          </w:tcPr>
          <w:p>
            <w:r>
              <w:rPr>
                <w:b w:val="0"/>
                <w:i w:val="0"/>
              </w:rPr>
              <w:t>Decomposition onset 357 °C</w:t>
            </w:r>
          </w:p>
        </w:tc>
        <w:tc>
          <w:tcPr>
            <w:tcW w:type="dxa" w:w="2160"/>
          </w:tcPr>
          <w:p>
            <w:r>
              <w:rPr>
                <w:b w:val="0"/>
                <w:i w:val="0"/>
              </w:rPr>
              <w:t>No degradation at 80–200 °C downhole → K-P kinetics valid</w:t>
            </w:r>
          </w:p>
        </w:tc>
      </w:tr>
      <w:tr>
        <w:tc>
          <w:tcPr>
            <w:tcW w:type="dxa" w:w="2160"/>
          </w:tcPr>
          <w:p>
            <w:r>
              <w:rPr>
                <w:b w:val="0"/>
                <w:i w:val="0"/>
              </w:rPr>
              <w:t>Non-Fickian release</w:t>
            </w:r>
          </w:p>
        </w:tc>
        <w:tc>
          <w:tcPr>
            <w:tcW w:type="dxa" w:w="2160"/>
          </w:tcPr>
          <w:p>
            <w:r>
              <w:rPr>
                <w:b w:val="0"/>
                <w:i w:val="0"/>
              </w:rPr>
              <w:t>K-P batch release, M</w:t>
            </w:r>
            <w:r>
              <w:rPr>
                <w:b w:val="0"/>
                <w:i w:val="0"/>
                <w:vertAlign w:val="subscript"/>
              </w:rPr>
              <w:t>t</w:t>
            </w:r>
            <w:r>
              <w:rPr>
                <w:b w:val="0"/>
                <w:i w:val="0"/>
              </w:rPr>
              <w:t>/M∞ &lt; 0.6</w:t>
            </w:r>
          </w:p>
        </w:tc>
        <w:tc>
          <w:tcPr>
            <w:tcW w:type="dxa" w:w="2160"/>
          </w:tcPr>
          <w:p>
            <w:r>
              <w:rPr>
                <w:b w:val="0"/>
                <w:i w:val="0"/>
              </w:rPr>
              <w:t>n = 0.45–0.85</w:t>
            </w:r>
          </w:p>
        </w:tc>
        <w:tc>
          <w:tcPr>
            <w:tcW w:type="dxa" w:w="2160"/>
          </w:tcPr>
          <w:p>
            <w:r>
              <w:rPr>
                <w:b w:val="0"/>
                <w:i w:val="0"/>
              </w:rPr>
              <w:t>Swelling-diffusion mechanism → erfc tail physically justified</w:t>
            </w:r>
          </w:p>
        </w:tc>
      </w:tr>
      <w:tr>
        <w:tc>
          <w:tcPr>
            <w:tcW w:type="dxa" w:w="2160"/>
          </w:tcPr>
          <w:p>
            <w:r>
              <w:rPr>
                <w:b w:val="0"/>
                <w:i w:val="0"/>
              </w:rPr>
              <w:t>Oil-phase selectivity</w:t>
            </w:r>
          </w:p>
        </w:tc>
        <w:tc>
          <w:tcPr>
            <w:tcW w:type="dxa" w:w="2160"/>
          </w:tcPr>
          <w:p>
            <w:r>
              <w:rPr>
                <w:b w:val="0"/>
                <w:i w:val="0"/>
              </w:rPr>
              <w:t>WCA + packed-bed filtration</w:t>
            </w:r>
          </w:p>
        </w:tc>
        <w:tc>
          <w:tcPr>
            <w:tcW w:type="dxa" w:w="2160"/>
          </w:tcPr>
          <w:p>
            <w:r>
              <w:rPr>
                <w:b w:val="0"/>
                <w:i w:val="0"/>
              </w:rPr>
              <w:t>WCA 104.6°; oil/water time ratio 5.53</w:t>
            </w:r>
          </w:p>
        </w:tc>
        <w:tc>
          <w:tcPr>
            <w:tcW w:type="dxa" w:w="2160"/>
          </w:tcPr>
          <w:p>
            <w:r>
              <w:rPr>
                <w:b w:val="0"/>
                <w:i w:val="0"/>
              </w:rPr>
              <w:t>Tracer signal isolated from water dilution → flux method valid</w:t>
            </w:r>
          </w:p>
        </w:tc>
      </w:tr>
    </w:tbl>
    <w:p>
      <w:r>
        <w:rPr>
          <w:b w:val="0"/>
          <w:i w:val="0"/>
        </w:rPr>
        <w:t>Detailed characterization protocols are provided in Supplementary Material S2, and complete physical property data in Table S4.</w:t>
      </w:r>
    </w:p>
    <w:p>
      <w:r>
        <w:rPr>
          <w:i/>
        </w:rPr>
        <w:t>[Fig. 2 placeholder — see Figure Captions] — ESP-T characterization summary, 4-panel</w:t>
      </w:r>
    </w:p>
    <w:p>
      <w:pPr>
        <w:pStyle w:val="Heading2"/>
      </w:pPr>
      <w:r>
        <w:t>3.3 K-P Batch Release Kinetics</w:t>
      </w:r>
    </w:p>
    <w:p>
      <w:r>
        <w:rPr>
          <w:b w:val="0"/>
          <w:i w:val="0"/>
        </w:rPr>
        <w:t>ESP-T (5 g, 40–70 mesh) was immersed in 100 mL dodecane in sealed glass vials held in thermostatic oil baths at 30, 60, 90, and 120 °C. Samples were withdrawn at 12-h intervals over 14 days, and the tracer metal-ion concentration was quantified by inductively coupled plasma mass spectrometry (ICP-MS, PerkinElmer NexION 300X). Release data within M</w:t>
      </w:r>
      <w:r>
        <w:rPr>
          <w:b w:val="0"/>
          <w:i w:val="0"/>
          <w:vertAlign w:val="subscript"/>
        </w:rPr>
        <w:t>t</w:t>
      </w:r>
      <w:r>
        <w:rPr>
          <w:b w:val="0"/>
          <w:i w:val="0"/>
        </w:rPr>
        <w:t>/M∞ &lt; 0.6 — the range in which the Korsmeyer–Peppas power law C/C₀ = K·tⁿ is valid — were fitted to obtain the kinetic parameters K and n. This validity limit excludes the late stage, in which the matrix approaches saturation and release no longer follows the power law. The fitted exponents n = 0.45–0.85 identify the anomalous (non-Fickian) release mechanism that physically justifies the erfc tail of the transport model (Section 2.2). The full release dataset is provided in Table S3.</w:t>
      </w:r>
    </w:p>
    <w:p>
      <w:pPr>
        <w:pStyle w:val="Heading2"/>
      </w:pPr>
      <w:r>
        <w:t>3.4 Core Displacement: BTC Generation</w:t>
      </w:r>
    </w:p>
    <w:p>
      <w:r>
        <w:rPr>
          <w:b w:val="0"/>
          <w:i w:val="0"/>
        </w:rPr>
        <w:t>A dynamic displacement apparatus (Fig. S2) was used to generate the breakthrough curves interpreted in Section 4. A steel core was packed with ESP-T, sealed with 200-mesh screens, and mounted in a core holder under 5 MPa confining pressure. For the single-phase experiment, the pack was saturated with dodecane at 5 mL/min and shut in for 96 h to allow tracer accumulation — a shut-in duration representative of typical periods between fracturing and flowback in field operations. Displacement was then resumed at a pump setting of 0.50 mL/min. Effluent was sampled at 4-min intervals (2 mL per sample, 21 samples) and analyzed by ICP-MS to construct the BTC. The pump setting is the independent flow-rate reference against which the fitted flow rate Q is compared in the self-calibration test of Section 4.2. For the two-phase experiments, dodecane and deionized water were co-injected at oil–water ratios (OWR) of 4:1, 1:1, and 1:4 and total flow rates of 0.1–0.4 mL/min under steady-state conditions; samples were collected at 5-min intervals, and the oil–water ratio and tracer concentration of each sample were recorded after ICP-MS analysis.</w:t>
      </w:r>
    </w:p>
    <w:p>
      <w:pPr>
        <w:pStyle w:val="Heading2"/>
      </w:pPr>
      <w:r>
        <w:t>3.5 Parameter Estimation Strategy</w:t>
      </w:r>
    </w:p>
    <w:p>
      <w:r>
        <w:rPr>
          <w:b w:val="0"/>
          <w:i w:val="0"/>
        </w:rPr>
        <w:t>All model parameters were estimated from the 21-point single-phase breakthrough curve by solving the inverse problem in two passes. Pass 1 (basin location) performed a global search over wide, physically bounded parameter ranges; Q was bounded to [10, 5000] mL/min — a 500-fold envelope that admits every flow rate physically achievable with the apparatus. Four independent runs with different random starting points were executed, and all four converged to the same region of parameter space, confirming that the identified basin is robust rather than an artifact of any single initialization. Pass 2 (local refinement) refined the best Pass-1 solution by gradient-based minimization, converging within 50–200 iterations and confirming that Pass 1 had located the correct basin. The identical protocol — the same bounds, convergence criteria, and number of independent runs — was applied to all five candidate models compared in Section 4.1, so that model selection rests on a fair comparison. Throughout, parameters were estimated from the concentration data alone; Q was subject to no penalty, prior, or constraint toward the pump setting (Section 2.4). Detailed parameter bounds are listed in Table S6, and the optimization implementation is described in Supplementary Material S5.3.</w:t>
      </w:r>
    </w:p>
    <w:p>
      <w:pPr>
        <w:pStyle w:val="Heading1"/>
      </w:pPr>
      <w:r>
        <w:t>4. Results and Discussion</w:t>
      </w:r>
    </w:p>
    <w:p/>
    <w:p>
      <w:pPr>
        <w:pStyle w:val="Heading2"/>
      </w:pPr>
      <w:r>
        <w:t>4.1 Model Selection: Single-Process Models Are Insufficient</w:t>
      </w:r>
    </w:p>
    <w:p>
      <w:r>
        <w:rPr>
          <w:b w:val="0"/>
          <w:i w:val="0"/>
        </w:rPr>
        <w:t>Five candidate models were fitted to the 21-point single-phase breakthrough curve under the identical two-pass protocol of Section 3.5, so that selection rests on a fair comparison: the dual-component tanh-blended model of Eq. (1), a single Gaussian (the ADE pulse solution, Source I only), a single erfc (the sustained-release solution, Source II only), an exponential decay, and the Korsmeyer–Peppas (K-P) power law. Table 3 reports, for each model, the number of fitted parameters k, the coefficient of determination R², the root-mean-square error RMSE, the corrected Akaike information criterion AICc, the increment ΔAICc relative to the best model, and the Akaike weight. The five fitted curves are overlaid on the measured BTC, with the ΔAICc ranking, in Fig. 4.</w:t>
      </w:r>
    </w:p>
    <w:p>
      <w:r>
        <w:rPr>
          <w:b/>
        </w:rPr>
        <w:t xml:space="preserve">Table 3.  </w:t>
      </w:r>
      <w:r>
        <w:t>Model-selection statistics for the five candidate models fitted to the 21-point single-phase BTC.</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val="0"/>
              </w:rPr>
              <w:t>Model</w:t>
            </w:r>
          </w:p>
        </w:tc>
        <w:tc>
          <w:tcPr>
            <w:tcW w:type="dxa" w:w="1234"/>
          </w:tcPr>
          <w:p>
            <w:r>
              <w:rPr>
                <w:b/>
                <w:i w:val="0"/>
              </w:rPr>
              <w:t>k</w:t>
            </w:r>
          </w:p>
        </w:tc>
        <w:tc>
          <w:tcPr>
            <w:tcW w:type="dxa" w:w="1234"/>
          </w:tcPr>
          <w:p>
            <w:r>
              <w:rPr>
                <w:b/>
                <w:i w:val="0"/>
              </w:rPr>
              <w:t>R²</w:t>
            </w:r>
          </w:p>
        </w:tc>
        <w:tc>
          <w:tcPr>
            <w:tcW w:type="dxa" w:w="1234"/>
          </w:tcPr>
          <w:p>
            <w:r>
              <w:rPr>
                <w:b/>
                <w:i w:val="0"/>
              </w:rPr>
              <w:t>RMSE</w:t>
            </w:r>
          </w:p>
        </w:tc>
        <w:tc>
          <w:tcPr>
            <w:tcW w:type="dxa" w:w="1234"/>
          </w:tcPr>
          <w:p>
            <w:r>
              <w:rPr>
                <w:b/>
                <w:i w:val="0"/>
              </w:rPr>
              <w:t>AICc</w:t>
            </w:r>
          </w:p>
        </w:tc>
        <w:tc>
          <w:tcPr>
            <w:tcW w:type="dxa" w:w="1234"/>
          </w:tcPr>
          <w:p>
            <w:r>
              <w:rPr>
                <w:b/>
                <w:i w:val="0"/>
              </w:rPr>
              <w:t>ΔAICc</w:t>
            </w:r>
          </w:p>
        </w:tc>
        <w:tc>
          <w:tcPr>
            <w:tcW w:type="dxa" w:w="1234"/>
          </w:tcPr>
          <w:p>
            <w:r>
              <w:rPr>
                <w:b/>
                <w:i w:val="0"/>
              </w:rPr>
              <w:t>Weight</w:t>
            </w:r>
          </w:p>
        </w:tc>
      </w:tr>
      <w:tr>
        <w:tc>
          <w:tcPr>
            <w:tcW w:type="dxa" w:w="1234"/>
          </w:tcPr>
          <w:p>
            <w:r>
              <w:rPr>
                <w:b w:val="0"/>
                <w:i w:val="0"/>
              </w:rPr>
              <w:t>Dual-component tanh-blended</w:t>
            </w:r>
          </w:p>
        </w:tc>
        <w:tc>
          <w:tcPr>
            <w:tcW w:type="dxa" w:w="1234"/>
          </w:tcPr>
          <w:p>
            <w:r>
              <w:rPr>
                <w:b w:val="0"/>
                <w:i w:val="0"/>
              </w:rPr>
              <w:t>7</w:t>
            </w:r>
          </w:p>
        </w:tc>
        <w:tc>
          <w:tcPr>
            <w:tcW w:type="dxa" w:w="1234"/>
          </w:tcPr>
          <w:p>
            <w:r>
              <w:rPr>
                <w:b w:val="0"/>
                <w:i w:val="0"/>
              </w:rPr>
              <w:t>0.9939</w:t>
            </w:r>
          </w:p>
        </w:tc>
        <w:tc>
          <w:tcPr>
            <w:tcW w:type="dxa" w:w="1234"/>
          </w:tcPr>
          <w:p>
            <w:r>
              <w:rPr>
                <w:b w:val="0"/>
                <w:i w:val="0"/>
              </w:rPr>
              <w:t>0.0210</w:t>
            </w:r>
          </w:p>
        </w:tc>
        <w:tc>
          <w:tcPr>
            <w:tcW w:type="dxa" w:w="1234"/>
          </w:tcPr>
          <w:p>
            <w:r>
              <w:rPr>
                <w:b w:val="0"/>
                <w:i w:val="0"/>
              </w:rPr>
              <w:t>−139.70</w:t>
            </w:r>
          </w:p>
        </w:tc>
        <w:tc>
          <w:tcPr>
            <w:tcW w:type="dxa" w:w="1234"/>
          </w:tcPr>
          <w:p>
            <w:r>
              <w:rPr>
                <w:b w:val="0"/>
                <w:i w:val="0"/>
              </w:rPr>
              <w:t>0.00</w:t>
            </w:r>
          </w:p>
        </w:tc>
        <w:tc>
          <w:tcPr>
            <w:tcW w:type="dxa" w:w="1234"/>
          </w:tcPr>
          <w:p>
            <w:r>
              <w:rPr>
                <w:b w:val="0"/>
                <w:i w:val="0"/>
              </w:rPr>
              <w:t>1.000</w:t>
            </w:r>
          </w:p>
        </w:tc>
      </w:tr>
      <w:tr>
        <w:tc>
          <w:tcPr>
            <w:tcW w:type="dxa" w:w="1234"/>
          </w:tcPr>
          <w:p>
            <w:r>
              <w:rPr>
                <w:b w:val="0"/>
                <w:i w:val="0"/>
              </w:rPr>
              <w:t>Single Gaussian</w:t>
            </w:r>
          </w:p>
        </w:tc>
        <w:tc>
          <w:tcPr>
            <w:tcW w:type="dxa" w:w="1234"/>
          </w:tcPr>
          <w:p>
            <w:r>
              <w:rPr>
                <w:b w:val="0"/>
                <w:i w:val="0"/>
              </w:rPr>
              <w:t>4</w:t>
            </w:r>
          </w:p>
        </w:tc>
        <w:tc>
          <w:tcPr>
            <w:tcW w:type="dxa" w:w="1234"/>
          </w:tcPr>
          <w:p>
            <w:r>
              <w:rPr>
                <w:b w:val="0"/>
                <w:i w:val="0"/>
              </w:rPr>
              <w:t>0.9482</w:t>
            </w:r>
          </w:p>
        </w:tc>
        <w:tc>
          <w:tcPr>
            <w:tcW w:type="dxa" w:w="1234"/>
          </w:tcPr>
          <w:p>
            <w:r>
              <w:rPr>
                <w:b w:val="0"/>
                <w:i w:val="0"/>
              </w:rPr>
              <w:t>0.0609</w:t>
            </w:r>
          </w:p>
        </w:tc>
        <w:tc>
          <w:tcPr>
            <w:tcW w:type="dxa" w:w="1234"/>
          </w:tcPr>
          <w:p>
            <w:r>
              <w:rPr>
                <w:b w:val="0"/>
                <w:i w:val="0"/>
              </w:rPr>
              <w:t>−107.04</w:t>
            </w:r>
          </w:p>
        </w:tc>
        <w:tc>
          <w:tcPr>
            <w:tcW w:type="dxa" w:w="1234"/>
          </w:tcPr>
          <w:p>
            <w:r>
              <w:rPr>
                <w:b w:val="0"/>
                <w:i w:val="0"/>
              </w:rPr>
              <w:t>32.66</w:t>
            </w:r>
          </w:p>
        </w:tc>
        <w:tc>
          <w:tcPr>
            <w:tcW w:type="dxa" w:w="1234"/>
          </w:tcPr>
          <w:p>
            <w:r>
              <w:rPr>
                <w:b w:val="0"/>
                <w:i w:val="0"/>
              </w:rPr>
              <w:t>&lt;10⁻⁴</w:t>
            </w:r>
          </w:p>
        </w:tc>
      </w:tr>
      <w:tr>
        <w:tc>
          <w:tcPr>
            <w:tcW w:type="dxa" w:w="1234"/>
          </w:tcPr>
          <w:p>
            <w:r>
              <w:rPr>
                <w:b w:val="0"/>
                <w:i w:val="0"/>
              </w:rPr>
              <w:t>Single erfc</w:t>
            </w:r>
          </w:p>
        </w:tc>
        <w:tc>
          <w:tcPr>
            <w:tcW w:type="dxa" w:w="1234"/>
          </w:tcPr>
          <w:p>
            <w:r>
              <w:rPr>
                <w:b w:val="0"/>
                <w:i w:val="0"/>
              </w:rPr>
              <w:t>4</w:t>
            </w:r>
          </w:p>
        </w:tc>
        <w:tc>
          <w:tcPr>
            <w:tcW w:type="dxa" w:w="1234"/>
          </w:tcPr>
          <w:p>
            <w:r>
              <w:rPr>
                <w:b w:val="0"/>
                <w:i w:val="0"/>
              </w:rPr>
              <w:t>0.7159</w:t>
            </w:r>
          </w:p>
        </w:tc>
        <w:tc>
          <w:tcPr>
            <w:tcW w:type="dxa" w:w="1234"/>
          </w:tcPr>
          <w:p>
            <w:r>
              <w:rPr>
                <w:b w:val="0"/>
                <w:i w:val="0"/>
              </w:rPr>
              <w:t>0.1427</w:t>
            </w:r>
          </w:p>
        </w:tc>
        <w:tc>
          <w:tcPr>
            <w:tcW w:type="dxa" w:w="1234"/>
          </w:tcPr>
          <w:p>
            <w:r>
              <w:rPr>
                <w:b w:val="0"/>
                <w:i w:val="0"/>
              </w:rPr>
              <w:t>−71.28</w:t>
            </w:r>
          </w:p>
        </w:tc>
        <w:tc>
          <w:tcPr>
            <w:tcW w:type="dxa" w:w="1234"/>
          </w:tcPr>
          <w:p>
            <w:r>
              <w:rPr>
                <w:b w:val="0"/>
                <w:i w:val="0"/>
              </w:rPr>
              <w:t>68.42</w:t>
            </w:r>
          </w:p>
        </w:tc>
        <w:tc>
          <w:tcPr>
            <w:tcW w:type="dxa" w:w="1234"/>
          </w:tcPr>
          <w:p>
            <w:r>
              <w:rPr>
                <w:b w:val="0"/>
                <w:i w:val="0"/>
              </w:rPr>
              <w:t>&lt;10⁻⁴</w:t>
            </w:r>
          </w:p>
        </w:tc>
      </w:tr>
      <w:tr>
        <w:tc>
          <w:tcPr>
            <w:tcW w:type="dxa" w:w="1234"/>
          </w:tcPr>
          <w:p>
            <w:r>
              <w:rPr>
                <w:b w:val="0"/>
                <w:i w:val="0"/>
              </w:rPr>
              <w:t>Exponential decay</w:t>
            </w:r>
          </w:p>
        </w:tc>
        <w:tc>
          <w:tcPr>
            <w:tcW w:type="dxa" w:w="1234"/>
          </w:tcPr>
          <w:p>
            <w:r>
              <w:rPr>
                <w:b w:val="0"/>
                <w:i w:val="0"/>
              </w:rPr>
              <w:t>3</w:t>
            </w:r>
          </w:p>
        </w:tc>
        <w:tc>
          <w:tcPr>
            <w:tcW w:type="dxa" w:w="1234"/>
          </w:tcPr>
          <w:p>
            <w:r>
              <w:rPr>
                <w:b w:val="0"/>
                <w:i w:val="0"/>
              </w:rPr>
              <w:t>0.7517</w:t>
            </w:r>
          </w:p>
        </w:tc>
        <w:tc>
          <w:tcPr>
            <w:tcW w:type="dxa" w:w="1234"/>
          </w:tcPr>
          <w:p>
            <w:r>
              <w:rPr>
                <w:b w:val="0"/>
                <w:i w:val="0"/>
              </w:rPr>
              <w:t>0.1334</w:t>
            </w:r>
          </w:p>
        </w:tc>
        <w:tc>
          <w:tcPr>
            <w:tcW w:type="dxa" w:w="1234"/>
          </w:tcPr>
          <w:p>
            <w:r>
              <w:rPr>
                <w:b w:val="0"/>
                <w:i w:val="0"/>
              </w:rPr>
              <w:t>−77.20</w:t>
            </w:r>
          </w:p>
        </w:tc>
        <w:tc>
          <w:tcPr>
            <w:tcW w:type="dxa" w:w="1234"/>
          </w:tcPr>
          <w:p>
            <w:r>
              <w:rPr>
                <w:b w:val="0"/>
                <w:i w:val="0"/>
              </w:rPr>
              <w:t>62.51</w:t>
            </w:r>
          </w:p>
        </w:tc>
        <w:tc>
          <w:tcPr>
            <w:tcW w:type="dxa" w:w="1234"/>
          </w:tcPr>
          <w:p>
            <w:r>
              <w:rPr>
                <w:b w:val="0"/>
                <w:i w:val="0"/>
              </w:rPr>
              <w:t>&lt;10⁻⁴</w:t>
            </w:r>
          </w:p>
        </w:tc>
      </w:tr>
      <w:tr>
        <w:tc>
          <w:tcPr>
            <w:tcW w:type="dxa" w:w="1234"/>
          </w:tcPr>
          <w:p>
            <w:r>
              <w:rPr>
                <w:b w:val="0"/>
                <w:i w:val="0"/>
              </w:rPr>
              <w:t>Korsmeyer–Peppas power law</w:t>
            </w:r>
          </w:p>
        </w:tc>
        <w:tc>
          <w:tcPr>
            <w:tcW w:type="dxa" w:w="1234"/>
          </w:tcPr>
          <w:p>
            <w:r>
              <w:rPr>
                <w:b w:val="0"/>
                <w:i w:val="0"/>
              </w:rPr>
              <w:t>3</w:t>
            </w:r>
          </w:p>
        </w:tc>
        <w:tc>
          <w:tcPr>
            <w:tcW w:type="dxa" w:w="1234"/>
          </w:tcPr>
          <w:p>
            <w:r>
              <w:rPr>
                <w:b w:val="0"/>
                <w:i w:val="0"/>
              </w:rPr>
              <w:t>−0.0193</w:t>
            </w:r>
          </w:p>
        </w:tc>
        <w:tc>
          <w:tcPr>
            <w:tcW w:type="dxa" w:w="1234"/>
          </w:tcPr>
          <w:p>
            <w:r>
              <w:rPr>
                <w:b w:val="0"/>
                <w:i w:val="0"/>
              </w:rPr>
              <w:t>0.2703</w:t>
            </w:r>
          </w:p>
        </w:tc>
        <w:tc>
          <w:tcPr>
            <w:tcW w:type="dxa" w:w="1234"/>
          </w:tcPr>
          <w:p>
            <w:r>
              <w:rPr>
                <w:b w:val="0"/>
                <w:i w:val="0"/>
              </w:rPr>
              <w:t>−47.54</w:t>
            </w:r>
          </w:p>
        </w:tc>
        <w:tc>
          <w:tcPr>
            <w:tcW w:type="dxa" w:w="1234"/>
          </w:tcPr>
          <w:p>
            <w:r>
              <w:rPr>
                <w:b w:val="0"/>
                <w:i w:val="0"/>
              </w:rPr>
              <w:t>92.16</w:t>
            </w:r>
          </w:p>
        </w:tc>
        <w:tc>
          <w:tcPr>
            <w:tcW w:type="dxa" w:w="1234"/>
          </w:tcPr>
          <w:p>
            <w:r>
              <w:rPr>
                <w:b w:val="0"/>
                <w:i w:val="0"/>
              </w:rPr>
              <w:t>&lt;10⁻⁴</w:t>
            </w:r>
          </w:p>
        </w:tc>
      </w:tr>
    </w:tbl>
    <w:p>
      <w:r>
        <w:rPr>
          <w:b w:val="0"/>
          <w:i w:val="0"/>
        </w:rPr>
        <w:t>The dual-component model attains R² = 0.9939 with RMSE = 0.0210, an order of magnitude below every single-process alternative. An extra-sum-of-squares F-test of the 7-parameter model against the best 4-parameter alternative (the single Gaussian) gives F(3, 14) = 34.70, p &lt; 10⁻⁶: the reduction in residual variance attributable to the three additional parameters is far larger than expected by chance alone.</w:t>
      </w:r>
    </w:p>
    <w:p>
      <w:r>
        <w:rPr>
          <w:b w:val="0"/>
          <w:i w:val="0"/>
        </w:rPr>
        <w:t>The pattern across the five models is diagnostic. Each single-process alternative captures exactly one feature of the BTC: the single Gaussian reproduces the peak but misses the tail; the single erfc reproduces the slow decay but cannot rise to the peak; and the exponential decay and K-P power law follow only the late tail (Fig. 3). None captures both features simultaneously, which is why every alternative has ΔAICc ≥ 32.66 — far beyond the conventional threshold (ΔAICc &gt; 10) at which a candidate is judged to have essentially no support — and the Akaike weight of the dual-component model is effectively 1.000, whereas every alternative carries a weight below 10⁻⁴. This evidence is necessary but not sufficient: AICc eliminates the single-process alternatives, but it cannot by itself establish that the dual-component structure is physically correct, because an information criterion rewards flexible curves and cannot distinguish a model that captures the transport physics from an overfitted one of similar shape.</w:t>
      </w:r>
    </w:p>
    <w:p>
      <w:r>
        <w:rPr>
          <w:b w:val="0"/>
          <w:i w:val="0"/>
        </w:rPr>
        <w:t>The decisive test is therefore the self-calibration of Section 4.2: whether the fitted flow rate Q converges to the independently known pump setting (0.50 mL/min, Section 3.4) without any penalty, prior, or constraint toward that value (Section 2.4). Section 4.2 provides the positive test.</w:t>
      </w:r>
    </w:p>
    <w:p>
      <w:r>
        <w:rPr>
          <w:i/>
        </w:rPr>
        <w:t>[Fig. 3 placeholder — see Figure Captions] — K-P kinetics + model selection overlay</w:t>
      </w:r>
    </w:p>
    <w:p>
      <w:r>
        <w:rPr>
          <w:i/>
        </w:rPr>
        <w:t>[Fig. 4 placeholder — see Figure Captions] — 5-model overlay + ΔAICc bar chart</w:t>
      </w:r>
    </w:p>
    <w:p>
      <w:pPr>
        <w:pStyle w:val="Heading2"/>
      </w:pPr>
      <w:r>
        <w:t>4.2 Physical Self-Calibration: The Flow-Rate Test</w:t>
      </w:r>
    </w:p>
    <w:p>
      <w:pPr/>
      <w:r>
        <w:rPr>
          <w:b w:val="0"/>
          <w:i w:val="0"/>
        </w:rPr>
        <w:t>Fitting Eq. (1) to the 21-point single-phase breakthrough curve under the two-pass protocol of Section 3.5 yields c_b = 0.0459, A = 2334, a = 0.431, α = 107.1 mm, Q = 0.46 mL/min, t₀ = 25.66 min, and σ = 3.96 min. The fitted curve reproduces the measured BTC with R² = 0.9939 and RMSE = 0.0210. Fig. 5a displays the decomposition that makes the two-source structure visible: the shaded Gaussian pulse, which carries 53% of the integrated signal, describes the shut-in accumulation slug (Source I); the shaded erfc tail, which carries 47%, describes the sustained matrix-diffusion-controlled release (Source II); and the tanh weight joins the two across a smooth window of roughly 8–10 min centered on the fitted crossover t₀ = 25.66 min. Each component is recognizable in the data itself: the Gaussian tracks the steep rise and the peak near t = 15 min, while the erfc tail tracks the slow decay that persists to the end of the measurement window. The residuals, plotted beneath the fit in Fig. 5a, scatter about zero with no systematic structure and no feature aligned with the crossover, so the blending transition introduces no visible fitting artifact at t₀.</w:t>
      </w:r>
    </w:p>
    <w:p>
      <w:pPr/>
      <w:r>
        <w:rPr>
          <w:b w:val="0"/>
          <w:i w:val="0"/>
        </w:rPr>
        <w:t>The model has six free parameters — enough degrees of freedom to overfit: of the seven fitted coefficients in Eq. (1), the transition width σ is effectively determined by its physically motivated scale, approximately the 4-min sampling interval (Section 2.2), leaving six values that the data actually determine. However, extra parameters only improve curve-matching; they do not produce physically correct parameter values. If the model structure is incorrect, the optimizer will assign Q whatever value helps match the curve shape, with compensating adjustments in A and α to preserve the fit. Q itself was unconstrained in the objective function — no penalty, prior, or constraint directed it toward the pump setting of 0.50 mL/min; it was bounded only by the wide search envelope [10, 5000] mL/min.</w:t>
      </w:r>
    </w:p>
    <w:p>
      <w:pPr/>
      <w:r>
        <w:rPr>
          <w:b w:val="0"/>
          <w:i w:val="0"/>
        </w:rPr>
        <w:t>Yet Q consistently settles at 0.46 ± 0.02 mL/min across four independent global searches, against the pump setting of 0.50 mL/min — an 8% deviation (Fig. 5b). The search bounds for Q spanned 10–5000 mL/min (Table S6) — a 500-fold range with no prior or penalty directing the optimizer toward the pump value. An incorrect model structure could have achieved comparable R² with Q = 2.0 or Q = 0.05 mL/min simply by compensating with A and α. Within that envelope nothing points the optimizer toward the pump setting; the converged value is determined entirely by the timing and shape of the observed BTC.</w:t>
      </w:r>
    </w:p>
    <w:p>
      <w:pPr/>
      <w:r>
        <w:rPr>
          <w:b w:val="0"/>
          <w:i w:val="0"/>
        </w:rPr>
        <w:t>The fact that Q emerges from the BTC shape at 0.46 mL/min, entirely unforced and unconstrained by any prior, constitutes evidence that the model structure captures the actual transport physics. Q is not a fitting artifact — it is a recovered engineering parameter. Two derived quantities provide internal consistency checks, though neither constitutes independent verification: the fitted mean residence time (MRT = 37.4 min) agrees with the convective travel time (x/v = 38.6 min) within 3%, and the Peclet number Pe = x/α = 0.934 places the transport in the dispersion-dominated regime discussed further in Section 4.4.</w:t>
      </w:r>
    </w:p>
    <w:p>
      <w:r>
        <w:rPr>
          <w:b w:val="0"/>
          <w:i w:val="0"/>
        </w:rPr>
        <w:t>[Fig. 5 placeholder — see Figure Captions]</w:t>
      </w:r>
    </w:p>
    <w:p>
      <w:pPr>
        <w:pStyle w:val="Heading2"/>
      </w:pPr>
      <w:r>
        <w:t>4.3 Comparison with Time-of-Arrival Methods</w:t>
      </w:r>
    </w:p>
    <w:p>
      <w:pPr/>
      <w:r>
        <w:rPr>
          <w:b w:val="0"/>
          <w:i w:val="0"/>
        </w:rPr>
        <w:t>A natural question is whether the full coupled model of Eq. (1) is necessary, or whether simpler time-of-arrival (TOA) methods — which require no optimization — could suffice for estimating the per-interval flow rate Q. Three TOA approaches were evaluated against the same 21-point single-phase breakthrough curve interpreted in Section 4.2 (Fig. 6).</w:t>
      </w:r>
    </w:p>
    <w:p>
      <w:pPr/>
      <w:r>
        <w:rPr>
          <w:b w:val="0"/>
          <w:i w:val="0"/>
        </w:rPr>
        <w:t>The peak-time method assumes that the convective front arrives at the sampling point when the concentration reaches its maximum. Applying it to the measured BTC (t_peak = 15 min) yields Q = 1.31 mL/min, overestimating the pump setting of 0.50 mL/min by 162%. This gross overestimate arises because dispersive spreading shifts the apparent peak earlier than the true convective arrival: the peak marks the maximum of the slug, not its centroid, and the sustained-release tail further distorts the concentration envelope. The half-peak method, which uses the time at which the concentration reaches half its maximum (t_half ≈ 5 min), performs worse still, returning Q = 3.93 mL/min (+685%), because the rising limb is similarly affected by dispersion.</w:t>
      </w:r>
    </w:p>
    <w:p>
      <w:pPr/>
      <w:r>
        <w:rPr>
          <w:b w:val="0"/>
          <w:i w:val="0"/>
        </w:rPr>
        <w:t>The first-moment method uses the entire BTC rather than a single point: computing the mean residence time from the first moment of the curve, MRT = ∫t·C dt / ∫C dt = 37.1 min, and converting it through the same geometric relation gives Q = 0.53 mL/min (+5.8%), substantially more accurate than the peak-based methods. However, the first moment conflates the shut-in slug and the sustained tail into a single number: it provides no signal decomposition, no mechanistic insight into the relative contributions of the two release processes, and no estimate of the Peclet number.</w:t>
      </w:r>
    </w:p>
    <w:p>
      <w:pPr/>
      <w:r>
        <w:rPr>
          <w:b w:val="0"/>
          <w:i w:val="0"/>
        </w:rPr>
        <w:t>The coupled model of Eq. (1) achieves the best accuracy (Q = 0.46 mL/min, −8%) while simultaneously decomposing the BTC into its Gaussian (53%) and erfc (47%) components and recovering Pe = 0.934 for mechanistic interpretation (Section 4.2). Fig. 6 summarizes the comparison: the coupled model uniquely combines flow-rate accuracy with signal decomposition and physical interpretability.</w:t>
      </w:r>
    </w:p>
    <w:p>
      <w:r>
        <w:rPr>
          <w:b w:val="0"/>
          <w:i w:val="0"/>
        </w:rPr>
        <w:t>[Fig. 6 placeholder — see Figure Captions]</w:t>
      </w:r>
    </w:p>
    <w:p>
      <w:pPr>
        <w:pStyle w:val="Heading2"/>
      </w:pPr>
      <w:r>
        <w:t>4.4 Independent Corroboration: K-P Kinetics and ADE Peclet Number</w:t>
      </w:r>
    </w:p>
    <w:p>
      <w:pPr/>
      <w:r>
        <w:rPr>
          <w:b w:val="0"/>
          <w:i w:val="0"/>
        </w:rPr>
        <w:t>Two completely independent experiments converge on the same physical picture. In the static batch release study (Section 3.3), ESP-T was immersed in dodecane in sealed glass vials, the tracer concentration in the liquid phase was quantified by ICP-MS as a function of time, and the resulting batch concentration history was fitted to the Korsmeyer–Peppas power law to extract the release exponent n. The fitted range n = 0.45–0.85 identifies anomalous (non-Fickian) release, in which matrix relaxation rather than diffusion alone controls the rate. In the core displacement experiment, an entirely different apparatus — a core holder with a packed proppant bed — generated the breakthrough curve of Section 4.2; fitting the coupled model of Eq. (1) to that BTC recovered the Peclet number Pe = x/α = 0.934, placing the transport in the dispersion-dominated (non-piston) regime.</w:t>
      </w:r>
    </w:p>
    <w:p>
      <w:pPr/>
      <w:r>
        <w:rPr>
          <w:b w:val="0"/>
          <w:i w:val="0"/>
        </w:rPr>
        <w:t>The two experiments are independent in every respect that matters: different apparatus (a static glass vial versus a dynamic core holder), different data (a batch concentration history versus a flowing breakthrough curve), and different fitting targets (the release parameters K and n versus the transport parameters Q, α, A, a, t₀, and σ). This is not cross-validation on a common dataset — the experiments share neither measurements nor fitted parameters, so their agreement cannot be manufactured by a shared fitting procedure or inflated by correlated errors.</w:t>
      </w:r>
    </w:p>
    <w:p>
      <w:pPr/>
      <w:r>
        <w:rPr>
          <w:b w:val="0"/>
          <w:i w:val="0"/>
        </w:rPr>
        <w:t>Despite these differences, both experiments point to the same physics. In the batch experiment, n &lt; 1 indicates relaxation-limited, non-Fickian release; in the core experiment, Pe = 0.934 means that dispersion and convection contribute approximately equally to tracer spreading, so the front is far from piston-like. Non-Fickian release and non-piston transport are two manifestations of the same slow, matrix-dominated exchange process that the coupled model of Section 2 was constructed to represent. Fig. 7 places the two lines of evidence side by side: the K-P fits to the batch data (left panel) and the Peclet annotation on the fitted BTC (right panel).</w:t>
      </w:r>
    </w:p>
    <w:p>
      <w:pPr/>
      <w:r>
        <w:rPr>
          <w:b w:val="0"/>
          <w:i w:val="0"/>
        </w:rPr>
        <w:t>Because the experiments are independent, their convergence does more than restate the Section 4.2 result: it shows that the model reproduces an independently observed transport regime rather than merely a single, carefully tuned dataset. The self-calibration test of Section 4.2 established that the model recovers a known engineering parameter; the corroboration of this section establishes that the parameters it recovers describe the same physics seen in an experiment of a completely different kind.</w:t>
      </w:r>
    </w:p>
    <w:p>
      <w:r>
        <w:rPr>
          <w:b w:val="0"/>
          <w:i w:val="0"/>
        </w:rPr>
        <w:t>[Fig. 7 placeholder — see Figure Captions]</w:t>
      </w:r>
    </w:p>
    <w:p>
      <w:pPr>
        <w:pStyle w:val="Heading2"/>
      </w:pPr>
      <w:r>
        <w:t>4.5 Signal Decomposition and Robustness</w:t>
      </w:r>
    </w:p>
    <w:p>
      <w:pPr/>
      <w:r>
        <w:rPr>
          <w:b w:val="0"/>
          <w:i w:val="0"/>
        </w:rPr>
        <w:t>Separating the fitted curve (Eq. 1) into its two components (Fig. 5a) shows that the erfc tail accounts for approximately 47% of the tracer signal integrated over the 105-min measurement window, with the Gaussian pulse contributing 53%. Nearly half of the tracer detected at the wellhead therefore originates not from the shut-in accumulation slug but from sustained, ongoing release during the production period. This decomposition is a model output, not a direct measurement; its physical validity rests on independent grounds — the self-calibration test of Section 4.2, which establishes that the model captures the actual transport physics, and the independent corroboration of Section 4.4, which recovers the same two-process picture from a completely different experiment.</w:t>
      </w:r>
    </w:p>
    <w:p>
      <w:pPr/>
      <w:r>
        <w:rPr>
          <w:b w:val="0"/>
          <w:i w:val="0"/>
        </w:rPr>
        <w:t>To verify that the decomposition is not an artifact of the chosen transition width, σ was varied from 1.98 to 11.89 min — a six-fold range spanning 0.5×–3.0× of the fitted value (3.96 min) — while the other six parameters were held fixed (Fig. 8). The erfc tail fraction stays between 46.7% and 47.5% across the entire scan, a spread of less than one percentage point. If the 47% figure were a parametric artifact of the blending window, varying σ over a six-fold range would perturb it substantially; instead, the decomposition is insensitive to the only parameter that controls how the two components are separated in time.</w:t>
      </w:r>
    </w:p>
    <w:p>
      <w:pPr/>
      <w:r>
        <w:rPr>
          <w:b w:val="0"/>
          <w:i w:val="0"/>
        </w:rPr>
        <w:t>The σ insensitivity confirms that the erfc tail is a robust structural feature of the BTC rather than a tuning outcome. Taken together with the statistical necessity of the two-component structure (Section 4.1) and the independent corroboration (Section 4.4), it establishes the decomposition as physically meaningful: the sustained-release fraction is a property of the tracer system, with a practical consequence — a single shut-in can support monitoring over an extended production period.</w:t>
      </w:r>
    </w:p>
    <w:p>
      <w:r>
        <w:rPr>
          <w:b w:val="0"/>
          <w:i w:val="0"/>
        </w:rPr>
        <w:t>[Fig. 8 placeholder — see Figure Captions]</w:t>
      </w:r>
    </w:p>
    <w:p>
      <w:pPr>
        <w:pStyle w:val="Heading1"/>
      </w:pPr>
      <w:r>
        <w:t>5. Extension to Two-Phase Production Allocation</w:t>
      </w:r>
    </w:p>
    <w:p/>
    <w:p>
      <w:pPr>
        <w:pStyle w:val="Heading2"/>
      </w:pPr>
      <w:r>
        <w:t>5.1 Physical Context</w:t>
      </w:r>
    </w:p>
    <w:p>
      <w:pPr/>
      <w:r>
        <w:rPr>
          <w:b w:val="0"/>
          <w:i w:val="0"/>
        </w:rPr>
        <w:t>Under production conditions, shut-in occurs once during flowback. The majority of the monitoring period therefore operates under steady multiphase flow, with oil and water produced concurrently through the proppant pack. In this regime, the BTC is tail-dominated — the sustained release component (erfc) governs the observed concentration, while the shut-in accumulation slug (Source I) has already been swept to the wellhead. Our two-phase core displacement experiments simulate this steady-state regime directly, holding each OWR and total flow rate fixed while recording the steady tracer concentration in the produced oil.</w:t>
      </w:r>
    </w:p>
    <w:p>
      <w:pPr>
        <w:pStyle w:val="Heading2"/>
      </w:pPr>
      <w:r>
        <w:t>5.2 The Dilution Problem and the Flux Solution</w:t>
      </w:r>
    </w:p>
    <w:p>
      <w:pPr/>
      <w:r>
        <w:rPr>
          <w:b w:val="0"/>
          <w:i w:val="0"/>
        </w:rPr>
        <w:t>Two-phase displacement experiments were run at three oil–water ratios (OWR = 4:1, 1:1, 1:4) and four total flow rates (0.1–0.4 mL/min) under steady-state conditions (Section 3.4); the complete dataset is given in Table S5. Fig. 9a plots the oil-phase tracer concentration C_oil against the total flow rate Q_total for each OWR. C_oil falls monotonically as Q_total rises — at OWR = 4:1, from 33.51 to 8.33 μg/mL over the four-fold rate increase. This is a straightforward consequence of dilution: at higher flow rates, less time is available for tracer to accumulate in each unit volume of produced fluid. The concentration shows no systematic dependence on OWR, suggesting that oil and water compete for the proppant surface in rough proportion to their volume fractions. Concentration alone is therefore a poor proxy for the production rate of a given stage.</w:t>
      </w:r>
    </w:p>
    <w:p>
      <w:pPr/>
      <w:r>
        <w:rPr>
          <w:b w:val="0"/>
          <w:i w:val="0"/>
        </w:rPr>
        <w:t>The way around this is to work with tracer flux rather than concentration. We define the oil-phase tracer mass flux as F_O = C_oil × Q_oil — the product of the measured oil-phase concentration and the oil flow rate. At steady state, F_O equals the release rate from the ESP-T pack: mass leaves the pack at a fixed rate, so the flux measured at the sampling point cannot depend on how fast fluid sweeps past it. Fig. 9b confirms this mass balance: within each OWR, F_O is flat across the four total flow rates — at OWR = 4:1, F_O stays within 2.666–2.779 μg/min while C_oil varies by a factor of four.</w:t>
      </w:r>
    </w:p>
    <w:p>
      <w:pPr/>
      <w:r>
        <w:rPr>
          <w:b w:val="0"/>
          <w:i w:val="0"/>
        </w:rPr>
        <w:t>F_O does depend on OWR: the plateau rises from about 0.65 μg/min at OWR = 1:4 to about 1.6 μg/min at 1:1 and about 2.7 μg/min at 4:1. More oil in the mixture means more oil contacts the proppant surface; the larger the oil-wetted area, the higher the tracer release rate. The proppant releases tracer at a rate governed by the oil-wetted area, not by how fast fluid sweeps past it.</w:t>
      </w:r>
    </w:p>
    <w:p>
      <w:r>
        <w:rPr>
          <w:b w:val="0"/>
          <w:i w:val="0"/>
        </w:rPr>
        <w:t>[Fig. 9 placeholder — see Figure Captions]</w:t>
      </w:r>
    </w:p>
    <w:p>
      <w:pPr>
        <w:pStyle w:val="Heading2"/>
      </w:pPr>
      <w:r>
        <w:t>5.3 Flux-to-Production-Rate Calibration</w:t>
      </w:r>
    </w:p>
    <w:p>
      <w:pPr/>
      <w:r>
        <w:rPr>
          <w:b w:val="0"/>
          <w:i w:val="0"/>
        </w:rPr>
        <w:t>The critical test is whether F_O can be converted into a production rate. Fig. 9c normalizes the two-phase fluxes by the steady-state flux measured during single-phase oil displacement, F_O,ref = 3.187 ± 0.15 μg/min (triplicate), and compares the ratio F_O/F_O,ref with the known oil flow rate Q_oil at each OWR. The normalized flux collapses the three OWR families onto a single rising trend — approximately 0.84, 0.49, and 0.21 at the lowest rate, tracking the oil volume fractions 0.8, 0.5, and 0.2 of the three mixtures. The agreement is close: Pearson r = 0.97, p = 0.006, RMSD = 8.3%, confirming that per-interval oil production rates can be recovered from F_O measurements when the total flow rate is known, even with a water phase present.</w:t>
      </w:r>
    </w:p>
    <w:p>
      <w:pPr/>
      <w:r>
        <w:rPr>
          <w:b w:val="0"/>
          <w:i w:val="0"/>
        </w:rPr>
        <w:t>The primary source of uncertainty in this calibration is the reproducibility of the single-phase reference — F_O,ref varies by ±4.7% across triplicate measurements — which propagates into every normalized flux. Two caveats bound the result. First, the correlation rests on three OWR conditions (n = 3 independent oil-fraction levels); a larger OWR matrix would strengthen the calibration. Second, F_O,ref is batch-specific: it reflects the release behavior of a particular ESP-T pack, so batch-specific F_O,ref determination is advisable for field deployment. Within these limits, the flux method converts a concentration measurement corrupted by dilution into a quantitative production allocation that survives the presence of a water phase.</w:t>
      </w:r>
    </w:p>
    <w:p>
      <w:pPr>
        <w:pStyle w:val="Heading2"/>
      </w:pPr>
      <w:r>
        <w:t>5.4 Coupling to the BTC Framework</w:t>
      </w:r>
    </w:p>
    <w:p>
      <w:pPr/>
      <w:r>
        <w:rPr>
          <w:b w:val="0"/>
          <w:i w:val="0"/>
        </w:rPr>
        <w:t>Under production conditions the OWR and the total flow rate both evolve with time, so the steady-state calibration of Section 5.3 must be embedded in a dynamic description; the BTC framework provides it. K-P provides the temperature-dependent release rate K(T) and the transport mechanism indicator n(T). The erfc tail amplitude a, fitted from the BTC (Section 4.2, a = 0.431), quantifies the sustained-release source strength — the rate at which the ESP-T pack feeds tracer into the produced oil at the wellbore temperature. Combined with the K-P temperature calibration, the steady-state concentration (erfc tail plateau) yields the per-stage oil flow rate Q_oil through the flux relation F_O = C_oil × Q_oil. This closes the loop: static K-P → dynamic ADE → two-phase flux → per-stage oil production rate, so that a batch measurement on a few grams of ESP-T becomes a quantitative production allocation for every stage of a fractured well.</w:t>
      </w:r>
    </w:p>
    <w:p>
      <w:pPr>
        <w:pStyle w:val="Heading1"/>
      </w:pPr>
      <w:r>
        <w:t>6. Field Deployment Pathway</w:t>
      </w:r>
    </w:p>
    <w:p/>
    <w:p>
      <w:r>
        <w:rPr>
          <w:i/>
        </w:rPr>
        <w:t>[Fig. 10 placeholder — see Figure Captions] — Field deployment pathway schematic</w:t>
      </w:r>
    </w:p>
    <w:p>
      <w:pPr>
        <w:pStyle w:val="Heading1"/>
      </w:pPr>
      <w:r>
        <w:t>7. Conclusions</w:t>
      </w:r>
    </w:p>
    <w:p/>
    <w:p>
      <w:pPr>
        <w:pStyle w:val="Heading1"/>
      </w:pPr>
      <w:r>
        <w:t>References</w:t>
      </w:r>
    </w:p>
    <w:p/>
    <w:p>
      <w:r>
        <w:rPr>
          <w:i/>
        </w:rPr>
        <w:t>[numbered list, 35 slots — populated in Task 11]</w:t>
      </w:r>
    </w:p>
    <w:p>
      <w:r>
        <w:t>[1]</w:t>
      </w:r>
    </w:p>
    <w:p>
      <w:r>
        <w:t>[2]</w:t>
      </w:r>
    </w:p>
    <w:p>
      <w:r>
        <w:t>[3]</w:t>
      </w:r>
    </w:p>
    <w:p>
      <w:r>
        <w:t>[4]</w:t>
      </w:r>
    </w:p>
    <w:p>
      <w:r>
        <w:t>[5]</w:t>
      </w:r>
    </w:p>
    <w:p>
      <w:r>
        <w:t>[6]</w:t>
      </w:r>
    </w:p>
    <w:p>
      <w:r>
        <w:t>[7]</w:t>
      </w:r>
    </w:p>
    <w:p>
      <w:r>
        <w:t>[8]</w:t>
      </w:r>
    </w:p>
    <w:p>
      <w:r>
        <w:t>[9]</w:t>
      </w:r>
    </w:p>
    <w:p>
      <w:r>
        <w:t>[10]</w:t>
      </w:r>
    </w:p>
    <w:p>
      <w:r>
        <w:t>[11]</w:t>
      </w:r>
    </w:p>
    <w:p>
      <w:r>
        <w:t>[12]</w:t>
      </w:r>
    </w:p>
    <w:p>
      <w:r>
        <w:t>[13]</w:t>
      </w:r>
    </w:p>
    <w:p>
      <w:r>
        <w:t>[14]</w:t>
      </w:r>
    </w:p>
    <w:p>
      <w:r>
        <w:t>[15]</w:t>
      </w:r>
    </w:p>
    <w:p>
      <w:r>
        <w:t>[16]</w:t>
      </w:r>
    </w:p>
    <w:p>
      <w:r>
        <w:t>[17]</w:t>
      </w:r>
    </w:p>
    <w:p>
      <w:r>
        <w:t>[18]</w:t>
      </w:r>
    </w:p>
    <w:p>
      <w:r>
        <w:t>[19]</w:t>
      </w:r>
    </w:p>
    <w:p>
      <w:r>
        <w:t>[20]</w:t>
      </w:r>
    </w:p>
    <w:p>
      <w:r>
        <w:t>[21]</w:t>
      </w:r>
    </w:p>
    <w:p>
      <w:r>
        <w:t>[22]</w:t>
      </w:r>
    </w:p>
    <w:p>
      <w:r>
        <w:t>[23]</w:t>
      </w:r>
    </w:p>
    <w:p>
      <w:r>
        <w:t>[24]</w:t>
      </w:r>
    </w:p>
    <w:p>
      <w:r>
        <w:t>[25]</w:t>
      </w:r>
    </w:p>
    <w:p>
      <w:r>
        <w:t>[26]</w:t>
      </w:r>
    </w:p>
    <w:p>
      <w:r>
        <w:t>[27]</w:t>
      </w:r>
    </w:p>
    <w:p>
      <w:r>
        <w:t>[28]</w:t>
      </w:r>
    </w:p>
    <w:p>
      <w:r>
        <w:t>[29]</w:t>
      </w:r>
    </w:p>
    <w:p>
      <w:r>
        <w:t>[30]</w:t>
      </w:r>
    </w:p>
    <w:p>
      <w:r>
        <w:t>[31]</w:t>
      </w:r>
    </w:p>
    <w:p>
      <w:r>
        <w:t>[32]</w:t>
      </w:r>
    </w:p>
    <w:p>
      <w:r>
        <w:t>[33]</w:t>
      </w:r>
    </w:p>
    <w:p>
      <w:r>
        <w:t>[34]</w:t>
      </w:r>
    </w:p>
    <w:p>
      <w:r>
        <w:t>[35]</w:t>
      </w:r>
    </w:p>
    <w:p>
      <w:pPr>
        <w:pStyle w:val="Heading1"/>
      </w:pPr>
      <w:r>
        <w:t>Figure Captions</w:t>
      </w:r>
    </w:p>
    <w:p/>
    <w:p>
      <w:r>
        <w:rPr>
          <w:i/>
        </w:rPr>
        <w:t>[10 figure caption slots — populated as figures are placed]</w:t>
      </w:r>
    </w:p>
    <w:p>
      <w:r>
        <w:t>[Fig. 1] Caption placeholder — populated as figure is placed.</w:t>
      </w:r>
    </w:p>
    <w:p>
      <w:r>
        <w:t>[Fig. 2] Caption placeholder — populated as figure is placed.</w:t>
      </w:r>
    </w:p>
    <w:p>
      <w:r>
        <w:t>[Fig. 3] Caption placeholder — populated as figure is placed.</w:t>
      </w:r>
    </w:p>
    <w:p>
      <w:r>
        <w:t>[Fig. 4] Caption placeholder — populated as figure is placed.</w:t>
      </w:r>
    </w:p>
    <w:p>
      <w:r>
        <w:t>[Fig. 5] Caption placeholder — populated as figure is placed.</w:t>
      </w:r>
    </w:p>
    <w:p>
      <w:r>
        <w:t>[Fig. 6] Caption placeholder — populated as figure is placed.</w:t>
      </w:r>
    </w:p>
    <w:p>
      <w:r>
        <w:t>[Fig. 7] Caption placeholder — populated as figure is placed.</w:t>
      </w:r>
    </w:p>
    <w:p>
      <w:r>
        <w:t>[Fig. 8] Caption placeholder — populated as figure is placed.</w:t>
      </w:r>
    </w:p>
    <w:p>
      <w:r>
        <w:t>[Fig. 9] Caption placeholder — populated as figure is placed.</w:t>
      </w:r>
    </w:p>
    <w:p>
      <w:r>
        <w:t>[Fig. 10] Caption placeholder — populated as figure is placed.</w:t>
      </w:r>
    </w:p>
    <w:p>
      <w:pPr>
        <w:pStyle w:val="Heading1"/>
      </w:pPr>
      <w:r>
        <w:t>Tables</w:t>
      </w:r>
    </w:p>
    <w:p/>
    <w:p>
      <w:r>
        <w:rPr>
          <w:i/>
        </w:rPr>
        <w:t>[Table slots — populated as content is written]</w:t>
      </w:r>
    </w:p>
    <w:p>
      <w:r>
        <w:t>[Table 1] Placeholder — material prerequisites summary (see Section 3.2).</w:t>
      </w:r>
    </w:p>
    <w:p>
      <w:r>
        <w:t>[Table 2] Placeholder — model comparison summary (see Section 4.1).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