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54A6E" w14:textId="67559B30" w:rsidR="00ED3A71" w:rsidRDefault="00424732">
      <w:pPr>
        <w:ind w:firstLine="883"/>
        <w:rPr>
          <w:rFonts w:ascii="黑体" w:eastAsia="黑体" w:hAnsi="黑体" w:hint="eastAsia"/>
          <w:b/>
          <w:sz w:val="44"/>
        </w:rPr>
      </w:pPr>
      <w:r>
        <w:rPr>
          <w:rFonts w:ascii="黑体" w:eastAsia="黑体" w:hAnsi="黑体" w:hint="eastAsia"/>
          <w:b/>
          <w:sz w:val="44"/>
        </w:rPr>
        <w:t>成 都 理 工 大 学</w:t>
      </w:r>
    </w:p>
    <w:p w14:paraId="67679EC0" w14:textId="0D422CC8" w:rsidR="00424732" w:rsidRDefault="00424732">
      <w:pPr>
        <w:ind w:firstLine="883"/>
        <w:rPr>
          <w:rFonts w:ascii="黑体" w:eastAsia="黑体" w:hAnsi="黑体" w:hint="eastAsia"/>
          <w:b/>
          <w:sz w:val="44"/>
        </w:rPr>
      </w:pPr>
      <w:r>
        <w:rPr>
          <w:rFonts w:ascii="黑体" w:eastAsia="黑体" w:hAnsi="黑体" w:hint="eastAsia"/>
          <w:b/>
          <w:sz w:val="44"/>
        </w:rPr>
        <w:t>博硕士研究生学位论文开题报告</w:t>
      </w:r>
    </w:p>
    <w:p w14:paraId="654EC03F" w14:textId="77777777" w:rsidR="00424732" w:rsidRDefault="00424732">
      <w:pPr>
        <w:ind w:firstLine="480"/>
        <w:rPr>
          <w:rFonts w:ascii="宋体" w:eastAsia="宋体" w:hAnsi="宋体" w:hint="eastAsia"/>
        </w:rPr>
      </w:pPr>
    </w:p>
    <w:p w14:paraId="34729DF6" w14:textId="2C22B5DE" w:rsidR="00424732" w:rsidRDefault="00424732" w:rsidP="00424732">
      <w:pPr>
        <w:ind w:firstLine="480"/>
        <w:rPr>
          <w:rFonts w:ascii="宋体" w:eastAsia="宋体" w:hAnsi="宋体" w:hint="eastAsia"/>
        </w:rPr>
      </w:pPr>
      <w:r>
        <w:rPr>
          <w:rFonts w:ascii="宋体" w:eastAsia="宋体" w:hAnsi="宋体" w:hint="eastAsia"/>
        </w:rPr>
        <w:t>**院、系（所）名称**：能源学院</w:t>
      </w:r>
    </w:p>
    <w:p w14:paraId="239A8294" w14:textId="799028A6" w:rsidR="00424732" w:rsidRDefault="00424732" w:rsidP="00424732">
      <w:pPr>
        <w:ind w:firstLine="480"/>
        <w:rPr>
          <w:rFonts w:ascii="宋体" w:eastAsia="宋体" w:hAnsi="宋体" w:hint="eastAsia"/>
        </w:rPr>
      </w:pPr>
      <w:r>
        <w:rPr>
          <w:rFonts w:ascii="宋体" w:eastAsia="宋体" w:hAnsi="宋体" w:hint="eastAsia"/>
        </w:rPr>
        <w:t>**专业**：石油与天然气工程</w:t>
      </w:r>
    </w:p>
    <w:p w14:paraId="5094C10E" w14:textId="75BF27F9" w:rsidR="00424732" w:rsidRDefault="00424732" w:rsidP="00424732">
      <w:pPr>
        <w:ind w:firstLine="480"/>
        <w:rPr>
          <w:rFonts w:ascii="宋体" w:eastAsia="宋体" w:hAnsi="宋体" w:hint="eastAsia"/>
        </w:rPr>
      </w:pPr>
      <w:r>
        <w:rPr>
          <w:rFonts w:ascii="宋体" w:eastAsia="宋体" w:hAnsi="宋体" w:hint="eastAsia"/>
        </w:rPr>
        <w:t>**研究方向**：油气田开发</w:t>
      </w:r>
    </w:p>
    <w:p w14:paraId="20B7CDF0" w14:textId="46642430" w:rsidR="00424732" w:rsidRDefault="00424732" w:rsidP="00424732">
      <w:pPr>
        <w:ind w:firstLine="480"/>
        <w:rPr>
          <w:rFonts w:ascii="宋体" w:eastAsia="宋体" w:hAnsi="宋体" w:hint="eastAsia"/>
        </w:rPr>
      </w:pPr>
      <w:r>
        <w:rPr>
          <w:rFonts w:ascii="宋体" w:eastAsia="宋体" w:hAnsi="宋体" w:hint="eastAsia"/>
        </w:rPr>
        <w:t>**导师**：李娜</w:t>
      </w:r>
    </w:p>
    <w:p w14:paraId="7A8BF495" w14:textId="6632EF56" w:rsidR="00424732" w:rsidRDefault="00424732" w:rsidP="00424732">
      <w:pPr>
        <w:ind w:firstLine="480"/>
        <w:rPr>
          <w:rFonts w:ascii="宋体" w:eastAsia="宋体" w:hAnsi="宋体" w:hint="eastAsia"/>
        </w:rPr>
      </w:pPr>
      <w:r>
        <w:rPr>
          <w:rFonts w:ascii="宋体" w:eastAsia="宋体" w:hAnsi="宋体" w:hint="eastAsia"/>
        </w:rPr>
        <w:t>**研究生姓名**：郝乐乐</w:t>
      </w:r>
    </w:p>
    <w:p w14:paraId="749C859A" w14:textId="33BE4ED2" w:rsidR="00424732" w:rsidRDefault="00424732" w:rsidP="00424732">
      <w:pPr>
        <w:ind w:firstLine="480"/>
        <w:rPr>
          <w:rFonts w:ascii="宋体" w:eastAsia="宋体" w:hAnsi="宋体" w:hint="eastAsia"/>
        </w:rPr>
      </w:pPr>
      <w:r>
        <w:rPr>
          <w:rFonts w:ascii="宋体" w:eastAsia="宋体" w:hAnsi="宋体" w:hint="eastAsia"/>
        </w:rPr>
        <w:t>**学位级别**：硕士</w:t>
      </w:r>
    </w:p>
    <w:p w14:paraId="5E64A229" w14:textId="77777777" w:rsidR="00424732" w:rsidRDefault="00424732" w:rsidP="00424732">
      <w:pPr>
        <w:ind w:firstLine="480"/>
        <w:rPr>
          <w:rFonts w:ascii="宋体" w:eastAsia="宋体" w:hAnsi="宋体" w:hint="eastAsia"/>
        </w:rPr>
      </w:pPr>
    </w:p>
    <w:p w14:paraId="0D48C8F7" w14:textId="77777777" w:rsidR="00424732" w:rsidRDefault="00424732" w:rsidP="00424732">
      <w:pPr>
        <w:ind w:firstLine="480"/>
        <w:rPr>
          <w:rFonts w:ascii="宋体" w:eastAsia="宋体" w:hAnsi="宋体" w:hint="eastAsia"/>
        </w:rPr>
      </w:pPr>
    </w:p>
    <w:p w14:paraId="42965DD6" w14:textId="77777777" w:rsidR="00424732" w:rsidRDefault="00424732" w:rsidP="00424732">
      <w:pPr>
        <w:ind w:firstLine="480"/>
        <w:rPr>
          <w:rFonts w:ascii="宋体" w:eastAsia="宋体" w:hAnsi="宋体" w:hint="eastAsia"/>
        </w:rPr>
      </w:pPr>
    </w:p>
    <w:p w14:paraId="51429E7E" w14:textId="03C7285C" w:rsidR="00424732" w:rsidRDefault="00424732" w:rsidP="00424732">
      <w:pPr>
        <w:ind w:firstLine="723"/>
        <w:rPr>
          <w:rFonts w:ascii="黑体" w:eastAsia="黑体" w:hAnsi="黑体" w:hint="eastAsia"/>
          <w:b/>
          <w:sz w:val="36"/>
        </w:rPr>
      </w:pPr>
      <w:r>
        <w:rPr>
          <w:rFonts w:ascii="黑体" w:eastAsia="黑体" w:hAnsi="黑体" w:hint="eastAsia"/>
          <w:b/>
          <w:sz w:val="36"/>
        </w:rPr>
        <w:t>论文题目</w:t>
      </w:r>
    </w:p>
    <w:p w14:paraId="3AE3144E" w14:textId="348EBDEB" w:rsidR="00424732" w:rsidRDefault="00424732" w:rsidP="00424732">
      <w:pPr>
        <w:ind w:firstLine="482"/>
        <w:rPr>
          <w:rFonts w:ascii="宋体" w:eastAsia="宋体" w:hAnsi="宋体" w:hint="eastAsia"/>
          <w:b/>
        </w:rPr>
      </w:pPr>
      <w:r>
        <w:rPr>
          <w:rFonts w:ascii="宋体" w:eastAsia="宋体" w:hAnsi="宋体" w:hint="eastAsia"/>
          <w:b/>
        </w:rPr>
        <w:t>用于压裂裂缝监测的荧光压裂液体系构建与性能研究</w:t>
      </w:r>
    </w:p>
    <w:p w14:paraId="430EE4EF" w14:textId="77777777" w:rsidR="00424732" w:rsidRDefault="00424732" w:rsidP="00424732">
      <w:pPr>
        <w:ind w:firstLine="480"/>
        <w:rPr>
          <w:rFonts w:ascii="宋体" w:eastAsia="宋体" w:hAnsi="宋体" w:hint="eastAsia"/>
        </w:rPr>
      </w:pPr>
    </w:p>
    <w:p w14:paraId="73A82D5C" w14:textId="77777777" w:rsidR="00424732" w:rsidRDefault="00424732" w:rsidP="00424732">
      <w:pPr>
        <w:ind w:firstLine="480"/>
        <w:rPr>
          <w:rFonts w:ascii="宋体" w:eastAsia="宋体" w:hAnsi="宋体" w:hint="eastAsia"/>
        </w:rPr>
      </w:pPr>
    </w:p>
    <w:p w14:paraId="7A13D932" w14:textId="77777777" w:rsidR="00424732" w:rsidRDefault="00424732" w:rsidP="00424732">
      <w:pPr>
        <w:ind w:firstLine="480"/>
        <w:rPr>
          <w:rFonts w:ascii="宋体" w:eastAsia="宋体" w:hAnsi="宋体" w:hint="eastAsia"/>
        </w:rPr>
      </w:pPr>
    </w:p>
    <w:p w14:paraId="61FD067C" w14:textId="42EEB5B0" w:rsidR="00424732" w:rsidRDefault="00424732" w:rsidP="00424732">
      <w:pPr>
        <w:ind w:firstLine="723"/>
        <w:rPr>
          <w:rFonts w:ascii="黑体" w:eastAsia="黑体" w:hAnsi="黑体" w:hint="eastAsia"/>
          <w:b/>
          <w:sz w:val="36"/>
        </w:rPr>
      </w:pPr>
      <w:r>
        <w:rPr>
          <w:rFonts w:ascii="黑体" w:eastAsia="黑体" w:hAnsi="黑体" w:hint="eastAsia"/>
          <w:b/>
          <w:sz w:val="36"/>
        </w:rPr>
        <w:t>选题依据（简述课题的研究意义、国内外研究现状及发展趋势）</w:t>
      </w:r>
    </w:p>
    <w:p w14:paraId="1E693BEB" w14:textId="77777777" w:rsidR="00424732" w:rsidRDefault="00424732" w:rsidP="00424732">
      <w:pPr>
        <w:ind w:firstLine="480"/>
        <w:rPr>
          <w:rFonts w:ascii="宋体" w:eastAsia="宋体" w:hAnsi="宋体" w:hint="eastAsia"/>
        </w:rPr>
      </w:pPr>
    </w:p>
    <w:p w14:paraId="2E183029" w14:textId="70FC6930" w:rsidR="00424732" w:rsidRDefault="00424732" w:rsidP="00424732">
      <w:pPr>
        <w:ind w:firstLine="643"/>
        <w:rPr>
          <w:rFonts w:ascii="黑体" w:eastAsia="黑体" w:hAnsi="黑体" w:hint="eastAsia"/>
          <w:b/>
          <w:sz w:val="32"/>
        </w:rPr>
      </w:pPr>
      <w:r>
        <w:rPr>
          <w:rFonts w:ascii="黑体" w:eastAsia="黑体" w:hAnsi="黑体" w:hint="eastAsia"/>
          <w:b/>
          <w:sz w:val="32"/>
        </w:rPr>
        <w:t>一、研究意义</w:t>
      </w:r>
    </w:p>
    <w:p w14:paraId="53B1AE93" w14:textId="77777777" w:rsidR="00424732" w:rsidRDefault="00424732" w:rsidP="00424732">
      <w:pPr>
        <w:ind w:firstLine="480"/>
        <w:rPr>
          <w:rFonts w:ascii="宋体" w:eastAsia="宋体" w:hAnsi="宋体" w:hint="eastAsia"/>
        </w:rPr>
      </w:pPr>
    </w:p>
    <w:p w14:paraId="59FA18E0" w14:textId="6A9931F9" w:rsidR="00424732" w:rsidRDefault="00424732" w:rsidP="00424732">
      <w:pPr>
        <w:ind w:firstLine="480"/>
        <w:rPr>
          <w:rFonts w:ascii="宋体" w:eastAsia="宋体" w:hAnsi="宋体" w:hint="eastAsia"/>
        </w:rPr>
      </w:pPr>
      <w:r>
        <w:rPr>
          <w:rFonts w:ascii="宋体" w:eastAsia="宋体" w:hAnsi="宋体" w:hint="eastAsia"/>
        </w:rPr>
        <w:t>水力压裂是实现页岩油气、致密砂岩气等非常规油气资源高效开发的核心技术。自1949年首次商业应用以来，全球已完成近250万次压裂作业，该技术为美国增加了约30%的可采石油储量和90%的天然气储量[1-2]。压裂裂缝的延伸范围与几何形态直接决定了储层改造体积（SRV）的大小，进而影响最终的油气采</w:t>
      </w:r>
      <w:r>
        <w:rPr>
          <w:rFonts w:ascii="宋体" w:eastAsia="宋体" w:hAnsi="宋体" w:hint="eastAsia"/>
        </w:rPr>
        <w:lastRenderedPageBreak/>
        <w:t>收率水平。因此，准确获取压裂裂缝的空间展布特征，对于优化压裂设计参数、客观评估增产效果以及合理指导井网部署，均具有重要的工程价值和学术意义。</w:t>
      </w:r>
    </w:p>
    <w:p w14:paraId="4C494A85" w14:textId="77777777" w:rsidR="00424732" w:rsidRDefault="00424732" w:rsidP="00424732">
      <w:pPr>
        <w:ind w:firstLine="480"/>
        <w:rPr>
          <w:rFonts w:ascii="宋体" w:eastAsia="宋体" w:hAnsi="宋体" w:hint="eastAsia"/>
        </w:rPr>
      </w:pPr>
    </w:p>
    <w:p w14:paraId="08AAEB4C" w14:textId="57EF070B" w:rsidR="00424732" w:rsidRDefault="00424732" w:rsidP="00424732">
      <w:pPr>
        <w:ind w:firstLine="480"/>
        <w:rPr>
          <w:rFonts w:ascii="宋体" w:eastAsia="宋体" w:hAnsi="宋体" w:hint="eastAsia"/>
        </w:rPr>
      </w:pPr>
      <w:r>
        <w:rPr>
          <w:rFonts w:ascii="宋体" w:eastAsia="宋体" w:hAnsi="宋体" w:hint="eastAsia"/>
        </w:rPr>
        <w:t>当前应用于裂缝监测领域的技术手段主要包括微地震监测、放射性示踪剂、化学示踪剂以及分布式光纤传感（DAS/DTS）等，各类方法在裂缝形态识别方面具有各自的优势与局限[3-4]。微地震技术通过反演岩石破裂产生的声发射信号间接推断裂缝形态，其结果高度依赖速度模型的准确性，裂缝几何参数解释存在显著多解性[3,5]。放射性示踪剂能够检测近井裂缝信号，但安全环保风险高，且仅能反映井筒附近裂缝信息。化学示踪剂依靠返排浓度反演裂缝参数，但裂缝网络复杂程度与示踪剂返排曲线之间的对应关系仍不完全明确[6-7]。分布式光纤传感技术虽能实现裂缝扩展的实时追踪，但成本高昂且裂缝形态精细解释仍面临挑战[8-10]。de Melo和Carballo Cabrera（2025）系统评估多种裂缝成像技术后指出，没有任何单一技术能够提供完整的裂缝延伸情况和几何形态[4]。综合来看，现有技术体系尚缺乏一种能够直接、直观呈现裂缝形态，同时兼顾环境友好与成本可控的裂缝识别手段。</w:t>
      </w:r>
    </w:p>
    <w:p w14:paraId="54AC282F" w14:textId="77777777" w:rsidR="00424732" w:rsidRDefault="00424732" w:rsidP="00424732">
      <w:pPr>
        <w:ind w:firstLine="480"/>
        <w:rPr>
          <w:rFonts w:ascii="宋体" w:eastAsia="宋体" w:hAnsi="宋体" w:hint="eastAsia"/>
        </w:rPr>
      </w:pPr>
    </w:p>
    <w:p w14:paraId="560B6F9B" w14:textId="2271F5B9" w:rsidR="00424732" w:rsidRDefault="00424732" w:rsidP="00424732">
      <w:pPr>
        <w:ind w:firstLine="480"/>
        <w:rPr>
          <w:rFonts w:ascii="宋体" w:eastAsia="宋体" w:hAnsi="宋体" w:hint="eastAsia"/>
        </w:rPr>
      </w:pPr>
      <w:r>
        <w:rPr>
          <w:rFonts w:ascii="宋体" w:eastAsia="宋体" w:hAnsi="宋体" w:hint="eastAsia"/>
        </w:rPr>
        <w:t>上述裂缝监测技术虽从不同原理出发为裂缝形态表征提供了多样化手段，但存在一个共性局限：均属间接测量范畴，所获取的裂缝几何信息依赖于地球物理信号反演或流体采样分析的中间环节，裂缝的真实延伸轨迹与壁面分布特征始终缺乏原位、直观的物理证据。微地震监测基于声发射事件的时空分布推断裂缝形态[3]，分布式光纤传感通过应变场变化反演裂缝扩展动态[9-10]，示踪剂技术依据返排浓度曲线估计裂缝贡献参数[6-7]，三者均无法提供裂缝壁面的直接观测信息。尤其对于压后取心这一最为直接的验证途径，现有技术难以在岩心尺度上留下可辨识的裂缝形态标记，致使裂缝诊断结果始终缺乏"可取证"的实物依据。这一方法论层面的局限，构成了当前裂缝监测技术体系的结构性短板。</w:t>
      </w:r>
    </w:p>
    <w:p w14:paraId="713E63FC" w14:textId="77777777" w:rsidR="00424732" w:rsidRDefault="00424732" w:rsidP="00424732">
      <w:pPr>
        <w:ind w:firstLine="480"/>
        <w:rPr>
          <w:rFonts w:ascii="宋体" w:eastAsia="宋体" w:hAnsi="宋体" w:hint="eastAsia"/>
        </w:rPr>
      </w:pPr>
    </w:p>
    <w:p w14:paraId="5A51B87F" w14:textId="3BCEFF2F" w:rsidR="00424732" w:rsidRDefault="00424732" w:rsidP="00424732">
      <w:pPr>
        <w:ind w:firstLine="480"/>
        <w:rPr>
          <w:rFonts w:ascii="宋体" w:eastAsia="宋体" w:hAnsi="宋体" w:hint="eastAsia"/>
        </w:rPr>
      </w:pPr>
      <w:r>
        <w:rPr>
          <w:rFonts w:ascii="宋体" w:eastAsia="宋体" w:hAnsi="宋体" w:hint="eastAsia"/>
        </w:rPr>
        <w:t>在此背景下，荧光示踪技术为突破上述局限提供了可能。该方法的基本原理是向压裂液中引入具有荧光特性的标记材料，使其随流体运移至裂缝深处并在破胶后附着于壁面，进而在紫外光激发下以荧光图像的形式直接呈现裂缝的延伸轨迹与空间展布。近年来，该方法已在实验室尺度展现出显著的技术潜力。Ishida</w:t>
      </w:r>
      <w:r>
        <w:rPr>
          <w:rFonts w:ascii="宋体" w:eastAsia="宋体" w:hAnsi="宋体" w:hint="eastAsia"/>
        </w:rPr>
        <w:lastRenderedPageBreak/>
        <w:t>等（2025）在露头尺度压裂实验中采用可凝固荧光树脂作为示踪介质，在紫外光下直接观测到裂缝中荧光树脂的分布形态，清晰识别了主裂缝与分支裂缝的延伸轨迹，且发现部分渗透区域未产生声发射事件，表明直接可视化能够揭示间接监测方法遗漏的裂缝信息[11-12]。Guryanov等（2019）开发的量子点荧光聚合物微球示踪技术已在水平井分段压裂监测中实现现场应用，证实荧光示踪材料与压裂液体系配伍性良好，可通过荧光信号定位判断各段裂缝贡献[13]。</w:t>
      </w:r>
    </w:p>
    <w:p w14:paraId="6E83A83F" w14:textId="77777777" w:rsidR="00424732" w:rsidRDefault="00424732" w:rsidP="00424732">
      <w:pPr>
        <w:ind w:firstLine="480"/>
        <w:rPr>
          <w:rFonts w:ascii="宋体" w:eastAsia="宋体" w:hAnsi="宋体" w:hint="eastAsia"/>
        </w:rPr>
      </w:pPr>
    </w:p>
    <w:p w14:paraId="1461DBC4" w14:textId="0938A01C" w:rsidR="00424732" w:rsidRDefault="00424732" w:rsidP="00424732">
      <w:pPr>
        <w:ind w:firstLine="480"/>
        <w:rPr>
          <w:rFonts w:ascii="宋体" w:eastAsia="宋体" w:hAnsi="宋体" w:hint="eastAsia"/>
        </w:rPr>
      </w:pPr>
      <w:r>
        <w:rPr>
          <w:rFonts w:ascii="宋体" w:eastAsia="宋体" w:hAnsi="宋体" w:hint="eastAsia"/>
        </w:rPr>
        <w:t>上述研究为将无机荧光材料引入压裂裂缝示踪领域提供了重要的方法借鉴。但将荧光示踪技术系统应用于压裂裂缝监测依然存在若干关键问题：示踪材料须在地层温度、破胶氧化条件下保持荧光性能以保证示踪能力；须在压裂液中保持均匀分散以避免沉降堵塞；须与胍胶体系化学兼容以不影响压裂液工程性能；须在破胶后牢固附着于裂缝壁面以保证荧光信号的可辨识性。这些问题的解决，是实现裂缝形态从间接反演走向直接观测的关键前提，也是本研究立题的核心出发点。</w:t>
      </w:r>
    </w:p>
    <w:p w14:paraId="5DB444C9" w14:textId="77777777" w:rsidR="00424732" w:rsidRDefault="00424732" w:rsidP="00424732">
      <w:pPr>
        <w:ind w:firstLine="480"/>
        <w:rPr>
          <w:rFonts w:ascii="宋体" w:eastAsia="宋体" w:hAnsi="宋体" w:hint="eastAsia"/>
        </w:rPr>
      </w:pPr>
    </w:p>
    <w:p w14:paraId="422BA501" w14:textId="1F65EE0F" w:rsidR="00424732" w:rsidRDefault="00424732" w:rsidP="00424732">
      <w:pPr>
        <w:ind w:firstLine="480"/>
        <w:rPr>
          <w:rFonts w:ascii="宋体" w:eastAsia="宋体" w:hAnsi="宋体" w:hint="eastAsia"/>
        </w:rPr>
      </w:pPr>
      <w:r>
        <w:rPr>
          <w:rFonts w:ascii="宋体" w:eastAsia="宋体" w:hAnsi="宋体" w:hint="eastAsia"/>
        </w:rPr>
        <w:t>本研究以稀土铝酸盐荧光粉为示踪核心材料，以羟丙基胍胶压裂液为流体载体，通过表面化学改性与协同分散体系构建，研制适用于裂缝直接观测的荧光胍胶压裂液体系。该体系采用"母液预配+在线稀释"现场工艺，压裂施工时荧光粉随流体进入裂缝，破胶后牢固吸附于裂缝壁面，压后取心在紫外光照射下直接观测裂缝壁面的荧光分布特征，进而建立荧光信号与裂缝几何形态之间的对应关系，实现裂缝延伸形态的"可视化、可取证"评价。该研究对于突破现有裂缝监测技术的方法论局限、推动裂缝诊断从间接反演向直接观测转变，具有重要的理论价值与工程应用前景。</w:t>
      </w:r>
    </w:p>
    <w:p w14:paraId="2230F34C" w14:textId="77777777" w:rsidR="00424732" w:rsidRDefault="00424732" w:rsidP="00424732">
      <w:pPr>
        <w:ind w:firstLine="480"/>
        <w:rPr>
          <w:rFonts w:ascii="宋体" w:eastAsia="宋体" w:hAnsi="宋体" w:hint="eastAsia"/>
        </w:rPr>
      </w:pPr>
    </w:p>
    <w:p w14:paraId="50B6D0A7" w14:textId="106F7814" w:rsidR="00424732" w:rsidRDefault="00424732" w:rsidP="00424732">
      <w:pPr>
        <w:ind w:firstLine="643"/>
        <w:rPr>
          <w:rFonts w:ascii="黑体" w:eastAsia="黑体" w:hAnsi="黑体" w:hint="eastAsia"/>
          <w:b/>
          <w:sz w:val="32"/>
        </w:rPr>
      </w:pPr>
      <w:r>
        <w:rPr>
          <w:rFonts w:ascii="黑体" w:eastAsia="黑体" w:hAnsi="黑体" w:hint="eastAsia"/>
          <w:b/>
          <w:sz w:val="32"/>
        </w:rPr>
        <w:t>二、国内外研究现状</w:t>
      </w:r>
    </w:p>
    <w:p w14:paraId="0029A3E8" w14:textId="77777777" w:rsidR="00424732" w:rsidRDefault="00424732" w:rsidP="00424732">
      <w:pPr>
        <w:ind w:firstLine="480"/>
        <w:rPr>
          <w:rFonts w:ascii="宋体" w:eastAsia="宋体" w:hAnsi="宋体" w:hint="eastAsia"/>
        </w:rPr>
      </w:pPr>
    </w:p>
    <w:p w14:paraId="00486F1B" w14:textId="75DB094A" w:rsidR="00424732" w:rsidRDefault="00424732" w:rsidP="00424732">
      <w:pPr>
        <w:ind w:firstLine="562"/>
        <w:rPr>
          <w:rFonts w:ascii="黑体" w:eastAsia="黑体" w:hAnsi="黑体" w:hint="eastAsia"/>
          <w:b/>
          <w:sz w:val="28"/>
        </w:rPr>
      </w:pPr>
      <w:r>
        <w:rPr>
          <w:rFonts w:ascii="黑体" w:eastAsia="黑体" w:hAnsi="黑体" w:hint="eastAsia"/>
          <w:b/>
          <w:sz w:val="28"/>
        </w:rPr>
        <w:t>2.1 水力压裂裂缝监测技术</w:t>
      </w:r>
    </w:p>
    <w:p w14:paraId="7BCB38B2" w14:textId="77777777" w:rsidR="00424732" w:rsidRDefault="00424732" w:rsidP="00424732">
      <w:pPr>
        <w:ind w:firstLine="480"/>
        <w:rPr>
          <w:rFonts w:ascii="宋体" w:eastAsia="宋体" w:hAnsi="宋体" w:hint="eastAsia"/>
        </w:rPr>
      </w:pPr>
    </w:p>
    <w:p w14:paraId="5B96F1F8" w14:textId="48CD9282" w:rsidR="00424732" w:rsidRDefault="00424732" w:rsidP="00424732">
      <w:pPr>
        <w:ind w:firstLine="480"/>
        <w:rPr>
          <w:rFonts w:ascii="宋体" w:eastAsia="宋体" w:hAnsi="宋体" w:hint="eastAsia"/>
        </w:rPr>
      </w:pPr>
      <w:r>
        <w:rPr>
          <w:rFonts w:ascii="宋体" w:eastAsia="宋体" w:hAnsi="宋体" w:hint="eastAsia"/>
        </w:rPr>
        <w:t>水力压裂裂缝监测技术的核心目标是准确获取裂缝的延伸长度、高度、宽度、</w:t>
      </w:r>
      <w:r>
        <w:rPr>
          <w:rFonts w:ascii="宋体" w:eastAsia="宋体" w:hAnsi="宋体" w:hint="eastAsia"/>
        </w:rPr>
        <w:lastRenderedPageBreak/>
        <w:t>方位及复杂程度等几何参数。近年来，围绕分布式光纤传感、微地震监测及示踪剂监测等方向，国内外学者开展了大量以裂缝识别与形态表征为核心的研究工作。</w:t>
      </w:r>
    </w:p>
    <w:p w14:paraId="1C537B3C" w14:textId="77777777" w:rsidR="00424732" w:rsidRDefault="00424732" w:rsidP="00424732">
      <w:pPr>
        <w:ind w:firstLine="480"/>
        <w:rPr>
          <w:rFonts w:ascii="宋体" w:eastAsia="宋体" w:hAnsi="宋体" w:hint="eastAsia"/>
        </w:rPr>
      </w:pPr>
    </w:p>
    <w:p w14:paraId="4E097591" w14:textId="268722D5" w:rsidR="00424732" w:rsidRDefault="00424732" w:rsidP="00424732">
      <w:pPr>
        <w:ind w:firstLine="480"/>
        <w:rPr>
          <w:rFonts w:ascii="宋体" w:eastAsia="宋体" w:hAnsi="宋体" w:hint="eastAsia"/>
        </w:rPr>
      </w:pPr>
      <w:r>
        <w:rPr>
          <w:rFonts w:ascii="宋体" w:eastAsia="宋体" w:hAnsi="宋体" w:hint="eastAsia"/>
        </w:rPr>
        <w:t>**在分布式光纤声波传感（DAS）监测领域**，Molenaar等（2012）首次将DAS技术应用于井下水力压裂监测，验证了光纤传感对压裂过程中各类井下事件的实时追踪能力[8]。Ugueto等（2016）利用DAS与DTS联合诊断技术系统分析了多簇射孔的进液效率差异，揭示了传统限流压裂设计中存在的簇间非均匀进液问题[14]。Jin和Roy（2017）建立了低频DAS信号（&lt;0.05 Hz）与裂缝几何参数之间的定量对应关系，奠定了该技术在裂缝形态表征领域的理论基础，研究证实低频DAS可有效约束裂缝长度、高度、宽度及密度等关键参数的估算[9]。Rasool等（2025）系统综述了DAS在石油工程与地球科学中的工业应用，强调其在裂缝起裂识别、裂缝延伸监测及井间连通性判断中的关键作用[10]。Maxwell（2014）在其专著中系统阐述了微地震成像在裂缝几何参数反演中的理论基础、数据采集处理流程以及工程应用实例[3]。</w:t>
      </w:r>
    </w:p>
    <w:p w14:paraId="7D526C7C" w14:textId="77777777" w:rsidR="00424732" w:rsidRDefault="00424732" w:rsidP="00424732">
      <w:pPr>
        <w:ind w:firstLine="480"/>
        <w:rPr>
          <w:rFonts w:ascii="宋体" w:eastAsia="宋体" w:hAnsi="宋体" w:hint="eastAsia"/>
        </w:rPr>
      </w:pPr>
    </w:p>
    <w:p w14:paraId="77A4E711" w14:textId="0C415E6E" w:rsidR="00424732" w:rsidRDefault="00424732" w:rsidP="00424732">
      <w:pPr>
        <w:ind w:firstLine="480"/>
        <w:rPr>
          <w:rFonts w:ascii="宋体" w:eastAsia="宋体" w:hAnsi="宋体" w:hint="eastAsia"/>
        </w:rPr>
      </w:pPr>
      <w:r>
        <w:rPr>
          <w:rFonts w:ascii="宋体" w:eastAsia="宋体" w:hAnsi="宋体" w:hint="eastAsia"/>
        </w:rPr>
        <w:t>**在微地震监测方面**，Duncan和Eisner（2010）系统综述了利用地面/近地面微地震阵列进行储层表征的技术方法，探讨了从震源定位向震源机制反演发展的技术趋势[5]。Eisner等（2010）利用宽孔径地面阵列反演微地震事件的剪切与非剪切震源机制，发现震源机制揭示的裂缝取向明显优于单纯依赖事件空间分布的推断结果，据此建立的离散裂缝网络模型可用于储层数值模拟[15]。Maxwell（2014）在其专著中总结了微地震监测在非常规储层裂缝几何参数反演和压裂工程优化中的应用框架[3]。</w:t>
      </w:r>
    </w:p>
    <w:p w14:paraId="4F2AE72F" w14:textId="77777777" w:rsidR="00424732" w:rsidRDefault="00424732" w:rsidP="00424732">
      <w:pPr>
        <w:ind w:firstLine="480"/>
        <w:rPr>
          <w:rFonts w:ascii="宋体" w:eastAsia="宋体" w:hAnsi="宋体" w:hint="eastAsia"/>
        </w:rPr>
      </w:pPr>
    </w:p>
    <w:p w14:paraId="14CF466C" w14:textId="576A1319" w:rsidR="00424732" w:rsidRDefault="00424732" w:rsidP="00424732">
      <w:pPr>
        <w:ind w:firstLine="480"/>
        <w:rPr>
          <w:rFonts w:ascii="宋体" w:eastAsia="宋体" w:hAnsi="宋体" w:hint="eastAsia"/>
        </w:rPr>
      </w:pPr>
      <w:r>
        <w:rPr>
          <w:rFonts w:ascii="宋体" w:eastAsia="宋体" w:hAnsi="宋体" w:hint="eastAsia"/>
        </w:rPr>
        <w:t>**在示踪剂监测技术方面**，Salman等（2014）通过分析非常规储层化学示踪剂返排数据，建立了裂缝中示踪剂回收率与裂缝有效性之间的关联关系，研究指出并非所有水力裂缝均对产量有同等贡献[6]。Guryanov等（2019）报道了基于量子点荧光聚合物微球的示踪方法，利用6种量子点的编码组合可实现多达63种独立标记信号，通过流式细胞术分析返排样品实现各段裂缝的流体来源识别与裂缝贡献率评估[13]。Arshad等（2024）报道了新型化学示踪剂技术在裂缝段产能剖面构建方面的首次现场应用，通过结构化井口采样监测实现了各压裂段</w:t>
      </w:r>
      <w:r>
        <w:rPr>
          <w:rFonts w:ascii="宋体" w:eastAsia="宋体" w:hAnsi="宋体" w:hint="eastAsia"/>
        </w:rPr>
        <w:lastRenderedPageBreak/>
        <w:t>产量的定性评估，验证了示踪技术作为无干预产剖诊断手段的可行性[7]。de Melo和Carballo Cabrera（2025）指出，已有超过200种分子示踪剂可用于裂缝成像与流体来源识别[4]。</w:t>
      </w:r>
    </w:p>
    <w:p w14:paraId="04F7DF58" w14:textId="77777777" w:rsidR="00424732" w:rsidRDefault="00424732" w:rsidP="00424732">
      <w:pPr>
        <w:ind w:firstLine="480"/>
        <w:rPr>
          <w:rFonts w:ascii="宋体" w:eastAsia="宋体" w:hAnsi="宋体" w:hint="eastAsia"/>
        </w:rPr>
      </w:pPr>
    </w:p>
    <w:p w14:paraId="10EBC6F0" w14:textId="403B9178" w:rsidR="00424732" w:rsidRDefault="00424732" w:rsidP="00424732">
      <w:pPr>
        <w:ind w:firstLine="480"/>
        <w:rPr>
          <w:rFonts w:ascii="宋体" w:eastAsia="宋体" w:hAnsi="宋体" w:hint="eastAsia"/>
        </w:rPr>
      </w:pPr>
      <w:r>
        <w:rPr>
          <w:rFonts w:ascii="宋体" w:eastAsia="宋体" w:hAnsi="宋体" w:hint="eastAsia"/>
        </w:rPr>
        <w:t>上述裂缝监测技术各具优势，但普遍存在间接反演多解性强、裂缝形态直接识别能力不足等局限。这一工程需求促使研究者将目光转向荧光示踪方法——通过向压裂液中引入荧光标记材料，在紫外光下直接观测裂缝壁面的荧光分布，实现裂缝延伸轨迹的原位、直观识别。</w:t>
      </w:r>
    </w:p>
    <w:p w14:paraId="22C336D9" w14:textId="77777777" w:rsidR="00424732" w:rsidRDefault="00424732" w:rsidP="00424732">
      <w:pPr>
        <w:ind w:firstLine="480"/>
        <w:rPr>
          <w:rFonts w:ascii="宋体" w:eastAsia="宋体" w:hAnsi="宋体" w:hint="eastAsia"/>
        </w:rPr>
      </w:pPr>
    </w:p>
    <w:p w14:paraId="69579410" w14:textId="5FD80B5E" w:rsidR="00424732" w:rsidRDefault="00424732" w:rsidP="00424732">
      <w:pPr>
        <w:ind w:firstLine="562"/>
        <w:rPr>
          <w:rFonts w:ascii="黑体" w:eastAsia="黑体" w:hAnsi="黑体" w:hint="eastAsia"/>
          <w:b/>
          <w:sz w:val="28"/>
        </w:rPr>
      </w:pPr>
      <w:r>
        <w:rPr>
          <w:rFonts w:ascii="黑体" w:eastAsia="黑体" w:hAnsi="黑体" w:hint="eastAsia"/>
          <w:b/>
          <w:sz w:val="28"/>
        </w:rPr>
        <w:t>2.2 荧光示踪裂缝可视化技术</w:t>
      </w:r>
    </w:p>
    <w:p w14:paraId="6C0F50BB" w14:textId="77777777" w:rsidR="00424732" w:rsidRDefault="00424732" w:rsidP="00424732">
      <w:pPr>
        <w:ind w:firstLine="480"/>
        <w:rPr>
          <w:rFonts w:ascii="宋体" w:eastAsia="宋体" w:hAnsi="宋体" w:hint="eastAsia"/>
        </w:rPr>
      </w:pPr>
    </w:p>
    <w:p w14:paraId="643E221E" w14:textId="3EAFC5D8" w:rsidR="00424732" w:rsidRDefault="00424732" w:rsidP="00424732">
      <w:pPr>
        <w:ind w:firstLine="480"/>
        <w:rPr>
          <w:rFonts w:ascii="宋体" w:eastAsia="宋体" w:hAnsi="宋体" w:hint="eastAsia"/>
        </w:rPr>
      </w:pPr>
      <w:r>
        <w:rPr>
          <w:rFonts w:ascii="宋体" w:eastAsia="宋体" w:hAnsi="宋体" w:hint="eastAsia"/>
        </w:rPr>
        <w:t>荧光示踪技术通过向压裂液中引入荧光标记物质，使其随流体进入裂缝并附着于壁面，在紫外光激发下直接呈现裂缝的延伸轨迹与分布形态。相较于间接监测手段，该方法能够提供裂缝形态的原位、直观证据，尤其适用于压后取心的裂缝直接识别与验证。</w:t>
      </w:r>
    </w:p>
    <w:p w14:paraId="28E3E664" w14:textId="77777777" w:rsidR="00424732" w:rsidRDefault="00424732" w:rsidP="00424732">
      <w:pPr>
        <w:ind w:firstLine="480"/>
        <w:rPr>
          <w:rFonts w:ascii="宋体" w:eastAsia="宋体" w:hAnsi="宋体" w:hint="eastAsia"/>
        </w:rPr>
      </w:pPr>
    </w:p>
    <w:p w14:paraId="0705CD19" w14:textId="1E117417" w:rsidR="00424732" w:rsidRDefault="00424732" w:rsidP="00424732">
      <w:pPr>
        <w:ind w:firstLine="480"/>
        <w:rPr>
          <w:rFonts w:ascii="宋体" w:eastAsia="宋体" w:hAnsi="宋体" w:hint="eastAsia"/>
        </w:rPr>
      </w:pPr>
      <w:r>
        <w:rPr>
          <w:rFonts w:ascii="宋体" w:eastAsia="宋体" w:hAnsi="宋体" w:hint="eastAsia"/>
        </w:rPr>
        <w:t>Chen等（2014）在实验室尺度采用含荧光涂料的甲基丙烯酸甲酯（MMA）热固性树脂作为压裂液，通过在加热固化后切割岩样并在紫外光下观察，实现了水力裂缝的实验室可视化[12]。在此基础上，Ishida等（Takeuchi等，2025）在露头尺度压裂实验中采用可凝固荧光树脂作为压裂液，在紫外光下直接观测裂缝中荧光树脂的分布形态，清晰识别了主裂缝与分支裂缝的延伸轨迹，并发现部分渗透区域无声发射事件，表明直接可视化能揭示间接方法遗漏的裂缝信息[11]。该研究在76 mm钻孔中注入荧光树脂后，通过205 mm同轴套取岩心，在紫外暗室中对岩心表面进行了裂缝荧光成像，验证了"树脂压裂—套取岩心—紫外成像"技术路线的可行性。</w:t>
      </w:r>
    </w:p>
    <w:p w14:paraId="64978BBB" w14:textId="77777777" w:rsidR="00424732" w:rsidRDefault="00424732" w:rsidP="00424732">
      <w:pPr>
        <w:ind w:firstLine="480"/>
        <w:rPr>
          <w:rFonts w:ascii="宋体" w:eastAsia="宋体" w:hAnsi="宋体" w:hint="eastAsia"/>
        </w:rPr>
      </w:pPr>
    </w:p>
    <w:p w14:paraId="20BAA9ED" w14:textId="34159F92" w:rsidR="00424732" w:rsidRDefault="00424732" w:rsidP="00424732">
      <w:pPr>
        <w:ind w:firstLine="480"/>
        <w:rPr>
          <w:rFonts w:ascii="宋体" w:eastAsia="宋体" w:hAnsi="宋体" w:hint="eastAsia"/>
        </w:rPr>
      </w:pPr>
      <w:r>
        <w:rPr>
          <w:rFonts w:ascii="宋体" w:eastAsia="宋体" w:hAnsi="宋体" w:hint="eastAsia"/>
        </w:rPr>
        <w:t>Guryanov等（2019）开发的量子点荧光聚合物微球示踪技术（GeoSplit系统），将量子点半导体纳米晶体嵌入聚合物微球中，利用量子点的窄带宽发射（半高宽约40 nm）和宽谱激发特性实现了高编码容量（6种量子点组合产生63种独立标记），通过流式细胞术分析实现了多级压裂各段产液剖面的高分辨率监测，</w:t>
      </w:r>
      <w:r>
        <w:rPr>
          <w:rFonts w:ascii="宋体" w:eastAsia="宋体" w:hAnsi="宋体" w:hint="eastAsia"/>
        </w:rPr>
        <w:lastRenderedPageBreak/>
        <w:t>该技术已在Kondinskoye油田完成现场验证，实现了5个月以上的连续产液剖面监测[13]。</w:t>
      </w:r>
    </w:p>
    <w:p w14:paraId="1B128EEC" w14:textId="77777777" w:rsidR="00424732" w:rsidRDefault="00424732" w:rsidP="00424732">
      <w:pPr>
        <w:ind w:firstLine="480"/>
        <w:rPr>
          <w:rFonts w:ascii="宋体" w:eastAsia="宋体" w:hAnsi="宋体" w:hint="eastAsia"/>
        </w:rPr>
      </w:pPr>
    </w:p>
    <w:p w14:paraId="04F9EE79" w14:textId="033E515B" w:rsidR="00424732" w:rsidRDefault="00424732" w:rsidP="00424732">
      <w:pPr>
        <w:ind w:firstLine="480"/>
        <w:rPr>
          <w:rFonts w:ascii="宋体" w:eastAsia="宋体" w:hAnsi="宋体" w:hint="eastAsia"/>
        </w:rPr>
      </w:pPr>
      <w:r>
        <w:rPr>
          <w:rFonts w:ascii="宋体" w:eastAsia="宋体" w:hAnsi="宋体" w:hint="eastAsia"/>
        </w:rPr>
        <w:t>上述研究表明，荧光示踪技术具有实现裂缝直接可视化的独特潜力。然而，现有研究多采用有机荧光染料、荧光树脂或荧光聚合物微球，存在以下不足：有机荧光物质在高温储层条件下易发生光漂白和热降解；荧光树脂属于可凝固体系，不适用于常规水力压裂工艺；聚合物微球示踪剂虽可实现分段识别，但其粒径偏大（数百纳米至数微米），在致密储层基质中的运移受限。稀土铝酸盐荧光粉因其发光强度高、余辉时间长、化学稳定性好等优势成为替代选择，但应用于压裂液体系仍需解决表面改性与分散悬浮等关键问题。</w:t>
      </w:r>
    </w:p>
    <w:p w14:paraId="59FA6764" w14:textId="77777777" w:rsidR="00424732" w:rsidRDefault="00424732" w:rsidP="00424732">
      <w:pPr>
        <w:ind w:firstLine="480"/>
        <w:rPr>
          <w:rFonts w:ascii="宋体" w:eastAsia="宋体" w:hAnsi="宋体" w:hint="eastAsia"/>
        </w:rPr>
      </w:pPr>
    </w:p>
    <w:p w14:paraId="72FE1FC0" w14:textId="1A150FB3" w:rsidR="00424732" w:rsidRDefault="00424732" w:rsidP="00424732">
      <w:pPr>
        <w:ind w:firstLine="562"/>
        <w:rPr>
          <w:rFonts w:ascii="黑体" w:eastAsia="黑体" w:hAnsi="黑体" w:hint="eastAsia"/>
          <w:b/>
          <w:sz w:val="28"/>
        </w:rPr>
      </w:pPr>
      <w:r>
        <w:rPr>
          <w:rFonts w:ascii="黑体" w:eastAsia="黑体" w:hAnsi="黑体" w:hint="eastAsia"/>
          <w:b/>
          <w:sz w:val="28"/>
        </w:rPr>
        <w:t>2.3 稀土铝酸盐荧光材料表面改性研究</w:t>
      </w:r>
    </w:p>
    <w:p w14:paraId="0EC4D27C" w14:textId="77777777" w:rsidR="00424732" w:rsidRDefault="00424732" w:rsidP="00424732">
      <w:pPr>
        <w:ind w:firstLine="480"/>
        <w:rPr>
          <w:rFonts w:ascii="宋体" w:eastAsia="宋体" w:hAnsi="宋体" w:hint="eastAsia"/>
        </w:rPr>
      </w:pPr>
    </w:p>
    <w:p w14:paraId="3272D151" w14:textId="6804C0A7" w:rsidR="00424732" w:rsidRDefault="00424732" w:rsidP="00424732">
      <w:pPr>
        <w:ind w:firstLine="480"/>
        <w:rPr>
          <w:rFonts w:ascii="宋体" w:eastAsia="宋体" w:hAnsi="宋体" w:hint="eastAsia"/>
        </w:rPr>
      </w:pPr>
      <w:r>
        <w:rPr>
          <w:rFonts w:ascii="宋体" w:eastAsia="宋体" w:hAnsi="宋体" w:hint="eastAsia"/>
        </w:rPr>
        <w:t>稀土铝酸盐荧光粉是一类以碱土铝酸盐为基质、稀土离子为激活剂的无机长余辉发光材料，具有发光效率高、余辉时间长、化学稳定性好等优势。</w:t>
      </w:r>
      <w:r>
        <w:rPr>
          <w:rFonts w:ascii="宋体" w:eastAsia="宋体" w:hAnsi="宋体"/>
        </w:rPr>
        <w:t>Matsuzawa等（1996）首次报道了SrAl</w:t>
      </w:r>
      <w:r>
        <w:rPr>
          <w:rFonts w:ascii="Cambria Math" w:eastAsia="宋体" w:hAnsi="Cambria Math" w:cs="Cambria Math"/>
        </w:rPr>
        <w:t>₂</w:t>
      </w:r>
      <w:r>
        <w:rPr>
          <w:rFonts w:ascii="宋体" w:eastAsia="宋体" w:hAnsi="宋体"/>
        </w:rPr>
        <w:t>O</w:t>
      </w:r>
      <w:r>
        <w:rPr>
          <w:rFonts w:ascii="Cambria Math" w:eastAsia="宋体" w:hAnsi="Cambria Math" w:cs="Cambria Math"/>
        </w:rPr>
        <w:t>₄</w:t>
      </w:r>
      <w:r>
        <w:rPr>
          <w:rFonts w:ascii="宋体" w:eastAsia="宋体" w:hAnsi="宋体"/>
        </w:rPr>
        <w:t>:Eu</w:t>
      </w:r>
      <w:r>
        <w:rPr>
          <w:rFonts w:ascii="宋体" w:eastAsia="宋体" w:hAnsi="宋体" w:cs="宋体" w:hint="eastAsia"/>
        </w:rPr>
        <w:t>²</w:t>
      </w:r>
      <w:r>
        <w:rPr>
          <w:rFonts w:ascii="Cambria Math" w:eastAsia="宋体" w:hAnsi="Cambria Math" w:cs="Cambria Math"/>
        </w:rPr>
        <w:t>⁺</w:t>
      </w:r>
      <w:r>
        <w:rPr>
          <w:rFonts w:ascii="宋体" w:eastAsia="宋体" w:hAnsi="宋体"/>
        </w:rPr>
        <w:t>,Dy</w:t>
      </w:r>
      <w:r>
        <w:rPr>
          <w:rFonts w:ascii="宋体" w:eastAsia="宋体" w:hAnsi="宋体" w:cs="宋体" w:hint="eastAsia"/>
        </w:rPr>
        <w:t>³</w:t>
      </w:r>
      <w:r>
        <w:rPr>
          <w:rFonts w:ascii="Cambria Math" w:eastAsia="宋体" w:hAnsi="Cambria Math" w:cs="Cambria Math"/>
        </w:rPr>
        <w:t>⁺</w:t>
      </w:r>
      <w:r>
        <w:rPr>
          <w:rFonts w:ascii="宋体" w:eastAsia="宋体" w:hAnsi="宋体"/>
        </w:rPr>
        <w:t>的长余辉特性——其余辉亮度较当时商用ZnS:Cu,Co磷光体高出10倍以上，余辉时间可持续数小时，这一发现推动了碱土铝酸盐长余辉材料的全球研究热潮[16]。Van den Eeckhout等（2010）系统综述了Eu²</w:t>
      </w:r>
      <w:r>
        <w:rPr>
          <w:rFonts w:ascii="Cambria Math" w:eastAsia="宋体" w:hAnsi="Cambria Math" w:cs="Cambria Math"/>
        </w:rPr>
        <w:t>⁺</w:t>
      </w:r>
      <w:r>
        <w:rPr>
          <w:rFonts w:ascii="宋体" w:eastAsia="宋体" w:hAnsi="宋体"/>
        </w:rPr>
        <w:t>掺杂化合物的持久发光现象，总结了铝酸盐、硅酸盐等基质体系中陷阱深度与余辉性能的调控规律</w:t>
      </w:r>
      <w:r>
        <w:rPr>
          <w:rFonts w:ascii="宋体" w:eastAsia="宋体" w:hAnsi="宋体" w:hint="eastAsia"/>
        </w:rPr>
        <w:t>，为该类材料的应用开发提供了系统的理论指导[17]。</w:t>
      </w:r>
    </w:p>
    <w:p w14:paraId="08D63C47" w14:textId="77777777" w:rsidR="00424732" w:rsidRDefault="00424732" w:rsidP="00424732">
      <w:pPr>
        <w:ind w:firstLine="480"/>
        <w:rPr>
          <w:rFonts w:ascii="宋体" w:eastAsia="宋体" w:hAnsi="宋体" w:hint="eastAsia"/>
        </w:rPr>
      </w:pPr>
    </w:p>
    <w:p w14:paraId="45ACBA61" w14:textId="0E76F994" w:rsidR="00424732" w:rsidRDefault="00424732" w:rsidP="00424732">
      <w:pPr>
        <w:ind w:firstLine="480"/>
        <w:rPr>
          <w:rFonts w:ascii="宋体" w:eastAsia="宋体" w:hAnsi="宋体" w:hint="eastAsia"/>
        </w:rPr>
      </w:pPr>
      <w:r>
        <w:rPr>
          <w:rFonts w:ascii="宋体" w:eastAsia="宋体" w:hAnsi="宋体" w:hint="eastAsia"/>
        </w:rPr>
        <w:t>然而，稀土铝酸盐荧光粉密度大（约3.6~4.0 g/cm³）、表面亲水性强且在水性介质中易发生水解，直接用于压裂液面临沉降快、团聚严重等突出问题，严重影响其在裂缝壁面的有效附着与荧光信号强度。表面包覆与化学改性被认为是调控其分散性、耐水性及界面相容性的有效手段。</w:t>
      </w:r>
    </w:p>
    <w:p w14:paraId="1A978F05" w14:textId="77777777" w:rsidR="00424732" w:rsidRDefault="00424732" w:rsidP="00424732">
      <w:pPr>
        <w:ind w:firstLine="480"/>
        <w:rPr>
          <w:rFonts w:ascii="宋体" w:eastAsia="宋体" w:hAnsi="宋体" w:hint="eastAsia"/>
        </w:rPr>
      </w:pPr>
    </w:p>
    <w:p w14:paraId="663FEA2A" w14:textId="58D24077" w:rsidR="00424732" w:rsidRDefault="00424732" w:rsidP="00424732">
      <w:pPr>
        <w:ind w:firstLine="480"/>
        <w:rPr>
          <w:rFonts w:ascii="宋体" w:eastAsia="宋体" w:hAnsi="宋体" w:hint="eastAsia"/>
        </w:rPr>
      </w:pPr>
      <w:r>
        <w:rPr>
          <w:rFonts w:ascii="宋体" w:eastAsia="宋体" w:hAnsi="宋体"/>
        </w:rPr>
        <w:t>Zhu等（2020）研究了乙烯基硅烷和氨基硅烷两种偶联剂对SrAl</w:t>
      </w:r>
      <w:r>
        <w:rPr>
          <w:rFonts w:ascii="Cambria Math" w:eastAsia="宋体" w:hAnsi="Cambria Math" w:cs="Cambria Math"/>
        </w:rPr>
        <w:t>₂</w:t>
      </w:r>
      <w:r>
        <w:rPr>
          <w:rFonts w:ascii="宋体" w:eastAsia="宋体" w:hAnsi="宋体"/>
        </w:rPr>
        <w:t>O</w:t>
      </w:r>
      <w:r>
        <w:rPr>
          <w:rFonts w:ascii="Cambria Math" w:eastAsia="宋体" w:hAnsi="Cambria Math" w:cs="Cambria Math"/>
        </w:rPr>
        <w:t>₄</w:t>
      </w:r>
      <w:r>
        <w:rPr>
          <w:rFonts w:ascii="宋体" w:eastAsia="宋体" w:hAnsi="宋体"/>
        </w:rPr>
        <w:t>:Eu</w:t>
      </w:r>
      <w:r>
        <w:rPr>
          <w:rFonts w:ascii="宋体" w:eastAsia="宋体" w:hAnsi="宋体" w:cs="宋体" w:hint="eastAsia"/>
        </w:rPr>
        <w:t>²</w:t>
      </w:r>
      <w:r>
        <w:rPr>
          <w:rFonts w:ascii="Cambria Math" w:eastAsia="宋体" w:hAnsi="Cambria Math" w:cs="Cambria Math"/>
        </w:rPr>
        <w:t>⁺</w:t>
      </w:r>
      <w:r>
        <w:rPr>
          <w:rFonts w:ascii="宋体" w:eastAsia="宋体" w:hAnsi="宋体"/>
        </w:rPr>
        <w:t>,Dy</w:t>
      </w:r>
      <w:r>
        <w:rPr>
          <w:rFonts w:ascii="宋体" w:eastAsia="宋体" w:hAnsi="宋体" w:cs="宋体" w:hint="eastAsia"/>
        </w:rPr>
        <w:t>³</w:t>
      </w:r>
      <w:r>
        <w:rPr>
          <w:rFonts w:ascii="Cambria Math" w:eastAsia="宋体" w:hAnsi="Cambria Math" w:cs="Cambria Math"/>
        </w:rPr>
        <w:t>⁺</w:t>
      </w:r>
      <w:r>
        <w:rPr>
          <w:rFonts w:ascii="宋体" w:eastAsia="宋体" w:hAnsi="宋体"/>
        </w:rPr>
        <w:t>荧光粉的表面改性效果，发现硅烷化处理可使荧光粉的紫外吸收效率提高，进而使发光强度分别提升约20%和10%，改性后载流子捕获量分别增加18%和13%，</w:t>
      </w:r>
      <w:r>
        <w:rPr>
          <w:rFonts w:ascii="宋体" w:eastAsia="宋体" w:hAnsi="宋体"/>
        </w:rPr>
        <w:lastRenderedPageBreak/>
        <w:t>且发射光谱形状、陷阱深度和弛豫行为均未发生变化[18]。国内学者采用含甲基丙烯酸酯基团的硅烷偶联剂在荧光粉表面引入可聚合双键，进一步接枝聚甲基丙烯酸甲酯（PMMA），形成的约20~30 nm致密网状PMMA包覆膜显著提高了荧光粉的耐水性，且包覆后荧光强度保持约93%、余</w:t>
      </w:r>
      <w:r>
        <w:rPr>
          <w:rFonts w:ascii="宋体" w:eastAsia="宋体" w:hAnsi="宋体" w:hint="eastAsia"/>
        </w:rPr>
        <w:t>辉寿命保持约95%[19]。</w:t>
      </w:r>
    </w:p>
    <w:p w14:paraId="3B5DA1DF" w14:textId="77777777" w:rsidR="00424732" w:rsidRDefault="00424732" w:rsidP="00424732">
      <w:pPr>
        <w:ind w:firstLine="480"/>
        <w:rPr>
          <w:rFonts w:ascii="宋体" w:eastAsia="宋体" w:hAnsi="宋体" w:hint="eastAsia"/>
        </w:rPr>
      </w:pPr>
    </w:p>
    <w:p w14:paraId="35F8A869" w14:textId="7C02A03A" w:rsidR="00424732" w:rsidRDefault="00424732" w:rsidP="00424732">
      <w:pPr>
        <w:ind w:firstLine="480"/>
        <w:rPr>
          <w:rFonts w:ascii="宋体" w:eastAsia="宋体" w:hAnsi="宋体" w:hint="eastAsia"/>
        </w:rPr>
      </w:pPr>
      <w:r>
        <w:rPr>
          <w:rFonts w:ascii="宋体" w:eastAsia="宋体" w:hAnsi="宋体"/>
        </w:rPr>
        <w:t>Van den Eeckhout等（2013）在其关于非Eu²</w:t>
      </w:r>
      <w:r>
        <w:rPr>
          <w:rFonts w:ascii="Cambria Math" w:eastAsia="宋体" w:hAnsi="Cambria Math" w:cs="Cambria Math"/>
        </w:rPr>
        <w:t>⁺</w:t>
      </w:r>
      <w:r>
        <w:rPr>
          <w:rFonts w:ascii="宋体" w:eastAsia="宋体" w:hAnsi="宋体"/>
        </w:rPr>
        <w:t>掺杂持久发光材料的综述中，进一步总结了不同基质体系中的陷阱调控策略与能量传递机制，指出通过选择合适的基质材料和稀土掺杂组合可显著改善发光效率与环境稳定性[20]。Zhu等（2013）比较了多种硅烷偶联剂对SrAl</w:t>
      </w:r>
      <w:r>
        <w:rPr>
          <w:rFonts w:ascii="Cambria Math" w:eastAsia="宋体" w:hAnsi="Cambria Math" w:cs="Cambria Math"/>
        </w:rPr>
        <w:t>₂</w:t>
      </w:r>
      <w:r>
        <w:rPr>
          <w:rFonts w:ascii="宋体" w:eastAsia="宋体" w:hAnsi="宋体"/>
        </w:rPr>
        <w:t>O</w:t>
      </w:r>
      <w:r>
        <w:rPr>
          <w:rFonts w:ascii="Cambria Math" w:eastAsia="宋体" w:hAnsi="Cambria Math" w:cs="Cambria Math"/>
        </w:rPr>
        <w:t>₄</w:t>
      </w:r>
      <w:r>
        <w:rPr>
          <w:rFonts w:ascii="宋体" w:eastAsia="宋体" w:hAnsi="宋体"/>
        </w:rPr>
        <w:t>:Eu</w:t>
      </w:r>
      <w:r>
        <w:rPr>
          <w:rFonts w:ascii="宋体" w:eastAsia="宋体" w:hAnsi="宋体" w:cs="宋体" w:hint="eastAsia"/>
        </w:rPr>
        <w:t>²</w:t>
      </w:r>
      <w:r>
        <w:rPr>
          <w:rFonts w:ascii="Cambria Math" w:eastAsia="宋体" w:hAnsi="Cambria Math" w:cs="Cambria Math"/>
        </w:rPr>
        <w:t>⁺</w:t>
      </w:r>
      <w:r>
        <w:rPr>
          <w:rFonts w:ascii="宋体" w:eastAsia="宋体" w:hAnsi="宋体"/>
        </w:rPr>
        <w:t>,Dy</w:t>
      </w:r>
      <w:r>
        <w:rPr>
          <w:rFonts w:ascii="宋体" w:eastAsia="宋体" w:hAnsi="宋体" w:cs="宋体" w:hint="eastAsia"/>
        </w:rPr>
        <w:t>³</w:t>
      </w:r>
      <w:r>
        <w:rPr>
          <w:rFonts w:ascii="Cambria Math" w:eastAsia="宋体" w:hAnsi="Cambria Math" w:cs="Cambria Math"/>
        </w:rPr>
        <w:t>⁺</w:t>
      </w:r>
      <w:r>
        <w:rPr>
          <w:rFonts w:ascii="宋体" w:eastAsia="宋体" w:hAnsi="宋体"/>
        </w:rPr>
        <w:t>表面改性的效果，发现氨基硅烷的改性效果最佳。近年来，原子层沉积技术在荧光粉表面沉积Al</w:t>
      </w:r>
      <w:r>
        <w:rPr>
          <w:rFonts w:ascii="Cambria Math" w:eastAsia="宋体" w:hAnsi="Cambria Math" w:cs="Cambria Math"/>
        </w:rPr>
        <w:t>₂</w:t>
      </w:r>
      <w:r>
        <w:rPr>
          <w:rFonts w:ascii="宋体" w:eastAsia="宋体" w:hAnsi="宋体"/>
        </w:rPr>
        <w:t>O</w:t>
      </w:r>
      <w:r>
        <w:rPr>
          <w:rFonts w:ascii="Cambria Math" w:eastAsia="宋体" w:hAnsi="Cambria Math" w:cs="Cambria Math"/>
        </w:rPr>
        <w:t>₃</w:t>
      </w:r>
      <w:r>
        <w:rPr>
          <w:rFonts w:ascii="宋体" w:eastAsia="宋体" w:hAnsi="宋体"/>
        </w:rPr>
        <w:t>薄膜方面取得了进展，Lee等（2017）报道该方法可显著提高荧光粉的耐湿性与化学稳定性，包覆后荧光粉在水中浸泡48小</w:t>
      </w:r>
      <w:r>
        <w:rPr>
          <w:rFonts w:ascii="宋体" w:eastAsia="宋体" w:hAnsi="宋体" w:hint="eastAsia"/>
        </w:rPr>
        <w:t>时后仍保持50%以上的发光强度[21]。</w:t>
      </w:r>
    </w:p>
    <w:p w14:paraId="59CFCC58" w14:textId="77777777" w:rsidR="00424732" w:rsidRDefault="00424732" w:rsidP="00424732">
      <w:pPr>
        <w:ind w:firstLine="480"/>
        <w:rPr>
          <w:rFonts w:ascii="宋体" w:eastAsia="宋体" w:hAnsi="宋体" w:hint="eastAsia"/>
        </w:rPr>
      </w:pPr>
    </w:p>
    <w:p w14:paraId="73865EB0" w14:textId="04EB6DA4" w:rsidR="00424732" w:rsidRDefault="00424732" w:rsidP="00424732">
      <w:pPr>
        <w:ind w:firstLine="480"/>
        <w:rPr>
          <w:rFonts w:ascii="宋体" w:eastAsia="宋体" w:hAnsi="宋体" w:hint="eastAsia"/>
        </w:rPr>
      </w:pPr>
      <w:r>
        <w:rPr>
          <w:rFonts w:ascii="宋体" w:eastAsia="宋体" w:hAnsi="宋体" w:hint="eastAsia"/>
        </w:rPr>
        <w:t>尽管稀土铝酸盐荧光材料的表面改性研究取得了丰富成果，但现有工作主要面向涂料、油墨、塑料等应用领域，针对压裂液这一特殊场景——高矿化度、高剪切、宽温度范围——的系统研究尚属空白。将稀土铝酸盐荧光粉用作压裂裂缝示踪剂，仍需解决高密度颗粒在胍胶基液中的长期悬浮稳定性、与交联剂的化学兼容性、以及最为关键的破胶后在裂缝壁面的牢固吸附问题——后者直接决定了裂缝示踪信号的强度、清晰度与可识别性。</w:t>
      </w:r>
    </w:p>
    <w:p w14:paraId="01B430E6" w14:textId="77777777" w:rsidR="00424732" w:rsidRDefault="00424732" w:rsidP="00424732">
      <w:pPr>
        <w:ind w:firstLine="480"/>
        <w:rPr>
          <w:rFonts w:ascii="宋体" w:eastAsia="宋体" w:hAnsi="宋体" w:hint="eastAsia"/>
        </w:rPr>
      </w:pPr>
    </w:p>
    <w:p w14:paraId="26A2346E" w14:textId="37C23501" w:rsidR="00424732" w:rsidRDefault="00424732" w:rsidP="00424732">
      <w:pPr>
        <w:ind w:firstLine="562"/>
        <w:rPr>
          <w:rFonts w:ascii="黑体" w:eastAsia="黑体" w:hAnsi="黑体" w:hint="eastAsia"/>
          <w:b/>
          <w:sz w:val="28"/>
        </w:rPr>
      </w:pPr>
      <w:r>
        <w:rPr>
          <w:rFonts w:ascii="黑体" w:eastAsia="黑体" w:hAnsi="黑体" w:hint="eastAsia"/>
          <w:b/>
          <w:sz w:val="28"/>
        </w:rPr>
        <w:t>2.4 研究空白与立题依据</w:t>
      </w:r>
    </w:p>
    <w:p w14:paraId="1158CED5" w14:textId="77777777" w:rsidR="00424732" w:rsidRDefault="00424732" w:rsidP="00424732">
      <w:pPr>
        <w:ind w:firstLine="480"/>
        <w:rPr>
          <w:rFonts w:ascii="宋体" w:eastAsia="宋体" w:hAnsi="宋体" w:hint="eastAsia"/>
        </w:rPr>
      </w:pPr>
    </w:p>
    <w:p w14:paraId="7B112271" w14:textId="5B6349C7" w:rsidR="00424732" w:rsidRDefault="00424732" w:rsidP="00424732">
      <w:pPr>
        <w:ind w:firstLine="480"/>
        <w:rPr>
          <w:rFonts w:ascii="宋体" w:eastAsia="宋体" w:hAnsi="宋体" w:hint="eastAsia"/>
        </w:rPr>
      </w:pPr>
      <w:r>
        <w:rPr>
          <w:rFonts w:ascii="宋体" w:eastAsia="宋体" w:hAnsi="宋体" w:hint="eastAsia"/>
        </w:rPr>
        <w:t>综合国内外研究现状，现有研究在以下方面存在明显不足：</w:t>
      </w:r>
    </w:p>
    <w:p w14:paraId="544FB2E2" w14:textId="77777777" w:rsidR="00424732" w:rsidRDefault="00424732" w:rsidP="00424732">
      <w:pPr>
        <w:ind w:firstLine="480"/>
        <w:rPr>
          <w:rFonts w:ascii="宋体" w:eastAsia="宋体" w:hAnsi="宋体" w:hint="eastAsia"/>
        </w:rPr>
      </w:pPr>
    </w:p>
    <w:p w14:paraId="447AC7C1" w14:textId="354E0544" w:rsidR="00424732" w:rsidRDefault="00424732" w:rsidP="00424732">
      <w:pPr>
        <w:ind w:firstLine="482"/>
        <w:rPr>
          <w:rFonts w:ascii="宋体" w:eastAsia="宋体" w:hAnsi="宋体" w:hint="eastAsia"/>
          <w:b/>
        </w:rPr>
      </w:pPr>
      <w:r>
        <w:rPr>
          <w:rFonts w:ascii="宋体" w:eastAsia="宋体" w:hAnsi="宋体" w:hint="eastAsia"/>
          <w:b/>
        </w:rPr>
        <w:t>（1）**高密度荧光粉在胍胶压裂液中的分散悬浮稳定性研究尚属空白**。稀土铝酸盐荧光粉密度高达3.6~4.0 g/cm³，而胍胶基液密度仅约1.0 g/cm³，两者密度差导致颗粒极易快速沉降。现有分散技术研究主要集中于低密度介质体系，针对高剪切、宽温度范围压裂液体系中荧光粉的均匀悬浮与沉降控制研究尚未见报道。</w:t>
      </w:r>
    </w:p>
    <w:p w14:paraId="09C77983" w14:textId="77777777" w:rsidR="00424732" w:rsidRDefault="00424732" w:rsidP="00424732">
      <w:pPr>
        <w:ind w:firstLine="480"/>
        <w:rPr>
          <w:rFonts w:ascii="宋体" w:eastAsia="宋体" w:hAnsi="宋体" w:hint="eastAsia"/>
        </w:rPr>
      </w:pPr>
    </w:p>
    <w:p w14:paraId="7C5F1456" w14:textId="669C117D" w:rsidR="00424732" w:rsidRDefault="00424732" w:rsidP="00424732">
      <w:pPr>
        <w:ind w:firstLine="482"/>
        <w:rPr>
          <w:rFonts w:ascii="宋体" w:eastAsia="宋体" w:hAnsi="宋体" w:hint="eastAsia"/>
          <w:b/>
        </w:rPr>
      </w:pPr>
      <w:r>
        <w:rPr>
          <w:rFonts w:ascii="宋体" w:eastAsia="宋体" w:hAnsi="宋体" w:hint="eastAsia"/>
          <w:b/>
        </w:rPr>
        <w:lastRenderedPageBreak/>
        <w:t>（2）**面向压裂裂缝示踪特殊需求的荧光粉表面改性策略缺失**。现有表面改性研究主要关注耐水性和有机相容性，对压裂液中多价阳离子干扰胍胶交联、破胶剂氧化环境影响发光性能、裂缝壁面吸附牢固度等裂缝示踪特有的问题缺乏针对性研究。</w:t>
      </w:r>
    </w:p>
    <w:p w14:paraId="210B3D29" w14:textId="77777777" w:rsidR="00424732" w:rsidRDefault="00424732" w:rsidP="00424732">
      <w:pPr>
        <w:ind w:firstLine="480"/>
        <w:rPr>
          <w:rFonts w:ascii="宋体" w:eastAsia="宋体" w:hAnsi="宋体" w:hint="eastAsia"/>
        </w:rPr>
      </w:pPr>
    </w:p>
    <w:p w14:paraId="01718210" w14:textId="7A974CB1" w:rsidR="00424732" w:rsidRDefault="00424732" w:rsidP="00424732">
      <w:pPr>
        <w:ind w:firstLine="482"/>
        <w:rPr>
          <w:rFonts w:ascii="宋体" w:eastAsia="宋体" w:hAnsi="宋体" w:hint="eastAsia"/>
          <w:b/>
        </w:rPr>
      </w:pPr>
      <w:r>
        <w:rPr>
          <w:rFonts w:ascii="宋体" w:eastAsia="宋体" w:hAnsi="宋体" w:hint="eastAsia"/>
          <w:b/>
        </w:rPr>
        <w:t>（3）**"分散-吸附"功能可切换的表面分子设计尚未建立**。压裂液注入阶段要求荧光粉稳定分散，破胶后要求其牢固吸附于裂缝壁面，这一功能需求矛盾在表面化学层面尚未得到有效解决。</w:t>
      </w:r>
    </w:p>
    <w:p w14:paraId="7D243922" w14:textId="77777777" w:rsidR="00424732" w:rsidRDefault="00424732" w:rsidP="00424732">
      <w:pPr>
        <w:ind w:firstLine="480"/>
        <w:rPr>
          <w:rFonts w:ascii="宋体" w:eastAsia="宋体" w:hAnsi="宋体" w:hint="eastAsia"/>
        </w:rPr>
      </w:pPr>
    </w:p>
    <w:p w14:paraId="25B3BEF4" w14:textId="7BB167C9" w:rsidR="00424732" w:rsidRDefault="00424732" w:rsidP="00424732">
      <w:pPr>
        <w:ind w:firstLine="482"/>
        <w:rPr>
          <w:rFonts w:ascii="宋体" w:eastAsia="宋体" w:hAnsi="宋体" w:hint="eastAsia"/>
          <w:b/>
        </w:rPr>
      </w:pPr>
      <w:r>
        <w:rPr>
          <w:rFonts w:ascii="宋体" w:eastAsia="宋体" w:hAnsi="宋体" w:hint="eastAsia"/>
          <w:b/>
        </w:rPr>
        <w:t>（4）**荧光示踪压裂液标准化评价体系与现场施工工艺空白**。目前尚无针对裂缝荧光示踪压裂液的行业标准或评价规范，裂缝示踪效果的量化评价方法、现场施工工艺方案均缺乏系统研究。</w:t>
      </w:r>
    </w:p>
    <w:p w14:paraId="4F0DB148" w14:textId="77777777" w:rsidR="00424732" w:rsidRDefault="00424732" w:rsidP="00424732">
      <w:pPr>
        <w:ind w:firstLine="480"/>
        <w:rPr>
          <w:rFonts w:ascii="宋体" w:eastAsia="宋体" w:hAnsi="宋体" w:hint="eastAsia"/>
        </w:rPr>
      </w:pPr>
    </w:p>
    <w:p w14:paraId="30FDDD18" w14:textId="1617BA23" w:rsidR="00424732" w:rsidRDefault="00424732" w:rsidP="00424732">
      <w:pPr>
        <w:ind w:firstLine="480"/>
        <w:rPr>
          <w:rFonts w:ascii="宋体" w:eastAsia="宋体" w:hAnsi="宋体" w:hint="eastAsia"/>
        </w:rPr>
      </w:pPr>
      <w:r>
        <w:rPr>
          <w:rFonts w:ascii="宋体" w:eastAsia="宋体" w:hAnsi="宋体" w:hint="eastAsia"/>
        </w:rPr>
        <w:t>上述研究空白构成了本研究的立题依据。</w:t>
      </w:r>
    </w:p>
    <w:p w14:paraId="3F66873B" w14:textId="77777777" w:rsidR="00424732" w:rsidRDefault="00424732" w:rsidP="00424732">
      <w:pPr>
        <w:ind w:firstLine="480"/>
        <w:rPr>
          <w:rFonts w:ascii="宋体" w:eastAsia="宋体" w:hAnsi="宋体" w:hint="eastAsia"/>
        </w:rPr>
      </w:pPr>
    </w:p>
    <w:p w14:paraId="599AFB6F" w14:textId="77777777" w:rsidR="00424732" w:rsidRDefault="00424732" w:rsidP="00424732">
      <w:pPr>
        <w:ind w:firstLine="480"/>
        <w:rPr>
          <w:rFonts w:ascii="宋体" w:eastAsia="宋体" w:hAnsi="宋体" w:hint="eastAsia"/>
        </w:rPr>
      </w:pPr>
    </w:p>
    <w:p w14:paraId="5F494646" w14:textId="77777777" w:rsidR="00424732" w:rsidRDefault="00424732" w:rsidP="00424732">
      <w:pPr>
        <w:ind w:firstLine="480"/>
        <w:rPr>
          <w:rFonts w:ascii="宋体" w:eastAsia="宋体" w:hAnsi="宋体" w:hint="eastAsia"/>
        </w:rPr>
      </w:pPr>
    </w:p>
    <w:p w14:paraId="100A5334" w14:textId="7726A477" w:rsidR="00424732" w:rsidRDefault="00424732" w:rsidP="00424732">
      <w:pPr>
        <w:ind w:firstLine="723"/>
        <w:rPr>
          <w:rFonts w:ascii="黑体" w:eastAsia="黑体" w:hAnsi="黑体" w:hint="eastAsia"/>
          <w:b/>
          <w:sz w:val="36"/>
        </w:rPr>
      </w:pPr>
      <w:r>
        <w:rPr>
          <w:rFonts w:ascii="黑体" w:eastAsia="黑体" w:hAnsi="黑体" w:hint="eastAsia"/>
          <w:b/>
          <w:sz w:val="36"/>
        </w:rPr>
        <w:t>研究方案（包括：1、研究内容 2、研究方法及技术路线 3、特色与创新之处 4、研究基础和条件 5、预期成果）</w:t>
      </w:r>
    </w:p>
    <w:p w14:paraId="7717D323" w14:textId="77777777" w:rsidR="00424732" w:rsidRDefault="00424732" w:rsidP="00424732">
      <w:pPr>
        <w:ind w:firstLine="480"/>
        <w:rPr>
          <w:rFonts w:ascii="宋体" w:eastAsia="宋体" w:hAnsi="宋体" w:hint="eastAsia"/>
        </w:rPr>
      </w:pPr>
    </w:p>
    <w:p w14:paraId="2B2CDDF2" w14:textId="734B524B" w:rsidR="00424732" w:rsidRDefault="00424732" w:rsidP="00424732">
      <w:pPr>
        <w:ind w:firstLine="643"/>
        <w:rPr>
          <w:rFonts w:ascii="黑体" w:eastAsia="黑体" w:hAnsi="黑体" w:hint="eastAsia"/>
          <w:b/>
          <w:sz w:val="32"/>
        </w:rPr>
      </w:pPr>
      <w:r>
        <w:rPr>
          <w:rFonts w:ascii="黑体" w:eastAsia="黑体" w:hAnsi="黑体" w:hint="eastAsia"/>
          <w:b/>
          <w:sz w:val="32"/>
        </w:rPr>
        <w:t>三、主要研究内容</w:t>
      </w:r>
    </w:p>
    <w:p w14:paraId="5CCCCB55" w14:textId="77777777" w:rsidR="00424732" w:rsidRDefault="00424732" w:rsidP="00424732">
      <w:pPr>
        <w:ind w:firstLine="480"/>
        <w:rPr>
          <w:rFonts w:ascii="宋体" w:eastAsia="宋体" w:hAnsi="宋体" w:hint="eastAsia"/>
        </w:rPr>
      </w:pPr>
    </w:p>
    <w:p w14:paraId="449B976B" w14:textId="200CC86D" w:rsidR="00424732" w:rsidRDefault="00424732" w:rsidP="00424732">
      <w:pPr>
        <w:ind w:firstLine="480"/>
        <w:rPr>
          <w:rFonts w:ascii="宋体" w:eastAsia="宋体" w:hAnsi="宋体" w:hint="eastAsia"/>
        </w:rPr>
      </w:pPr>
      <w:r>
        <w:rPr>
          <w:rFonts w:ascii="宋体" w:eastAsia="宋体" w:hAnsi="宋体" w:hint="eastAsia"/>
        </w:rPr>
        <w:t>本研究以"材料改性—体系构建—机理阐明—工程应用"为主线，针对荧光示踪压裂液体系构建中的核心技术瓶颈，拟开展以下六个方面的研究工作。</w:t>
      </w:r>
    </w:p>
    <w:p w14:paraId="1A040524" w14:textId="77777777" w:rsidR="00424732" w:rsidRDefault="00424732" w:rsidP="00424732">
      <w:pPr>
        <w:ind w:firstLine="480"/>
        <w:rPr>
          <w:rFonts w:ascii="宋体" w:eastAsia="宋体" w:hAnsi="宋体" w:hint="eastAsia"/>
        </w:rPr>
      </w:pPr>
    </w:p>
    <w:p w14:paraId="40A7B80D" w14:textId="7D4C9E1D" w:rsidR="00424732" w:rsidRDefault="00424732" w:rsidP="00424732">
      <w:pPr>
        <w:ind w:firstLine="482"/>
        <w:rPr>
          <w:rFonts w:ascii="宋体" w:eastAsia="宋体" w:hAnsi="宋体" w:hint="eastAsia"/>
          <w:b/>
        </w:rPr>
      </w:pPr>
      <w:r>
        <w:rPr>
          <w:rFonts w:ascii="宋体" w:eastAsia="宋体" w:hAnsi="宋体" w:hint="eastAsia"/>
          <w:b/>
        </w:rPr>
        <w:t>（1）荧光粉基础物性表征与储层环境适应性研究。</w:t>
      </w:r>
    </w:p>
    <w:p w14:paraId="58487F57" w14:textId="77777777" w:rsidR="00424732" w:rsidRDefault="00424732" w:rsidP="00424732">
      <w:pPr>
        <w:ind w:firstLine="480"/>
        <w:rPr>
          <w:rFonts w:ascii="宋体" w:eastAsia="宋体" w:hAnsi="宋体" w:hint="eastAsia"/>
        </w:rPr>
      </w:pPr>
    </w:p>
    <w:p w14:paraId="62171E65" w14:textId="2BF5FE68" w:rsidR="00424732" w:rsidRDefault="00424732" w:rsidP="00424732">
      <w:pPr>
        <w:ind w:firstLine="480"/>
        <w:rPr>
          <w:rFonts w:ascii="宋体" w:eastAsia="宋体" w:hAnsi="宋体" w:hint="eastAsia"/>
        </w:rPr>
      </w:pPr>
      <w:r>
        <w:rPr>
          <w:rFonts w:ascii="宋体" w:eastAsia="宋体" w:hAnsi="宋体" w:hint="eastAsia"/>
        </w:rPr>
        <w:lastRenderedPageBreak/>
        <w:t>稀土铝酸盐荧光粉能否在压裂液所处的化学环境中保持发光稳定，是决定该技术路线是否可行的前提。然而，该类材料在储层温度、破胶剂氧化环境、地层水矿化度及酸碱条件等多重因素作用下的性能衰减规律尚不清晰，缺乏在压裂工况下的适用边界数据。本部分系统考察荧光粉在模拟储层条件下的热稳定性、氧化稳定性、化学稳定性及耐水性，重点分析不同环境因素对发光强度的影响规律，获取发光衰减动力学参数。通过这部分工作，明确荧光粉在井下工况中的适用边界，为后续改性方向和策略提供直接依据。</w:t>
      </w:r>
    </w:p>
    <w:p w14:paraId="4BEBB0FB" w14:textId="77777777" w:rsidR="00424732" w:rsidRDefault="00424732" w:rsidP="00424732">
      <w:pPr>
        <w:ind w:firstLine="480"/>
        <w:rPr>
          <w:rFonts w:ascii="宋体" w:eastAsia="宋体" w:hAnsi="宋体" w:hint="eastAsia"/>
        </w:rPr>
      </w:pPr>
    </w:p>
    <w:p w14:paraId="68EFECFE" w14:textId="5763C61B" w:rsidR="00424732" w:rsidRDefault="00424732" w:rsidP="00424732">
      <w:pPr>
        <w:ind w:firstLine="482"/>
        <w:rPr>
          <w:rFonts w:ascii="宋体" w:eastAsia="宋体" w:hAnsi="宋体" w:hint="eastAsia"/>
          <w:b/>
        </w:rPr>
      </w:pPr>
      <w:r>
        <w:rPr>
          <w:rFonts w:ascii="宋体" w:eastAsia="宋体" w:hAnsi="宋体" w:hint="eastAsia"/>
          <w:b/>
        </w:rPr>
        <w:t>（2）荧光粉双层表面改性与协同分散机理研究。</w:t>
      </w:r>
    </w:p>
    <w:p w14:paraId="74CB01F4" w14:textId="77777777" w:rsidR="00424732" w:rsidRDefault="00424732" w:rsidP="00424732">
      <w:pPr>
        <w:ind w:firstLine="480"/>
        <w:rPr>
          <w:rFonts w:ascii="宋体" w:eastAsia="宋体" w:hAnsi="宋体" w:hint="eastAsia"/>
        </w:rPr>
      </w:pPr>
    </w:p>
    <w:p w14:paraId="28EBD203" w14:textId="2F517F3B" w:rsidR="00424732" w:rsidRDefault="00424732" w:rsidP="00424732">
      <w:pPr>
        <w:ind w:firstLine="480"/>
        <w:rPr>
          <w:rFonts w:ascii="宋体" w:eastAsia="宋体" w:hAnsi="宋体" w:hint="eastAsia"/>
        </w:rPr>
      </w:pPr>
      <w:r>
        <w:rPr>
          <w:rFonts w:ascii="宋体" w:eastAsia="宋体" w:hAnsi="宋体" w:hint="eastAsia"/>
        </w:rPr>
        <w:t>稀土铝酸盐荧光粉密度高达</w:t>
      </w:r>
      <w:r>
        <w:rPr>
          <w:rFonts w:ascii="宋体" w:eastAsia="宋体" w:hAnsi="宋体"/>
        </w:rPr>
        <w:t>3.6~4.0 g/cm³，而胍胶基液密度仅约1.0 g/cm³，两者密度差导致颗粒极易快速沉降；粉体比表面积大、范德华力强，未经表面处理的颗粒在水基体系中易自发团聚；同时荧光粉表面释放的Al³</w:t>
      </w:r>
      <w:r>
        <w:rPr>
          <w:rFonts w:ascii="Cambria Math" w:eastAsia="宋体" w:hAnsi="Cambria Math" w:cs="Cambria Math"/>
        </w:rPr>
        <w:t>⁺</w:t>
      </w:r>
      <w:r>
        <w:rPr>
          <w:rFonts w:ascii="宋体" w:eastAsia="宋体" w:hAnsi="宋体"/>
        </w:rPr>
        <w:t>等多价阳离子会与胍胶分子链上的羟基发生配位交联反应，干扰冻胶正常形成。针对这些问题，本部分设计"内层硅烷偶联剂化学锚固+外层聚乙二醇（PEG）物理屏蔽"的双层包覆结构，优化偶联剂和聚合物的用量与工艺条件，形成稳定的改性流程。在此基础上，深入分析螯合剂、非离子表面活性剂及PEG包覆层三者之间</w:t>
      </w:r>
      <w:r>
        <w:rPr>
          <w:rFonts w:ascii="宋体" w:eastAsia="宋体" w:hAnsi="宋体" w:hint="eastAsia"/>
        </w:rPr>
        <w:t>的协同作用——螯合屏蔽高价离子、润湿降低界面张力、空间位阻阻止团聚——阐明"化学螯合+界面润湿+空间位阻"多层次协同分散机制，最终实现改性荧光粉在胍胶基液中的长期均匀悬浮。</w:t>
      </w:r>
    </w:p>
    <w:p w14:paraId="38B164A2" w14:textId="77777777" w:rsidR="00424732" w:rsidRDefault="00424732" w:rsidP="00424732">
      <w:pPr>
        <w:ind w:firstLine="480"/>
        <w:rPr>
          <w:rFonts w:ascii="宋体" w:eastAsia="宋体" w:hAnsi="宋体" w:hint="eastAsia"/>
        </w:rPr>
      </w:pPr>
    </w:p>
    <w:p w14:paraId="11401350" w14:textId="62318F85" w:rsidR="00424732" w:rsidRDefault="00424732" w:rsidP="00424732">
      <w:pPr>
        <w:ind w:firstLine="482"/>
        <w:rPr>
          <w:rFonts w:ascii="宋体" w:eastAsia="宋体" w:hAnsi="宋体" w:hint="eastAsia"/>
          <w:b/>
        </w:rPr>
      </w:pPr>
      <w:r>
        <w:rPr>
          <w:rFonts w:ascii="宋体" w:eastAsia="宋体" w:hAnsi="宋体" w:hint="eastAsia"/>
          <w:b/>
        </w:rPr>
        <w:t>（3）荧光压裂液体系构建与标准化性能评价。</w:t>
      </w:r>
    </w:p>
    <w:p w14:paraId="362D27ED" w14:textId="77777777" w:rsidR="00424732" w:rsidRDefault="00424732" w:rsidP="00424732">
      <w:pPr>
        <w:ind w:firstLine="480"/>
        <w:rPr>
          <w:rFonts w:ascii="宋体" w:eastAsia="宋体" w:hAnsi="宋体" w:hint="eastAsia"/>
        </w:rPr>
      </w:pPr>
    </w:p>
    <w:p w14:paraId="1FCF87E2" w14:textId="4ED0A432" w:rsidR="00424732" w:rsidRDefault="00424732" w:rsidP="00424732">
      <w:pPr>
        <w:ind w:firstLine="480"/>
        <w:rPr>
          <w:rFonts w:ascii="宋体" w:eastAsia="宋体" w:hAnsi="宋体" w:hint="eastAsia"/>
        </w:rPr>
      </w:pPr>
      <w:r>
        <w:rPr>
          <w:rFonts w:ascii="宋体" w:eastAsia="宋体" w:hAnsi="宋体" w:hint="eastAsia"/>
        </w:rPr>
        <w:t>目前干粉直接加入的方式存在粉尘污染、分散不均、质量难以控制等弊端，且缺乏针对荧光示踪压裂液的标准化评价体系。为此，本部分首先研制高浓度悬浮母液，建立母液静态稳定性、动态稳定性及分散性的评价方法，替代干粉直接加入工艺。进而将母液与胍胶基液复配，严格依据SY/T 6376-2008《压裂液通用技术条件》[22]和SY/T 5107-2016《水基压裂液性能评价方法》[23]等行业标准，系统评价荧光压裂液终液的基液性能、交联冻胶性能及破胶性能，重点考察增黏能力、抗剪切性、耐温耐剪切流变特性、悬砂能力、破胶液粘度及残渣含量</w:t>
      </w:r>
      <w:r>
        <w:rPr>
          <w:rFonts w:ascii="宋体" w:eastAsia="宋体" w:hAnsi="宋体" w:hint="eastAsia"/>
        </w:rPr>
        <w:lastRenderedPageBreak/>
        <w:t>等关键指标。通过标准化评价，验证体系是否全面满足现场施工要求，并建立荧光示踪压裂液的质量控制基准。</w:t>
      </w:r>
    </w:p>
    <w:p w14:paraId="3D433596" w14:textId="77777777" w:rsidR="00424732" w:rsidRDefault="00424732" w:rsidP="00424732">
      <w:pPr>
        <w:ind w:firstLine="480"/>
        <w:rPr>
          <w:rFonts w:ascii="宋体" w:eastAsia="宋体" w:hAnsi="宋体" w:hint="eastAsia"/>
        </w:rPr>
      </w:pPr>
    </w:p>
    <w:p w14:paraId="79E4DD2F" w14:textId="5C064A16" w:rsidR="00424732" w:rsidRDefault="00424732" w:rsidP="00424732">
      <w:pPr>
        <w:ind w:firstLine="482"/>
        <w:rPr>
          <w:rFonts w:ascii="宋体" w:eastAsia="宋体" w:hAnsi="宋体" w:hint="eastAsia"/>
          <w:b/>
        </w:rPr>
      </w:pPr>
      <w:r>
        <w:rPr>
          <w:rFonts w:ascii="宋体" w:eastAsia="宋体" w:hAnsi="宋体" w:hint="eastAsia"/>
          <w:b/>
        </w:rPr>
        <w:t>（4）"分散-吸附"功能切换机制与岩石吸附规律研究。</w:t>
      </w:r>
    </w:p>
    <w:p w14:paraId="7198C25C" w14:textId="77777777" w:rsidR="00424732" w:rsidRDefault="00424732" w:rsidP="00424732">
      <w:pPr>
        <w:ind w:firstLine="480"/>
        <w:rPr>
          <w:rFonts w:ascii="宋体" w:eastAsia="宋体" w:hAnsi="宋体" w:hint="eastAsia"/>
        </w:rPr>
      </w:pPr>
    </w:p>
    <w:p w14:paraId="1FA75380" w14:textId="040D2B61" w:rsidR="00424732" w:rsidRDefault="00424732" w:rsidP="00424732">
      <w:pPr>
        <w:ind w:firstLine="480"/>
        <w:rPr>
          <w:rFonts w:ascii="宋体" w:eastAsia="宋体" w:hAnsi="宋体" w:hint="eastAsia"/>
        </w:rPr>
      </w:pPr>
      <w:r>
        <w:rPr>
          <w:rFonts w:ascii="宋体" w:eastAsia="宋体" w:hAnsi="宋体" w:hint="eastAsia"/>
        </w:rPr>
        <w:t>压裂液注入阶段要求荧光粉稳定悬浮于流体中，而破胶后又需要其牢固附着于裂缝壁面，这两个需求在表面化学上构成明显矛盾：分散要求颗粒表面亲水且具有空间位阻，吸附则要求颗粒与岩石表面发生化学或物理结合。针对这一关键科学问题，本部分通过对比破胶前后双层改性荧光粉的表面性质变化及其在砂岩表面的吸附行为差异，结合官能团分析与界面作用力表征，揭示PEG外层在破胶条件下脱落后内层活性官能团暴露并与岩石硅羟基发生协同吸附的作用机理。在此基础上，系统考察温度、时间、浓度、矿化度及pH值等因素对吸附量的影响，建立吸附动力学与热力学模型，从界面化学层面阐明"分散态→吸附态"功能切换的本质。</w:t>
      </w:r>
    </w:p>
    <w:p w14:paraId="7BF6828B" w14:textId="77777777" w:rsidR="00424732" w:rsidRDefault="00424732" w:rsidP="00424732">
      <w:pPr>
        <w:ind w:firstLine="480"/>
        <w:rPr>
          <w:rFonts w:ascii="宋体" w:eastAsia="宋体" w:hAnsi="宋体" w:hint="eastAsia"/>
        </w:rPr>
      </w:pPr>
    </w:p>
    <w:p w14:paraId="4D782EE0" w14:textId="16AB2C3B" w:rsidR="00424732" w:rsidRDefault="00424732" w:rsidP="00424732">
      <w:pPr>
        <w:ind w:firstLine="482"/>
        <w:rPr>
          <w:rFonts w:ascii="宋体" w:eastAsia="宋体" w:hAnsi="宋体" w:hint="eastAsia"/>
          <w:b/>
        </w:rPr>
      </w:pPr>
      <w:r>
        <w:rPr>
          <w:rFonts w:ascii="宋体" w:eastAsia="宋体" w:hAnsi="宋体" w:hint="eastAsia"/>
          <w:b/>
        </w:rPr>
        <w:t>（5）荧光信号与裂缝几何形态的量化映射关系研究。</w:t>
      </w:r>
    </w:p>
    <w:p w14:paraId="272F09FD" w14:textId="77777777" w:rsidR="00424732" w:rsidRDefault="00424732" w:rsidP="00424732">
      <w:pPr>
        <w:ind w:firstLine="480"/>
        <w:rPr>
          <w:rFonts w:ascii="宋体" w:eastAsia="宋体" w:hAnsi="宋体" w:hint="eastAsia"/>
        </w:rPr>
      </w:pPr>
    </w:p>
    <w:p w14:paraId="352338D8" w14:textId="2348842C" w:rsidR="00424732" w:rsidRDefault="00424732" w:rsidP="00424732">
      <w:pPr>
        <w:ind w:firstLine="480"/>
        <w:rPr>
          <w:rFonts w:ascii="宋体" w:eastAsia="宋体" w:hAnsi="宋体" w:hint="eastAsia"/>
        </w:rPr>
      </w:pPr>
      <w:r>
        <w:rPr>
          <w:rFonts w:ascii="宋体" w:eastAsia="宋体" w:hAnsi="宋体" w:hint="eastAsia"/>
        </w:rPr>
        <w:t>目前荧光示踪研究多停留于"能否看见"的定性判断，缺乏信号与形态之间的量化模型。为此，本部分构建模拟裂缝可视化实验装置，完整模拟"注入—破胶—返排—取心"全流程，在紫外暗室中获取裂缝壁面的荧光分布图像。利用图像处理技术提取灰度值、荧光覆盖率及信号连续性等特征参数，与裂缝的实际宽度、粗糙度、迂曲度进行对照分析，建立裂缝几何参数与荧光图像特征之间的量化映射关系。通过这部分工作，实现从"看得见"到"测得准"的跨越，形成基于取心岩样紫外成像的裂缝延伸形态定量判读方法。</w:t>
      </w:r>
    </w:p>
    <w:p w14:paraId="09BA2B9E" w14:textId="77777777" w:rsidR="00424732" w:rsidRDefault="00424732" w:rsidP="00424732">
      <w:pPr>
        <w:ind w:firstLine="480"/>
        <w:rPr>
          <w:rFonts w:ascii="宋体" w:eastAsia="宋体" w:hAnsi="宋体" w:hint="eastAsia"/>
        </w:rPr>
      </w:pPr>
    </w:p>
    <w:p w14:paraId="08399E6C" w14:textId="257F3B4D" w:rsidR="00424732" w:rsidRDefault="00424732" w:rsidP="00424732">
      <w:pPr>
        <w:ind w:firstLine="482"/>
        <w:rPr>
          <w:rFonts w:ascii="宋体" w:eastAsia="宋体" w:hAnsi="宋体" w:hint="eastAsia"/>
          <w:b/>
        </w:rPr>
      </w:pPr>
      <w:r>
        <w:rPr>
          <w:rFonts w:ascii="宋体" w:eastAsia="宋体" w:hAnsi="宋体" w:hint="eastAsia"/>
          <w:b/>
        </w:rPr>
        <w:t>（6）现场施工工艺优化与工程可行性评估。</w:t>
      </w:r>
    </w:p>
    <w:p w14:paraId="7200F757" w14:textId="77777777" w:rsidR="00424732" w:rsidRDefault="00424732" w:rsidP="00424732">
      <w:pPr>
        <w:ind w:firstLine="480"/>
        <w:rPr>
          <w:rFonts w:ascii="宋体" w:eastAsia="宋体" w:hAnsi="宋体" w:hint="eastAsia"/>
        </w:rPr>
      </w:pPr>
    </w:p>
    <w:p w14:paraId="52C94E4F" w14:textId="0FCE051E" w:rsidR="00424732" w:rsidRDefault="00424732" w:rsidP="00424732">
      <w:pPr>
        <w:ind w:firstLine="480"/>
        <w:rPr>
          <w:rFonts w:ascii="宋体" w:eastAsia="宋体" w:hAnsi="宋体" w:hint="eastAsia"/>
        </w:rPr>
      </w:pPr>
      <w:r>
        <w:rPr>
          <w:rFonts w:ascii="宋体" w:eastAsia="宋体" w:hAnsi="宋体" w:hint="eastAsia"/>
        </w:rPr>
        <w:t>目前荧光示踪压裂液的研究多停留于实验室阶段，研发成果与现场应用之间存在明显鸿沟。为此，本部分围绕"母液预配+在线稀释"的注入方式，系统优化母液配制、运输储存、在线混配等关键环节的工艺参数，配套建立现场质量控制</w:t>
      </w:r>
      <w:r>
        <w:rPr>
          <w:rFonts w:ascii="宋体" w:eastAsia="宋体" w:hAnsi="宋体" w:hint="eastAsia"/>
        </w:rPr>
        <w:lastRenderedPageBreak/>
        <w:t>和检测方法。同时，从经济性与环保性两个维度对技术方案进行综合评估，分析材料成本增量、施工附加费用以及返排液的潜在环境影响，将实验室成果转化为一套可操作的现场施工工艺方案，为后续开展裂缝荧光示踪先导试验提供直接技术支撑。</w:t>
      </w:r>
    </w:p>
    <w:p w14:paraId="3D27B54E" w14:textId="77777777" w:rsidR="00424732" w:rsidRDefault="00424732" w:rsidP="00424732">
      <w:pPr>
        <w:ind w:firstLine="480"/>
        <w:rPr>
          <w:rFonts w:ascii="宋体" w:eastAsia="宋体" w:hAnsi="宋体" w:hint="eastAsia"/>
        </w:rPr>
      </w:pPr>
    </w:p>
    <w:p w14:paraId="747EEF17" w14:textId="44A73752" w:rsidR="00424732" w:rsidRDefault="00424732" w:rsidP="00424732">
      <w:pPr>
        <w:ind w:firstLine="480"/>
        <w:rPr>
          <w:rFonts w:ascii="宋体" w:eastAsia="宋体" w:hAnsi="宋体" w:hint="eastAsia"/>
        </w:rPr>
      </w:pPr>
      <w:r>
        <w:rPr>
          <w:rFonts w:ascii="宋体" w:eastAsia="宋体" w:hAnsi="宋体" w:hint="eastAsia"/>
        </w:rPr>
        <w:t>上述六部分研究内容形成递进式逻辑链条：从荧光粉基础物性出发，经由表面改性与分散机制研究解决材料层面的悬浮难题，进而构建满足行业标准的压裂液体系，从机理层面阐明功能切换的界面化学本质，建立信号与形态的量化判读方法，最终完成向现场裂缝诊断应用的工程转化。</w:t>
      </w:r>
    </w:p>
    <w:p w14:paraId="13F605CD" w14:textId="77777777" w:rsidR="00424732" w:rsidRDefault="00424732" w:rsidP="00424732">
      <w:pPr>
        <w:ind w:firstLine="480"/>
        <w:rPr>
          <w:rFonts w:ascii="宋体" w:eastAsia="宋体" w:hAnsi="宋体" w:hint="eastAsia"/>
        </w:rPr>
      </w:pPr>
    </w:p>
    <w:p w14:paraId="732D1989" w14:textId="24398D8A" w:rsidR="00424732" w:rsidRDefault="00424732" w:rsidP="00424732">
      <w:pPr>
        <w:ind w:firstLine="643"/>
        <w:rPr>
          <w:rFonts w:ascii="黑体" w:eastAsia="黑体" w:hAnsi="黑体" w:hint="eastAsia"/>
          <w:b/>
          <w:sz w:val="32"/>
        </w:rPr>
      </w:pPr>
      <w:r>
        <w:rPr>
          <w:rFonts w:ascii="黑体" w:eastAsia="黑体" w:hAnsi="黑体" w:hint="eastAsia"/>
          <w:b/>
          <w:sz w:val="32"/>
        </w:rPr>
        <w:t>四、技术路线</w:t>
      </w:r>
    </w:p>
    <w:p w14:paraId="0E154BC6" w14:textId="77777777" w:rsidR="00424732" w:rsidRDefault="00424732" w:rsidP="00424732">
      <w:pPr>
        <w:ind w:firstLine="480"/>
        <w:rPr>
          <w:rFonts w:ascii="宋体" w:eastAsia="宋体" w:hAnsi="宋体" w:hint="eastAsia"/>
        </w:rPr>
      </w:pPr>
    </w:p>
    <w:p w14:paraId="0304A72D" w14:textId="3C0E4FA7" w:rsidR="00424732" w:rsidRDefault="00424732" w:rsidP="00424732">
      <w:pPr>
        <w:ind w:firstLine="480"/>
        <w:rPr>
          <w:rFonts w:ascii="宋体" w:eastAsia="宋体" w:hAnsi="宋体" w:hint="eastAsia"/>
        </w:rPr>
      </w:pPr>
      <w:r>
        <w:rPr>
          <w:rFonts w:ascii="宋体" w:eastAsia="宋体" w:hAnsi="宋体" w:hint="eastAsia"/>
        </w:rPr>
        <w:t>本研究以微米级稀土铝酸盐荧光粉为示踪核心，以羟丙基胍胶压裂液为载体，按照以下路线推进：首先开展荧光粉基础物性表征，明确其在储层环境下的性能基准与适用边界；其次开展双层表面改性工艺优化，构建"硅烷偶联剂+PEG"核壳结构，并通过协同分散机制研究形成最优复配方案；在此基础上研制高浓度荧光母液，并依据行业标准[22-23]系统评价荧光压裂液终液的各项性能；进而通过破胶吸附实验和模拟裂缝可视化实验，验证"分散-吸附"功能切换机制，建立荧光信号与裂缝几何形态的量化判读方法；最后形成完整的现场施工工艺方案，完成技术经济与环保可行性评估。</w:t>
      </w:r>
    </w:p>
    <w:p w14:paraId="400ACFE4" w14:textId="77777777" w:rsidR="00424732" w:rsidRDefault="00424732" w:rsidP="00424732">
      <w:pPr>
        <w:ind w:firstLine="480"/>
        <w:rPr>
          <w:rFonts w:ascii="宋体" w:eastAsia="宋体" w:hAnsi="宋体" w:hint="eastAsia"/>
        </w:rPr>
      </w:pPr>
    </w:p>
    <w:p w14:paraId="282B636D" w14:textId="23921E59" w:rsidR="00424732" w:rsidRDefault="00424732" w:rsidP="00424732">
      <w:pPr>
        <w:ind w:firstLine="643"/>
        <w:rPr>
          <w:rFonts w:ascii="黑体" w:eastAsia="黑体" w:hAnsi="黑体" w:hint="eastAsia"/>
          <w:b/>
          <w:sz w:val="32"/>
        </w:rPr>
      </w:pPr>
      <w:r>
        <w:rPr>
          <w:rFonts w:ascii="黑体" w:eastAsia="黑体" w:hAnsi="黑体" w:hint="eastAsia"/>
          <w:b/>
          <w:sz w:val="32"/>
        </w:rPr>
        <w:t>五、预期成果与创新点</w:t>
      </w:r>
    </w:p>
    <w:p w14:paraId="01D0BEA0" w14:textId="77777777" w:rsidR="00424732" w:rsidRDefault="00424732" w:rsidP="00424732">
      <w:pPr>
        <w:ind w:firstLine="480"/>
        <w:rPr>
          <w:rFonts w:ascii="宋体" w:eastAsia="宋体" w:hAnsi="宋体" w:hint="eastAsia"/>
        </w:rPr>
      </w:pPr>
    </w:p>
    <w:p w14:paraId="3241E44A" w14:textId="1A9DED56" w:rsidR="00424732" w:rsidRDefault="00424732" w:rsidP="00424732">
      <w:pPr>
        <w:ind w:firstLine="482"/>
        <w:rPr>
          <w:rFonts w:ascii="宋体" w:eastAsia="宋体" w:hAnsi="宋体" w:hint="eastAsia"/>
        </w:rPr>
      </w:pPr>
      <w:r>
        <w:rPr>
          <w:rFonts w:ascii="宋体" w:eastAsia="宋体" w:hAnsi="宋体" w:hint="eastAsia"/>
          <w:b/>
        </w:rPr>
        <w:t>预期成果：</w:t>
      </w:r>
      <w:r>
        <w:rPr>
          <w:rFonts w:ascii="宋体" w:eastAsia="宋体" w:hAnsi="宋体" w:hint="eastAsia"/>
        </w:rPr>
        <w:t>**</w:t>
      </w:r>
    </w:p>
    <w:p w14:paraId="10459C4E" w14:textId="77777777" w:rsidR="00424732" w:rsidRDefault="00424732" w:rsidP="00424732">
      <w:pPr>
        <w:ind w:firstLine="480"/>
        <w:rPr>
          <w:rFonts w:ascii="宋体" w:eastAsia="宋体" w:hAnsi="宋体" w:hint="eastAsia"/>
        </w:rPr>
      </w:pPr>
    </w:p>
    <w:p w14:paraId="2056D2B2" w14:textId="3DDDAB44" w:rsidR="00424732" w:rsidRDefault="00424732" w:rsidP="00424732">
      <w:pPr>
        <w:ind w:firstLine="482"/>
        <w:rPr>
          <w:rFonts w:ascii="宋体" w:eastAsia="宋体" w:hAnsi="宋体" w:hint="eastAsia"/>
          <w:b/>
        </w:rPr>
      </w:pPr>
      <w:r>
        <w:rPr>
          <w:rFonts w:ascii="宋体" w:eastAsia="宋体" w:hAnsi="宋体" w:hint="eastAsia"/>
          <w:b/>
        </w:rPr>
        <w:t>（1）建立荧光粉双层改性标准化工艺，改性粉体在胍胶基液中静置2小时无明显沉降；</w:t>
      </w:r>
    </w:p>
    <w:p w14:paraId="2A77EB80" w14:textId="77777777" w:rsidR="00424732" w:rsidRDefault="00424732" w:rsidP="00424732">
      <w:pPr>
        <w:ind w:firstLine="480"/>
        <w:rPr>
          <w:rFonts w:ascii="宋体" w:eastAsia="宋体" w:hAnsi="宋体" w:hint="eastAsia"/>
        </w:rPr>
      </w:pPr>
    </w:p>
    <w:p w14:paraId="6BAD509F" w14:textId="72FAD3ED" w:rsidR="00424732" w:rsidRDefault="00424732" w:rsidP="00424732">
      <w:pPr>
        <w:ind w:firstLine="482"/>
        <w:rPr>
          <w:rFonts w:ascii="宋体" w:eastAsia="宋体" w:hAnsi="宋体" w:hint="eastAsia"/>
          <w:b/>
        </w:rPr>
      </w:pPr>
      <w:r>
        <w:rPr>
          <w:rFonts w:ascii="宋体" w:eastAsia="宋体" w:hAnsi="宋体" w:hint="eastAsia"/>
          <w:b/>
        </w:rPr>
        <w:t>（2）研制浓度≥40 g/L的高稳定荧光粉母液，满足储存、运输及现场注入要求；</w:t>
      </w:r>
    </w:p>
    <w:p w14:paraId="108E4028" w14:textId="77777777" w:rsidR="00424732" w:rsidRDefault="00424732" w:rsidP="00424732">
      <w:pPr>
        <w:ind w:firstLine="480"/>
        <w:rPr>
          <w:rFonts w:ascii="宋体" w:eastAsia="宋体" w:hAnsi="宋体" w:hint="eastAsia"/>
        </w:rPr>
      </w:pPr>
    </w:p>
    <w:p w14:paraId="7A5F7D7A" w14:textId="3C5D9E44" w:rsidR="00424732" w:rsidRDefault="00424732" w:rsidP="00424732">
      <w:pPr>
        <w:ind w:firstLine="482"/>
        <w:rPr>
          <w:rFonts w:ascii="宋体" w:eastAsia="宋体" w:hAnsi="宋体" w:hint="eastAsia"/>
          <w:b/>
        </w:rPr>
      </w:pPr>
      <w:r>
        <w:rPr>
          <w:rFonts w:ascii="宋体" w:eastAsia="宋体" w:hAnsi="宋体" w:hint="eastAsia"/>
          <w:b/>
        </w:rPr>
        <w:t>（3）形成一套荧光压裂液性能标准化评价方法，各项指标满足行业标准[22-23]要求；</w:t>
      </w:r>
    </w:p>
    <w:p w14:paraId="43C44EED" w14:textId="77777777" w:rsidR="00424732" w:rsidRDefault="00424732" w:rsidP="00424732">
      <w:pPr>
        <w:ind w:firstLine="480"/>
        <w:rPr>
          <w:rFonts w:ascii="宋体" w:eastAsia="宋体" w:hAnsi="宋体" w:hint="eastAsia"/>
        </w:rPr>
      </w:pPr>
    </w:p>
    <w:p w14:paraId="7E255168" w14:textId="78B10D9F" w:rsidR="00424732" w:rsidRDefault="00424732" w:rsidP="00424732">
      <w:pPr>
        <w:ind w:firstLine="482"/>
        <w:rPr>
          <w:rFonts w:ascii="宋体" w:eastAsia="宋体" w:hAnsi="宋体" w:hint="eastAsia"/>
          <w:b/>
        </w:rPr>
      </w:pPr>
      <w:r>
        <w:rPr>
          <w:rFonts w:ascii="宋体" w:eastAsia="宋体" w:hAnsi="宋体" w:hint="eastAsia"/>
          <w:b/>
        </w:rPr>
        <w:t>（4）揭示改性荧光粉在砂岩表面的吸附机制与"分散-吸附"功能切换机理；</w:t>
      </w:r>
    </w:p>
    <w:p w14:paraId="19198D28" w14:textId="77777777" w:rsidR="00424732" w:rsidRDefault="00424732" w:rsidP="00424732">
      <w:pPr>
        <w:ind w:firstLine="480"/>
        <w:rPr>
          <w:rFonts w:ascii="宋体" w:eastAsia="宋体" w:hAnsi="宋体" w:hint="eastAsia"/>
        </w:rPr>
      </w:pPr>
    </w:p>
    <w:p w14:paraId="7D5552EB" w14:textId="4D5B0C96" w:rsidR="00424732" w:rsidRDefault="00424732" w:rsidP="00424732">
      <w:pPr>
        <w:ind w:firstLine="482"/>
        <w:rPr>
          <w:rFonts w:ascii="宋体" w:eastAsia="宋体" w:hAnsi="宋体" w:hint="eastAsia"/>
          <w:b/>
        </w:rPr>
      </w:pPr>
      <w:r>
        <w:rPr>
          <w:rFonts w:ascii="宋体" w:eastAsia="宋体" w:hAnsi="宋体" w:hint="eastAsia"/>
          <w:b/>
        </w:rPr>
        <w:t>（5）建立基于取心紫外成像的裂缝几何量化判读方法，实现裂缝形态的可视化评价；</w:t>
      </w:r>
    </w:p>
    <w:p w14:paraId="2093DDF6" w14:textId="77777777" w:rsidR="00424732" w:rsidRDefault="00424732" w:rsidP="00424732">
      <w:pPr>
        <w:ind w:firstLine="480"/>
        <w:rPr>
          <w:rFonts w:ascii="宋体" w:eastAsia="宋体" w:hAnsi="宋体" w:hint="eastAsia"/>
        </w:rPr>
      </w:pPr>
    </w:p>
    <w:p w14:paraId="7E17085B" w14:textId="54A87814" w:rsidR="00424732" w:rsidRDefault="00424732" w:rsidP="00424732">
      <w:pPr>
        <w:ind w:firstLine="482"/>
        <w:rPr>
          <w:rFonts w:ascii="宋体" w:eastAsia="宋体" w:hAnsi="宋体" w:hint="eastAsia"/>
          <w:b/>
        </w:rPr>
      </w:pPr>
      <w:r>
        <w:rPr>
          <w:rFonts w:ascii="宋体" w:eastAsia="宋体" w:hAnsi="宋体" w:hint="eastAsia"/>
          <w:b/>
        </w:rPr>
        <w:t>（6）形成"母液预配+在线稀释"的现场施工工艺方案。</w:t>
      </w:r>
    </w:p>
    <w:p w14:paraId="2C905757" w14:textId="77777777" w:rsidR="00424732" w:rsidRDefault="00424732" w:rsidP="00424732">
      <w:pPr>
        <w:ind w:firstLine="480"/>
        <w:rPr>
          <w:rFonts w:ascii="宋体" w:eastAsia="宋体" w:hAnsi="宋体" w:hint="eastAsia"/>
        </w:rPr>
      </w:pPr>
    </w:p>
    <w:p w14:paraId="424AE723" w14:textId="16A51ABF" w:rsidR="00424732" w:rsidRDefault="00424732" w:rsidP="00424732">
      <w:pPr>
        <w:ind w:firstLine="482"/>
        <w:rPr>
          <w:rFonts w:ascii="宋体" w:eastAsia="宋体" w:hAnsi="宋体" w:hint="eastAsia"/>
        </w:rPr>
      </w:pPr>
      <w:r>
        <w:rPr>
          <w:rFonts w:ascii="宋体" w:eastAsia="宋体" w:hAnsi="宋体" w:hint="eastAsia"/>
          <w:b/>
        </w:rPr>
        <w:t>主要创新点：</w:t>
      </w:r>
      <w:r>
        <w:rPr>
          <w:rFonts w:ascii="宋体" w:eastAsia="宋体" w:hAnsi="宋体" w:hint="eastAsia"/>
        </w:rPr>
        <w:t>**</w:t>
      </w:r>
    </w:p>
    <w:p w14:paraId="2CCB887C" w14:textId="77777777" w:rsidR="00424732" w:rsidRDefault="00424732" w:rsidP="00424732">
      <w:pPr>
        <w:ind w:firstLine="480"/>
        <w:rPr>
          <w:rFonts w:ascii="宋体" w:eastAsia="宋体" w:hAnsi="宋体" w:hint="eastAsia"/>
        </w:rPr>
      </w:pPr>
    </w:p>
    <w:p w14:paraId="05B0C4D3" w14:textId="697B8035" w:rsidR="00424732" w:rsidRDefault="00424732" w:rsidP="00424732">
      <w:pPr>
        <w:ind w:firstLine="482"/>
        <w:rPr>
          <w:rFonts w:ascii="宋体" w:eastAsia="宋体" w:hAnsi="宋体" w:hint="eastAsia"/>
          <w:b/>
        </w:rPr>
      </w:pPr>
      <w:r>
        <w:rPr>
          <w:rFonts w:ascii="宋体" w:eastAsia="宋体" w:hAnsi="宋体" w:hint="eastAsia"/>
          <w:b/>
        </w:rPr>
        <w:t>（1）首次将"硅烷偶联剂化学锚固+PEG物理屏蔽"双层改性策略引入压裂裂缝荧光示踪领域，构建了可切换表面化学设计的核壳结构荧光粉；</w:t>
      </w:r>
    </w:p>
    <w:p w14:paraId="09BB8C6D" w14:textId="77777777" w:rsidR="00424732" w:rsidRDefault="00424732" w:rsidP="00424732">
      <w:pPr>
        <w:ind w:firstLine="480"/>
        <w:rPr>
          <w:rFonts w:ascii="宋体" w:eastAsia="宋体" w:hAnsi="宋体" w:hint="eastAsia"/>
        </w:rPr>
      </w:pPr>
    </w:p>
    <w:p w14:paraId="5221A07D" w14:textId="6F16B7F2" w:rsidR="00424732" w:rsidRDefault="00424732" w:rsidP="00424732">
      <w:pPr>
        <w:ind w:firstLine="482"/>
        <w:rPr>
          <w:rFonts w:ascii="宋体" w:eastAsia="宋体" w:hAnsi="宋体" w:hint="eastAsia"/>
          <w:b/>
        </w:rPr>
      </w:pPr>
      <w:r>
        <w:rPr>
          <w:rFonts w:ascii="宋体" w:eastAsia="宋体" w:hAnsi="宋体" w:hint="eastAsia"/>
          <w:b/>
        </w:rPr>
        <w:t>（2）建立了"化学螯合+界面润湿+空间位阻"多层次协同分散模型，解决了高密度微米颗粒在胍胶压裂液中的长期悬浮稳定性问题；</w:t>
      </w:r>
    </w:p>
    <w:p w14:paraId="4F200056" w14:textId="77777777" w:rsidR="00424732" w:rsidRDefault="00424732" w:rsidP="00424732">
      <w:pPr>
        <w:ind w:firstLine="480"/>
        <w:rPr>
          <w:rFonts w:ascii="宋体" w:eastAsia="宋体" w:hAnsi="宋体" w:hint="eastAsia"/>
        </w:rPr>
      </w:pPr>
    </w:p>
    <w:p w14:paraId="07F62504" w14:textId="08F6CA4C" w:rsidR="00424732" w:rsidRDefault="00424732" w:rsidP="00424732">
      <w:pPr>
        <w:ind w:firstLine="482"/>
        <w:rPr>
          <w:rFonts w:ascii="宋体" w:eastAsia="宋体" w:hAnsi="宋体" w:hint="eastAsia"/>
          <w:b/>
        </w:rPr>
      </w:pPr>
      <w:r>
        <w:rPr>
          <w:rFonts w:ascii="宋体" w:eastAsia="宋体" w:hAnsi="宋体" w:hint="eastAsia"/>
          <w:b/>
        </w:rPr>
        <w:t>（3）提出了"分散态→吸附态"功能切换机制，通过破胶诱导PEG外层脱附暴露内层活性官能团，实现荧光粉在裂缝壁面的牢固吸附；</w:t>
      </w:r>
    </w:p>
    <w:p w14:paraId="77BCA2B3" w14:textId="77777777" w:rsidR="00424732" w:rsidRDefault="00424732" w:rsidP="00424732">
      <w:pPr>
        <w:ind w:firstLine="480"/>
        <w:rPr>
          <w:rFonts w:ascii="宋体" w:eastAsia="宋体" w:hAnsi="宋体" w:hint="eastAsia"/>
        </w:rPr>
      </w:pPr>
    </w:p>
    <w:p w14:paraId="02A0AFB5" w14:textId="6981658E" w:rsidR="00424732" w:rsidRDefault="00424732" w:rsidP="00424732">
      <w:pPr>
        <w:ind w:firstLine="482"/>
        <w:rPr>
          <w:rFonts w:ascii="宋体" w:eastAsia="宋体" w:hAnsi="宋体" w:hint="eastAsia"/>
          <w:b/>
        </w:rPr>
      </w:pPr>
      <w:r>
        <w:rPr>
          <w:rFonts w:ascii="宋体" w:eastAsia="宋体" w:hAnsi="宋体" w:hint="eastAsia"/>
          <w:b/>
        </w:rPr>
        <w:t>（4）构建了荧光信号强度、覆盖率与裂缝几何尺寸之间的量化判读模型，为取心直接评价裂缝延伸形态提供了新方法。</w:t>
      </w:r>
    </w:p>
    <w:p w14:paraId="4172BE2F" w14:textId="77777777" w:rsidR="00424732" w:rsidRDefault="00424732" w:rsidP="00424732">
      <w:pPr>
        <w:ind w:firstLine="480"/>
        <w:rPr>
          <w:rFonts w:ascii="宋体" w:eastAsia="宋体" w:hAnsi="宋体" w:hint="eastAsia"/>
        </w:rPr>
      </w:pPr>
    </w:p>
    <w:p w14:paraId="42C3EBFB" w14:textId="77777777" w:rsidR="00424732" w:rsidRDefault="00424732" w:rsidP="00424732">
      <w:pPr>
        <w:ind w:firstLine="480"/>
        <w:rPr>
          <w:rFonts w:ascii="宋体" w:eastAsia="宋体" w:hAnsi="宋体" w:hint="eastAsia"/>
        </w:rPr>
      </w:pPr>
    </w:p>
    <w:p w14:paraId="5C5478E6" w14:textId="77777777" w:rsidR="00424732" w:rsidRDefault="00424732" w:rsidP="00424732">
      <w:pPr>
        <w:ind w:firstLine="480"/>
        <w:rPr>
          <w:rFonts w:ascii="宋体" w:eastAsia="宋体" w:hAnsi="宋体" w:hint="eastAsia"/>
        </w:rPr>
      </w:pPr>
    </w:p>
    <w:p w14:paraId="64D212A3" w14:textId="6A21E07D" w:rsidR="00424732" w:rsidRDefault="00424732" w:rsidP="00424732">
      <w:pPr>
        <w:ind w:firstLine="723"/>
        <w:rPr>
          <w:rFonts w:ascii="黑体" w:eastAsia="黑体" w:hAnsi="黑体" w:hint="eastAsia"/>
          <w:b/>
          <w:sz w:val="36"/>
        </w:rPr>
      </w:pPr>
      <w:r>
        <w:rPr>
          <w:rFonts w:ascii="黑体" w:eastAsia="黑体" w:hAnsi="黑体" w:hint="eastAsia"/>
          <w:b/>
          <w:sz w:val="36"/>
        </w:rPr>
        <w:t>参考文献</w:t>
      </w:r>
    </w:p>
    <w:p w14:paraId="1DD43C58" w14:textId="77777777" w:rsidR="00424732" w:rsidRDefault="00424732" w:rsidP="00424732">
      <w:pPr>
        <w:ind w:firstLine="480"/>
        <w:rPr>
          <w:rFonts w:ascii="宋体" w:eastAsia="宋体" w:hAnsi="宋体" w:hint="eastAsia"/>
        </w:rPr>
      </w:pPr>
    </w:p>
    <w:p w14:paraId="2F39EB24" w14:textId="5BFE9DC4" w:rsidR="00424732" w:rsidRDefault="00424732" w:rsidP="00424732">
      <w:pPr>
        <w:ind w:firstLine="420"/>
        <w:rPr>
          <w:rFonts w:ascii="宋体" w:eastAsia="宋体" w:hAnsi="宋体" w:hint="eastAsia"/>
          <w:sz w:val="21"/>
        </w:rPr>
      </w:pPr>
      <w:r>
        <w:rPr>
          <w:rFonts w:ascii="宋体" w:eastAsia="宋体" w:hAnsi="宋体" w:hint="eastAsia"/>
          <w:sz w:val="21"/>
        </w:rPr>
        <w:t>[1] Montgomery, C.T. &amp; Smith, M.B. (2010). Hydraulic Fracturing: History of an Enduring Technology. *Journal of Petroleum Technology*, 62(12): 26-40.</w:t>
      </w:r>
    </w:p>
    <w:p w14:paraId="181D359B" w14:textId="77777777" w:rsidR="00424732" w:rsidRDefault="00424732" w:rsidP="00424732">
      <w:pPr>
        <w:ind w:firstLine="480"/>
        <w:rPr>
          <w:rFonts w:ascii="宋体" w:eastAsia="宋体" w:hAnsi="宋体" w:hint="eastAsia"/>
        </w:rPr>
      </w:pPr>
    </w:p>
    <w:p w14:paraId="5A5B19D0" w14:textId="73FA35BF" w:rsidR="00424732" w:rsidRDefault="00424732" w:rsidP="00424732">
      <w:pPr>
        <w:ind w:firstLine="420"/>
        <w:rPr>
          <w:rFonts w:ascii="宋体" w:eastAsia="宋体" w:hAnsi="宋体" w:hint="eastAsia"/>
          <w:sz w:val="21"/>
        </w:rPr>
      </w:pPr>
      <w:r>
        <w:rPr>
          <w:rFonts w:ascii="宋体" w:eastAsia="宋体" w:hAnsi="宋体" w:hint="eastAsia"/>
          <w:sz w:val="21"/>
        </w:rPr>
        <w:t>[2] Economides, M.J. &amp; Nolte, K.G. (Eds.) (2000). *Reservoir Stimulation* (3rd ed.). Chichester, UK: John Wiley &amp; Sons.</w:t>
      </w:r>
    </w:p>
    <w:p w14:paraId="7AEF4CE9" w14:textId="77777777" w:rsidR="00424732" w:rsidRDefault="00424732" w:rsidP="00424732">
      <w:pPr>
        <w:ind w:firstLine="480"/>
        <w:rPr>
          <w:rFonts w:ascii="宋体" w:eastAsia="宋体" w:hAnsi="宋体" w:hint="eastAsia"/>
        </w:rPr>
      </w:pPr>
    </w:p>
    <w:p w14:paraId="7A1CC982" w14:textId="3D6B7F28" w:rsidR="00424732" w:rsidRDefault="00424732" w:rsidP="00424732">
      <w:pPr>
        <w:ind w:firstLine="420"/>
        <w:rPr>
          <w:rFonts w:ascii="宋体" w:eastAsia="宋体" w:hAnsi="宋体" w:hint="eastAsia"/>
          <w:sz w:val="21"/>
        </w:rPr>
      </w:pPr>
      <w:r>
        <w:rPr>
          <w:rFonts w:ascii="宋体" w:eastAsia="宋体" w:hAnsi="宋体" w:hint="eastAsia"/>
          <w:sz w:val="21"/>
        </w:rPr>
        <w:t>[3] Maxwell, S.C. (2014). *Microseismic Imaging of Hydraulic Fracturing: Improved Engineering of Unconventional Shale Reservoirs*. SEG Distinguished Instructor Series No. 17. Tulsa: Society of Exploration Geophysicists.</w:t>
      </w:r>
    </w:p>
    <w:p w14:paraId="127850D8" w14:textId="77777777" w:rsidR="00424732" w:rsidRDefault="00424732" w:rsidP="00424732">
      <w:pPr>
        <w:ind w:firstLine="480"/>
        <w:rPr>
          <w:rFonts w:ascii="宋体" w:eastAsia="宋体" w:hAnsi="宋体" w:hint="eastAsia"/>
        </w:rPr>
      </w:pPr>
    </w:p>
    <w:p w14:paraId="306EBDA3" w14:textId="236DE02C" w:rsidR="00424732" w:rsidRDefault="00424732" w:rsidP="00424732">
      <w:pPr>
        <w:ind w:firstLine="420"/>
        <w:rPr>
          <w:rFonts w:ascii="宋体" w:eastAsia="宋体" w:hAnsi="宋体" w:hint="eastAsia"/>
          <w:sz w:val="21"/>
        </w:rPr>
      </w:pPr>
      <w:r>
        <w:rPr>
          <w:rFonts w:ascii="宋体" w:eastAsia="宋体" w:hAnsi="宋体" w:hint="eastAsia"/>
          <w:sz w:val="21"/>
        </w:rPr>
        <w:t>[4] de Melo, R.C.B. &amp; Carballo Cabrera, A.C. (2025). Advances in Hydraulic Fracturing Mapping: Integrating Multi-Scale Technologies for Optimal Reservoir Performance. SPE-228867-MS. Presented at ADIPEC, Abu Dhabi, November 2025.</w:t>
      </w:r>
    </w:p>
    <w:p w14:paraId="5F82AD0B" w14:textId="77777777" w:rsidR="00424732" w:rsidRDefault="00424732" w:rsidP="00424732">
      <w:pPr>
        <w:ind w:firstLine="480"/>
        <w:rPr>
          <w:rFonts w:ascii="宋体" w:eastAsia="宋体" w:hAnsi="宋体" w:hint="eastAsia"/>
        </w:rPr>
      </w:pPr>
    </w:p>
    <w:p w14:paraId="243891E7" w14:textId="294211CD" w:rsidR="00424732" w:rsidRDefault="00424732" w:rsidP="00424732">
      <w:pPr>
        <w:ind w:firstLine="420"/>
        <w:rPr>
          <w:rFonts w:ascii="宋体" w:eastAsia="宋体" w:hAnsi="宋体" w:hint="eastAsia"/>
          <w:sz w:val="21"/>
        </w:rPr>
      </w:pPr>
      <w:r>
        <w:rPr>
          <w:rFonts w:ascii="宋体" w:eastAsia="宋体" w:hAnsi="宋体" w:hint="eastAsia"/>
          <w:sz w:val="21"/>
        </w:rPr>
        <w:t>[5] Duncan, P.M. &amp; Eisner, L. (2010). Reservoir characterization using surface microseismic monitoring. *Geophysics*, 75(5): 75A139-75A146.</w:t>
      </w:r>
    </w:p>
    <w:p w14:paraId="4B0DFCDB" w14:textId="77777777" w:rsidR="00424732" w:rsidRDefault="00424732" w:rsidP="00424732">
      <w:pPr>
        <w:ind w:firstLine="480"/>
        <w:rPr>
          <w:rFonts w:ascii="宋体" w:eastAsia="宋体" w:hAnsi="宋体" w:hint="eastAsia"/>
        </w:rPr>
      </w:pPr>
    </w:p>
    <w:p w14:paraId="086986BA" w14:textId="5362556D" w:rsidR="00424732" w:rsidRDefault="00424732" w:rsidP="00424732">
      <w:pPr>
        <w:ind w:firstLine="420"/>
        <w:rPr>
          <w:rFonts w:ascii="宋体" w:eastAsia="宋体" w:hAnsi="宋体" w:hint="eastAsia"/>
          <w:sz w:val="21"/>
        </w:rPr>
      </w:pPr>
      <w:r>
        <w:rPr>
          <w:rFonts w:ascii="宋体" w:eastAsia="宋体" w:hAnsi="宋体" w:hint="eastAsia"/>
          <w:sz w:val="21"/>
        </w:rPr>
        <w:t>[6] Salman, A., Kurtoglu, B., &amp; Kazemi, H. (2014). Analysis of Chemical Tracer Flowback in Unconventional Reservoirs. SPE-171656-MS. Presented at SPE/CSUR Unconventional Resources Conference, Calgary, September 2014.</w:t>
      </w:r>
    </w:p>
    <w:p w14:paraId="46C3FD8E" w14:textId="77777777" w:rsidR="00424732" w:rsidRDefault="00424732" w:rsidP="00424732">
      <w:pPr>
        <w:ind w:firstLine="480"/>
        <w:rPr>
          <w:rFonts w:ascii="宋体" w:eastAsia="宋体" w:hAnsi="宋体" w:hint="eastAsia"/>
        </w:rPr>
      </w:pPr>
    </w:p>
    <w:p w14:paraId="0E1EF1BC" w14:textId="542C7D8E" w:rsidR="00424732" w:rsidRDefault="00424732" w:rsidP="00424732">
      <w:pPr>
        <w:ind w:firstLine="420"/>
        <w:rPr>
          <w:rFonts w:ascii="宋体" w:eastAsia="宋体" w:hAnsi="宋体" w:hint="eastAsia"/>
          <w:sz w:val="21"/>
        </w:rPr>
      </w:pPr>
      <w:r>
        <w:rPr>
          <w:rFonts w:ascii="宋体" w:eastAsia="宋体" w:hAnsi="宋体" w:hint="eastAsia"/>
          <w:sz w:val="21"/>
        </w:rPr>
        <w:t>[7] Arshad, W., Brohi, I., &amp; Pooniwala, S. (2024). Changing The Status Quo: First Application of Utilizing Novel Tracer Technology for Monitoring Hydraulic Fracture Stage Contribution. IPTC-23916-MS. Presented at IPTC, Dhahran, February 2024.</w:t>
      </w:r>
    </w:p>
    <w:p w14:paraId="3C5AC9D8" w14:textId="77777777" w:rsidR="00424732" w:rsidRDefault="00424732" w:rsidP="00424732">
      <w:pPr>
        <w:ind w:firstLine="480"/>
        <w:rPr>
          <w:rFonts w:ascii="宋体" w:eastAsia="宋体" w:hAnsi="宋体" w:hint="eastAsia"/>
        </w:rPr>
      </w:pPr>
    </w:p>
    <w:p w14:paraId="10D93901" w14:textId="786C9B5A" w:rsidR="00424732" w:rsidRDefault="00424732" w:rsidP="00424732">
      <w:pPr>
        <w:ind w:firstLine="420"/>
        <w:rPr>
          <w:rFonts w:ascii="宋体" w:eastAsia="宋体" w:hAnsi="宋体" w:hint="eastAsia"/>
          <w:sz w:val="21"/>
        </w:rPr>
      </w:pPr>
      <w:r>
        <w:rPr>
          <w:rFonts w:ascii="宋体" w:eastAsia="宋体" w:hAnsi="宋体" w:hint="eastAsia"/>
          <w:sz w:val="21"/>
        </w:rPr>
        <w:t>[8] Molenaar, M.M., Hill, D.J., Webster, P., Fidan, E., &amp; Birch, B. (2012). First Downhole Application of Distributed Acoustic Sensing for Hydraulic-Fracturing Monitoring and Diagnostics. *SPE Drilling &amp; Completion*, 27(01): 32-38.</w:t>
      </w:r>
    </w:p>
    <w:p w14:paraId="414FFAB8" w14:textId="77777777" w:rsidR="00424732" w:rsidRDefault="00424732" w:rsidP="00424732">
      <w:pPr>
        <w:ind w:firstLine="480"/>
        <w:rPr>
          <w:rFonts w:ascii="宋体" w:eastAsia="宋体" w:hAnsi="宋体" w:hint="eastAsia"/>
        </w:rPr>
      </w:pPr>
    </w:p>
    <w:p w14:paraId="5440F9F7" w14:textId="5BC26B98" w:rsidR="00424732" w:rsidRDefault="00424732" w:rsidP="00424732">
      <w:pPr>
        <w:ind w:firstLine="420"/>
        <w:rPr>
          <w:rFonts w:ascii="宋体" w:eastAsia="宋体" w:hAnsi="宋体" w:hint="eastAsia"/>
          <w:sz w:val="21"/>
        </w:rPr>
      </w:pPr>
      <w:r>
        <w:rPr>
          <w:rFonts w:ascii="宋体" w:eastAsia="宋体" w:hAnsi="宋体" w:hint="eastAsia"/>
          <w:sz w:val="21"/>
        </w:rPr>
        <w:t>[9] Jin, G. &amp; Roy, B. (2017). Hydraulic-fracture geometry characterization using low-frequency DAS signal. *The Leading Edge*, 36(12): 975-980.</w:t>
      </w:r>
    </w:p>
    <w:p w14:paraId="2D2952FD" w14:textId="77777777" w:rsidR="00424732" w:rsidRDefault="00424732" w:rsidP="00424732">
      <w:pPr>
        <w:ind w:firstLine="480"/>
        <w:rPr>
          <w:rFonts w:ascii="宋体" w:eastAsia="宋体" w:hAnsi="宋体" w:hint="eastAsia"/>
        </w:rPr>
      </w:pPr>
    </w:p>
    <w:p w14:paraId="2A4B7324" w14:textId="2B8CE8EC" w:rsidR="00424732" w:rsidRDefault="00424732" w:rsidP="00424732">
      <w:pPr>
        <w:ind w:firstLine="420"/>
        <w:rPr>
          <w:rFonts w:ascii="宋体" w:eastAsia="宋体" w:hAnsi="宋体" w:hint="eastAsia"/>
          <w:sz w:val="21"/>
        </w:rPr>
      </w:pPr>
      <w:r>
        <w:rPr>
          <w:rFonts w:ascii="宋体" w:eastAsia="宋体" w:hAnsi="宋体" w:hint="eastAsia"/>
          <w:sz w:val="21"/>
        </w:rPr>
        <w:t>[10] Rasool, M.H., Ridha, S., Latif, A.H.A., &amp; Krishna, S. (2025). Industrial Adoption of Distributed Acoustic Sensing (DAS) in Petroleum Engineering and Geosciences: Real-World Evidence. *Journal of Petroleum and Chemical Engineering*, 1(1).</w:t>
      </w:r>
    </w:p>
    <w:p w14:paraId="71CF9DB2" w14:textId="77777777" w:rsidR="00424732" w:rsidRDefault="00424732" w:rsidP="00424732">
      <w:pPr>
        <w:ind w:firstLine="480"/>
        <w:rPr>
          <w:rFonts w:ascii="宋体" w:eastAsia="宋体" w:hAnsi="宋体" w:hint="eastAsia"/>
        </w:rPr>
      </w:pPr>
    </w:p>
    <w:p w14:paraId="21921CD4" w14:textId="7D68BEA3" w:rsidR="00424732" w:rsidRDefault="00424732" w:rsidP="00424732">
      <w:pPr>
        <w:ind w:firstLine="420"/>
        <w:rPr>
          <w:rFonts w:ascii="宋体" w:eastAsia="宋体" w:hAnsi="宋体" w:hint="eastAsia"/>
          <w:sz w:val="21"/>
        </w:rPr>
      </w:pPr>
      <w:r>
        <w:rPr>
          <w:rFonts w:ascii="宋体" w:eastAsia="宋体" w:hAnsi="宋体" w:hint="eastAsia"/>
          <w:sz w:val="21"/>
        </w:rPr>
        <w:t>[11] Takeuchi, T., Fujimoto, A., Inoue, R., Ishida, T., Danjo, T., Yokoyama, T., &amp; Fujii, H. (2025). Outcrop-Scale Hydraulic Fracturing Experiments with a Coagulable Resin and Data Analysis Results. *Geosciences*, 15(3): 103.</w:t>
      </w:r>
    </w:p>
    <w:p w14:paraId="146F15B9" w14:textId="77777777" w:rsidR="00424732" w:rsidRDefault="00424732" w:rsidP="00424732">
      <w:pPr>
        <w:ind w:firstLine="480"/>
        <w:rPr>
          <w:rFonts w:ascii="宋体" w:eastAsia="宋体" w:hAnsi="宋体" w:hint="eastAsia"/>
        </w:rPr>
      </w:pPr>
    </w:p>
    <w:p w14:paraId="333D513C" w14:textId="52624C34" w:rsidR="00424732" w:rsidRDefault="00424732" w:rsidP="00424732">
      <w:pPr>
        <w:ind w:firstLine="420"/>
        <w:rPr>
          <w:rFonts w:ascii="宋体" w:eastAsia="宋体" w:hAnsi="宋体" w:hint="eastAsia"/>
          <w:sz w:val="21"/>
        </w:rPr>
      </w:pPr>
      <w:r>
        <w:rPr>
          <w:rFonts w:ascii="宋体" w:eastAsia="宋体" w:hAnsi="宋体" w:hint="eastAsia"/>
          <w:sz w:val="21"/>
        </w:rPr>
        <w:t>[12] Chen, Y., Suzuki, T., Bennour, Z., Nagaya, Y., Ishida, T., Chen, Q., &amp; Akai, T. (2014). Visualization of Fractures Induced by Hydraulic Fracturing. ISRM-ARMS8-2014-192. Presented at 8th Asian Rock Mechanics Symposium, Sapporo, October 2014.</w:t>
      </w:r>
    </w:p>
    <w:p w14:paraId="780D8ECF" w14:textId="77777777" w:rsidR="00424732" w:rsidRDefault="00424732" w:rsidP="00424732">
      <w:pPr>
        <w:ind w:firstLine="480"/>
        <w:rPr>
          <w:rFonts w:ascii="宋体" w:eastAsia="宋体" w:hAnsi="宋体" w:hint="eastAsia"/>
        </w:rPr>
      </w:pPr>
    </w:p>
    <w:p w14:paraId="3780E51E" w14:textId="195565A8" w:rsidR="00424732" w:rsidRDefault="00424732" w:rsidP="00424732">
      <w:pPr>
        <w:ind w:firstLine="420"/>
        <w:rPr>
          <w:rFonts w:ascii="宋体" w:eastAsia="宋体" w:hAnsi="宋体" w:hint="eastAsia"/>
          <w:sz w:val="21"/>
        </w:rPr>
      </w:pPr>
      <w:r>
        <w:rPr>
          <w:rFonts w:ascii="宋体" w:eastAsia="宋体" w:hAnsi="宋体" w:hint="eastAsia"/>
          <w:sz w:val="21"/>
        </w:rPr>
        <w:t>[13] Guryanov, A., Gazizov, A., Medvedev, O., Ovchinnikov, K., Buzin, P., &amp; Katashov, A. (2019). Application of Fluorescent Markers to Determine the Formation Fluid Inflow After MFrac. SPE-196776-MS. Presented at SPE Russian Petroleum Technology Conference, Moscow, October 2019.</w:t>
      </w:r>
    </w:p>
    <w:p w14:paraId="64B3F7E2" w14:textId="77777777" w:rsidR="00424732" w:rsidRDefault="00424732" w:rsidP="00424732">
      <w:pPr>
        <w:ind w:firstLine="480"/>
        <w:rPr>
          <w:rFonts w:ascii="宋体" w:eastAsia="宋体" w:hAnsi="宋体" w:hint="eastAsia"/>
        </w:rPr>
      </w:pPr>
    </w:p>
    <w:p w14:paraId="2639E857" w14:textId="236A2EF4" w:rsidR="00424732" w:rsidRDefault="00424732" w:rsidP="00424732">
      <w:pPr>
        <w:ind w:firstLine="420"/>
        <w:rPr>
          <w:rFonts w:ascii="宋体" w:eastAsia="宋体" w:hAnsi="宋体" w:hint="eastAsia"/>
          <w:sz w:val="21"/>
        </w:rPr>
      </w:pPr>
      <w:r>
        <w:rPr>
          <w:rFonts w:ascii="宋体" w:eastAsia="宋体" w:hAnsi="宋体" w:hint="eastAsia"/>
          <w:sz w:val="21"/>
        </w:rPr>
        <w:t>[14] Ugueto, G.A., Huckabee, P.T., Molenaar, M.M., Wyker, B., &amp; Somanchi, K. (2016). Perforation Cluster Efficiency of Cemented Plug and Perf Limited Entry Completions; Insights from Fiber Optics Diagnostics. SPE-179124-MS. Presented at SPE Hydraulic Fracturing Technology Conference, The Woodlands, February 2016.</w:t>
      </w:r>
    </w:p>
    <w:p w14:paraId="55C124C0" w14:textId="77777777" w:rsidR="00424732" w:rsidRDefault="00424732" w:rsidP="00424732">
      <w:pPr>
        <w:ind w:firstLine="480"/>
        <w:rPr>
          <w:rFonts w:ascii="宋体" w:eastAsia="宋体" w:hAnsi="宋体" w:hint="eastAsia"/>
        </w:rPr>
      </w:pPr>
    </w:p>
    <w:p w14:paraId="72C44F1B" w14:textId="701BB5B8" w:rsidR="00424732" w:rsidRDefault="00424732" w:rsidP="00424732">
      <w:pPr>
        <w:ind w:firstLine="420"/>
        <w:rPr>
          <w:rFonts w:ascii="宋体" w:eastAsia="宋体" w:hAnsi="宋体" w:hint="eastAsia"/>
          <w:sz w:val="21"/>
        </w:rPr>
      </w:pPr>
      <w:r>
        <w:rPr>
          <w:rFonts w:ascii="宋体" w:eastAsia="宋体" w:hAnsi="宋体" w:hint="eastAsia"/>
          <w:sz w:val="21"/>
        </w:rPr>
        <w:t>[15] Eisner, L., Williams-Stroud, S., Hill, A., Duncan, P., &amp; Thornton, M. (2010). Beyond the dots in the box: Microseismicity-constrained fracture models for reservoir simulation. *The Leading Edge*, 29(3): 326-333.</w:t>
      </w:r>
    </w:p>
    <w:p w14:paraId="7FC752BB" w14:textId="77777777" w:rsidR="00424732" w:rsidRDefault="00424732" w:rsidP="00424732">
      <w:pPr>
        <w:ind w:firstLine="480"/>
        <w:rPr>
          <w:rFonts w:ascii="宋体" w:eastAsia="宋体" w:hAnsi="宋体" w:hint="eastAsia"/>
        </w:rPr>
      </w:pPr>
    </w:p>
    <w:p w14:paraId="3662BD6E" w14:textId="050A07B8" w:rsidR="00424732" w:rsidRDefault="00424732" w:rsidP="00424732">
      <w:pPr>
        <w:ind w:firstLine="420"/>
        <w:rPr>
          <w:rFonts w:ascii="宋体" w:eastAsia="宋体" w:hAnsi="宋体"/>
          <w:sz w:val="21"/>
        </w:rPr>
      </w:pPr>
      <w:r>
        <w:rPr>
          <w:rFonts w:ascii="宋体" w:eastAsia="宋体" w:hAnsi="宋体"/>
          <w:sz w:val="21"/>
        </w:rPr>
        <w:t>[16] Matsuzawa, T., Aoki, Y., Takeuchi, N., &amp; Murayama, Y. (1996). A New Long Phosphorescent Phosphor with High Brightness, SrAl</w:t>
      </w:r>
      <w:r>
        <w:rPr>
          <w:rFonts w:ascii="Cambria Math" w:eastAsia="宋体" w:hAnsi="Cambria Math" w:cs="Cambria Math"/>
          <w:sz w:val="21"/>
        </w:rPr>
        <w:t>₂</w:t>
      </w:r>
      <w:r>
        <w:rPr>
          <w:rFonts w:ascii="宋体" w:eastAsia="宋体" w:hAnsi="宋体"/>
          <w:sz w:val="21"/>
        </w:rPr>
        <w:t>O</w:t>
      </w:r>
      <w:r>
        <w:rPr>
          <w:rFonts w:ascii="Cambria Math" w:eastAsia="宋体" w:hAnsi="Cambria Math" w:cs="Cambria Math"/>
          <w:sz w:val="21"/>
        </w:rPr>
        <w:t>₄</w:t>
      </w:r>
      <w:r>
        <w:rPr>
          <w:rFonts w:ascii="宋体" w:eastAsia="宋体" w:hAnsi="宋体"/>
          <w:sz w:val="21"/>
        </w:rPr>
        <w:t>:Eu</w:t>
      </w:r>
      <w:r>
        <w:rPr>
          <w:rFonts w:ascii="宋体" w:eastAsia="宋体" w:hAnsi="宋体" w:cs="宋体" w:hint="eastAsia"/>
          <w:sz w:val="21"/>
        </w:rPr>
        <w:t>²</w:t>
      </w:r>
      <w:r>
        <w:rPr>
          <w:rFonts w:ascii="Cambria Math" w:eastAsia="宋体" w:hAnsi="Cambria Math" w:cs="Cambria Math"/>
          <w:sz w:val="21"/>
        </w:rPr>
        <w:t>⁺</w:t>
      </w:r>
      <w:r>
        <w:rPr>
          <w:rFonts w:ascii="宋体" w:eastAsia="宋体" w:hAnsi="宋体"/>
          <w:sz w:val="21"/>
        </w:rPr>
        <w:t>,Dy</w:t>
      </w:r>
      <w:r>
        <w:rPr>
          <w:rFonts w:ascii="宋体" w:eastAsia="宋体" w:hAnsi="宋体" w:cs="宋体" w:hint="eastAsia"/>
          <w:sz w:val="21"/>
        </w:rPr>
        <w:t>³</w:t>
      </w:r>
      <w:r>
        <w:rPr>
          <w:rFonts w:ascii="Cambria Math" w:eastAsia="宋体" w:hAnsi="Cambria Math" w:cs="Cambria Math"/>
          <w:sz w:val="21"/>
        </w:rPr>
        <w:t>⁺</w:t>
      </w:r>
      <w:r>
        <w:rPr>
          <w:rFonts w:ascii="宋体" w:eastAsia="宋体" w:hAnsi="宋体"/>
          <w:sz w:val="21"/>
        </w:rPr>
        <w:t>. *Journal of the Electrochemical Society*, 143(8): 2670-2673.</w:t>
      </w:r>
    </w:p>
    <w:p w14:paraId="0A792DD3" w14:textId="77777777" w:rsidR="00424732" w:rsidRDefault="00424732" w:rsidP="00424732">
      <w:pPr>
        <w:ind w:firstLine="480"/>
        <w:rPr>
          <w:rFonts w:ascii="宋体" w:eastAsia="宋体" w:hAnsi="宋体" w:hint="eastAsia"/>
        </w:rPr>
      </w:pPr>
    </w:p>
    <w:p w14:paraId="4FE5EBF9" w14:textId="429A7EA8" w:rsidR="00424732" w:rsidRDefault="00424732" w:rsidP="00424732">
      <w:pPr>
        <w:ind w:firstLine="420"/>
        <w:rPr>
          <w:rFonts w:ascii="宋体" w:eastAsia="宋体" w:hAnsi="宋体"/>
          <w:sz w:val="21"/>
        </w:rPr>
      </w:pPr>
      <w:r>
        <w:rPr>
          <w:rFonts w:ascii="宋体" w:eastAsia="宋体" w:hAnsi="宋体"/>
          <w:sz w:val="21"/>
        </w:rPr>
        <w:t>[17] Van den Eeckhout, K., Smet, P.F., &amp; Poelman, D. (2010). Persistent Luminescence in Eu²</w:t>
      </w:r>
      <w:r>
        <w:rPr>
          <w:rFonts w:ascii="Cambria Math" w:eastAsia="宋体" w:hAnsi="Cambria Math" w:cs="Cambria Math"/>
          <w:sz w:val="21"/>
        </w:rPr>
        <w:t>⁺</w:t>
      </w:r>
      <w:r>
        <w:rPr>
          <w:rFonts w:ascii="宋体" w:eastAsia="宋体" w:hAnsi="宋体"/>
          <w:sz w:val="21"/>
        </w:rPr>
        <w:t>-Doped Compounds: A Review. *Materials*, 3(4): 2536-2566.</w:t>
      </w:r>
    </w:p>
    <w:p w14:paraId="792CB912" w14:textId="77777777" w:rsidR="00424732" w:rsidRDefault="00424732" w:rsidP="00424732">
      <w:pPr>
        <w:ind w:firstLine="480"/>
        <w:rPr>
          <w:rFonts w:ascii="宋体" w:eastAsia="宋体" w:hAnsi="宋体" w:hint="eastAsia"/>
        </w:rPr>
      </w:pPr>
    </w:p>
    <w:p w14:paraId="7004837F" w14:textId="78358363" w:rsidR="00424732" w:rsidRDefault="00424732" w:rsidP="00424732">
      <w:pPr>
        <w:ind w:firstLine="420"/>
        <w:rPr>
          <w:rFonts w:ascii="宋体" w:eastAsia="宋体" w:hAnsi="宋体" w:hint="eastAsia"/>
          <w:sz w:val="21"/>
        </w:rPr>
      </w:pPr>
      <w:r>
        <w:rPr>
          <w:rFonts w:ascii="宋体" w:eastAsia="宋体" w:hAnsi="宋体" w:hint="eastAsia"/>
          <w:sz w:val="21"/>
        </w:rPr>
        <w:t>[18] Zhu, Y., et al. (2020). Emission increase in persistent inorganic phosphor improving absorption property by surface chemical modification. *Journal of Luminescence*, 217: 116772.</w:t>
      </w:r>
    </w:p>
    <w:p w14:paraId="36E859C8" w14:textId="77777777" w:rsidR="00424732" w:rsidRDefault="00424732" w:rsidP="00424732">
      <w:pPr>
        <w:ind w:firstLine="480"/>
        <w:rPr>
          <w:rFonts w:ascii="宋体" w:eastAsia="宋体" w:hAnsi="宋体" w:hint="eastAsia"/>
        </w:rPr>
      </w:pPr>
    </w:p>
    <w:p w14:paraId="621CA362" w14:textId="7FB4DF62" w:rsidR="00424732" w:rsidRDefault="00424732" w:rsidP="00424732">
      <w:pPr>
        <w:ind w:firstLine="420"/>
        <w:rPr>
          <w:rFonts w:ascii="宋体" w:eastAsia="宋体" w:hAnsi="宋体" w:hint="eastAsia"/>
          <w:sz w:val="21"/>
        </w:rPr>
      </w:pPr>
      <w:r>
        <w:rPr>
          <w:rFonts w:ascii="宋体" w:eastAsia="宋体" w:hAnsi="宋体" w:hint="eastAsia"/>
          <w:sz w:val="21"/>
        </w:rPr>
        <w:t>[19] 吕兴栋等. (2005). 碱土铝酸盐长余辉发光材料的有机包覆及其表征. *应用化学*, 22(6): 638-642.</w:t>
      </w:r>
    </w:p>
    <w:p w14:paraId="3DBAE784" w14:textId="77777777" w:rsidR="00424732" w:rsidRDefault="00424732" w:rsidP="00424732">
      <w:pPr>
        <w:ind w:firstLine="480"/>
        <w:rPr>
          <w:rFonts w:ascii="宋体" w:eastAsia="宋体" w:hAnsi="宋体" w:hint="eastAsia"/>
        </w:rPr>
      </w:pPr>
    </w:p>
    <w:p w14:paraId="1AB4BF3D" w14:textId="23195A2F" w:rsidR="00424732" w:rsidRDefault="00424732" w:rsidP="00424732">
      <w:pPr>
        <w:ind w:firstLine="420"/>
        <w:rPr>
          <w:rFonts w:ascii="宋体" w:eastAsia="宋体" w:hAnsi="宋体"/>
          <w:sz w:val="21"/>
        </w:rPr>
      </w:pPr>
      <w:r>
        <w:rPr>
          <w:rFonts w:ascii="宋体" w:eastAsia="宋体" w:hAnsi="宋体"/>
          <w:sz w:val="21"/>
        </w:rPr>
        <w:t>[20] Van den Eeckhout, K., Poelman, D., &amp; Smet, P.F. (2013). Persistent Luminescence in Non-Eu²</w:t>
      </w:r>
      <w:r>
        <w:rPr>
          <w:rFonts w:ascii="Cambria Math" w:eastAsia="宋体" w:hAnsi="Cambria Math" w:cs="Cambria Math"/>
          <w:sz w:val="21"/>
        </w:rPr>
        <w:t>⁺</w:t>
      </w:r>
      <w:r>
        <w:rPr>
          <w:rFonts w:ascii="宋体" w:eastAsia="宋体" w:hAnsi="宋体"/>
          <w:sz w:val="21"/>
        </w:rPr>
        <w:t>-Doped Compounds: A Review. *Materials*, 6(7): 2789-2818.</w:t>
      </w:r>
    </w:p>
    <w:p w14:paraId="4D5711D3" w14:textId="77777777" w:rsidR="00424732" w:rsidRDefault="00424732" w:rsidP="00424732">
      <w:pPr>
        <w:ind w:firstLine="480"/>
        <w:rPr>
          <w:rFonts w:ascii="宋体" w:eastAsia="宋体" w:hAnsi="宋体" w:hint="eastAsia"/>
        </w:rPr>
      </w:pPr>
    </w:p>
    <w:p w14:paraId="42E6F11F" w14:textId="30BCF985" w:rsidR="00424732" w:rsidRDefault="00424732" w:rsidP="00424732">
      <w:pPr>
        <w:ind w:firstLine="420"/>
        <w:rPr>
          <w:rFonts w:ascii="宋体" w:eastAsia="宋体" w:hAnsi="宋体"/>
          <w:sz w:val="21"/>
        </w:rPr>
      </w:pPr>
      <w:r>
        <w:rPr>
          <w:rFonts w:ascii="宋体" w:eastAsia="宋体" w:hAnsi="宋体"/>
          <w:sz w:val="21"/>
        </w:rPr>
        <w:t>[21] Lee, J.H., et al. (2017). Enhanced moisture stability of SrAl</w:t>
      </w:r>
      <w:r>
        <w:rPr>
          <w:rFonts w:ascii="Cambria Math" w:eastAsia="宋体" w:hAnsi="Cambria Math" w:cs="Cambria Math"/>
          <w:sz w:val="21"/>
        </w:rPr>
        <w:t>₂</w:t>
      </w:r>
      <w:r>
        <w:rPr>
          <w:rFonts w:ascii="宋体" w:eastAsia="宋体" w:hAnsi="宋体"/>
          <w:sz w:val="21"/>
        </w:rPr>
        <w:t>O</w:t>
      </w:r>
      <w:r>
        <w:rPr>
          <w:rFonts w:ascii="Cambria Math" w:eastAsia="宋体" w:hAnsi="Cambria Math" w:cs="Cambria Math"/>
          <w:sz w:val="21"/>
        </w:rPr>
        <w:t>₄</w:t>
      </w:r>
      <w:r>
        <w:rPr>
          <w:rFonts w:ascii="宋体" w:eastAsia="宋体" w:hAnsi="宋体"/>
          <w:sz w:val="21"/>
        </w:rPr>
        <w:t>:Eu</w:t>
      </w:r>
      <w:r>
        <w:rPr>
          <w:rFonts w:ascii="宋体" w:eastAsia="宋体" w:hAnsi="宋体" w:cs="宋体" w:hint="eastAsia"/>
          <w:sz w:val="21"/>
        </w:rPr>
        <w:t>²</w:t>
      </w:r>
      <w:r>
        <w:rPr>
          <w:rFonts w:ascii="Cambria Math" w:eastAsia="宋体" w:hAnsi="Cambria Math" w:cs="Cambria Math"/>
          <w:sz w:val="21"/>
        </w:rPr>
        <w:t>⁺</w:t>
      </w:r>
      <w:r>
        <w:rPr>
          <w:rFonts w:ascii="宋体" w:eastAsia="宋体" w:hAnsi="宋体"/>
          <w:sz w:val="21"/>
        </w:rPr>
        <w:t>,Dy</w:t>
      </w:r>
      <w:r>
        <w:rPr>
          <w:rFonts w:ascii="宋体" w:eastAsia="宋体" w:hAnsi="宋体" w:cs="宋体" w:hint="eastAsia"/>
          <w:sz w:val="21"/>
        </w:rPr>
        <w:t>³</w:t>
      </w:r>
      <w:r>
        <w:rPr>
          <w:rFonts w:ascii="Cambria Math" w:eastAsia="宋体" w:hAnsi="Cambria Math" w:cs="Cambria Math"/>
          <w:sz w:val="21"/>
        </w:rPr>
        <w:t>⁺</w:t>
      </w:r>
      <w:r>
        <w:rPr>
          <w:rFonts w:ascii="宋体" w:eastAsia="宋体" w:hAnsi="宋体"/>
          <w:sz w:val="21"/>
        </w:rPr>
        <w:t xml:space="preserve"> phosphor with Al</w:t>
      </w:r>
      <w:r>
        <w:rPr>
          <w:rFonts w:ascii="Cambria Math" w:eastAsia="宋体" w:hAnsi="Cambria Math" w:cs="Cambria Math"/>
          <w:sz w:val="21"/>
        </w:rPr>
        <w:t>₂</w:t>
      </w:r>
      <w:r>
        <w:rPr>
          <w:rFonts w:ascii="宋体" w:eastAsia="宋体" w:hAnsi="宋体"/>
          <w:sz w:val="21"/>
        </w:rPr>
        <w:t>O</w:t>
      </w:r>
      <w:r>
        <w:rPr>
          <w:rFonts w:ascii="Cambria Math" w:eastAsia="宋体" w:hAnsi="Cambria Math" w:cs="Cambria Math"/>
          <w:sz w:val="21"/>
        </w:rPr>
        <w:t>₃</w:t>
      </w:r>
      <w:r>
        <w:rPr>
          <w:rFonts w:ascii="宋体" w:eastAsia="宋体" w:hAnsi="宋体"/>
          <w:sz w:val="21"/>
        </w:rPr>
        <w:t xml:space="preserve"> coating by atomic layer deposition. *Journal of the Korean Ceramic Society*, 54(3): 222-227.</w:t>
      </w:r>
    </w:p>
    <w:p w14:paraId="6161AA67" w14:textId="77777777" w:rsidR="00424732" w:rsidRDefault="00424732" w:rsidP="00424732">
      <w:pPr>
        <w:ind w:firstLine="480"/>
        <w:rPr>
          <w:rFonts w:ascii="宋体" w:eastAsia="宋体" w:hAnsi="宋体" w:hint="eastAsia"/>
        </w:rPr>
      </w:pPr>
    </w:p>
    <w:p w14:paraId="0EF9026B" w14:textId="01DE705B" w:rsidR="00424732" w:rsidRDefault="00424732" w:rsidP="00424732">
      <w:pPr>
        <w:ind w:firstLine="420"/>
        <w:rPr>
          <w:rFonts w:ascii="宋体" w:eastAsia="宋体" w:hAnsi="宋体" w:hint="eastAsia"/>
          <w:sz w:val="21"/>
        </w:rPr>
      </w:pPr>
      <w:r>
        <w:rPr>
          <w:rFonts w:ascii="宋体" w:eastAsia="宋体" w:hAnsi="宋体" w:hint="eastAsia"/>
          <w:sz w:val="21"/>
        </w:rPr>
        <w:t>[22] SY/T 6376-2008. 压裂液通用技术条件. 国家发展和改革委员会, 2008.</w:t>
      </w:r>
    </w:p>
    <w:p w14:paraId="1E451681" w14:textId="77777777" w:rsidR="00424732" w:rsidRDefault="00424732" w:rsidP="00424732">
      <w:pPr>
        <w:ind w:firstLine="480"/>
        <w:rPr>
          <w:rFonts w:ascii="宋体" w:eastAsia="宋体" w:hAnsi="宋体" w:hint="eastAsia"/>
        </w:rPr>
      </w:pPr>
    </w:p>
    <w:p w14:paraId="695FE722" w14:textId="1F32F552" w:rsidR="00424732" w:rsidRDefault="00424732" w:rsidP="00424732">
      <w:pPr>
        <w:ind w:firstLine="420"/>
        <w:rPr>
          <w:rFonts w:ascii="宋体" w:eastAsia="宋体" w:hAnsi="宋体" w:hint="eastAsia"/>
          <w:sz w:val="21"/>
        </w:rPr>
      </w:pPr>
      <w:r>
        <w:rPr>
          <w:rFonts w:ascii="宋体" w:eastAsia="宋体" w:hAnsi="宋体" w:hint="eastAsia"/>
          <w:sz w:val="21"/>
        </w:rPr>
        <w:t>[23] SY/T 5107-2016. 水基压裂液性能评价方法. 国家能源局, 2016.</w:t>
      </w:r>
    </w:p>
    <w:p w14:paraId="13319625" w14:textId="77777777" w:rsidR="00424732" w:rsidRDefault="00424732" w:rsidP="00424732">
      <w:pPr>
        <w:ind w:firstLine="480"/>
        <w:rPr>
          <w:rFonts w:ascii="宋体" w:eastAsia="宋体" w:hAnsi="宋体" w:hint="eastAsia"/>
        </w:rPr>
      </w:pPr>
    </w:p>
    <w:p w14:paraId="3CC88B05" w14:textId="77777777" w:rsidR="00424732" w:rsidRDefault="00424732" w:rsidP="00424732">
      <w:pPr>
        <w:ind w:firstLine="480"/>
        <w:rPr>
          <w:rFonts w:ascii="宋体" w:eastAsia="宋体" w:hAnsi="宋体" w:hint="eastAsia"/>
        </w:rPr>
      </w:pPr>
    </w:p>
    <w:p w14:paraId="714DF1C9" w14:textId="77777777" w:rsidR="00424732" w:rsidRDefault="00424732" w:rsidP="00424732">
      <w:pPr>
        <w:ind w:firstLine="480"/>
        <w:rPr>
          <w:rFonts w:ascii="宋体" w:eastAsia="宋体" w:hAnsi="宋体" w:hint="eastAsia"/>
        </w:rPr>
      </w:pPr>
    </w:p>
    <w:p w14:paraId="2FEEDEAA" w14:textId="77777777" w:rsidR="00424732" w:rsidRPr="00424732" w:rsidRDefault="00424732" w:rsidP="00424732">
      <w:pPr>
        <w:ind w:firstLine="480"/>
        <w:rPr>
          <w:rFonts w:ascii="宋体" w:eastAsia="宋体" w:hAnsi="宋体" w:hint="eastAsia"/>
        </w:rPr>
      </w:pPr>
    </w:p>
    <w:sectPr w:rsidR="00424732" w:rsidRPr="0042473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732"/>
    <w:rsid w:val="001C77CA"/>
    <w:rsid w:val="002042D7"/>
    <w:rsid w:val="002C7632"/>
    <w:rsid w:val="002E4FC2"/>
    <w:rsid w:val="00424732"/>
    <w:rsid w:val="005413CE"/>
    <w:rsid w:val="00624646"/>
    <w:rsid w:val="00AE70D5"/>
    <w:rsid w:val="00C771CF"/>
    <w:rsid w:val="00D0691F"/>
    <w:rsid w:val="00D656BF"/>
    <w:rsid w:val="00ED3A71"/>
    <w:rsid w:val="00EF0218"/>
    <w:rsid w:val="00F276C3"/>
    <w:rsid w:val="00F50FE9"/>
    <w:rsid w:val="00FF1F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2C75F"/>
  <w15:chartTrackingRefBased/>
  <w15:docId w15:val="{E9B2FB75-6659-402D-A99E-27BFE7986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70D5"/>
    <w:pPr>
      <w:widowControl w:val="0"/>
      <w:snapToGrid w:val="0"/>
      <w:spacing w:line="360" w:lineRule="auto"/>
      <w:ind w:firstLineChars="200" w:firstLine="200"/>
      <w:jc w:val="both"/>
    </w:pPr>
    <w:rPr>
      <w:sz w:val="24"/>
    </w:rPr>
  </w:style>
  <w:style w:type="paragraph" w:styleId="1">
    <w:name w:val="heading 1"/>
    <w:basedOn w:val="a"/>
    <w:next w:val="a"/>
    <w:link w:val="10"/>
    <w:uiPriority w:val="9"/>
    <w:qFormat/>
    <w:rsid w:val="0042473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2473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2473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2473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24732"/>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42473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2473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2473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2473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
    <w:basedOn w:val="a1"/>
    <w:uiPriority w:val="99"/>
    <w:rsid w:val="00C771CF"/>
    <w:pPr>
      <w:jc w:val="both"/>
    </w:pPr>
    <w:rPr>
      <w:rFonts w:ascii="黑体" w:eastAsia="宋体" w:hAnsi="黑体"/>
    </w:rPr>
    <w:tblPr>
      <w:tblBorders>
        <w:top w:val="single" w:sz="4" w:space="0" w:color="auto"/>
        <w:bottom w:val="single" w:sz="4" w:space="0" w:color="auto"/>
        <w:insideH w:val="single" w:sz="4" w:space="0" w:color="auto"/>
      </w:tblBorders>
    </w:tblPr>
  </w:style>
  <w:style w:type="character" w:customStyle="1" w:styleId="10">
    <w:name w:val="标题 1 字符"/>
    <w:basedOn w:val="a0"/>
    <w:link w:val="1"/>
    <w:uiPriority w:val="9"/>
    <w:rsid w:val="0042473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2473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2473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24732"/>
    <w:rPr>
      <w:rFonts w:cstheme="majorBidi"/>
      <w:color w:val="0F4761" w:themeColor="accent1" w:themeShade="BF"/>
      <w:sz w:val="28"/>
      <w:szCs w:val="28"/>
    </w:rPr>
  </w:style>
  <w:style w:type="character" w:customStyle="1" w:styleId="50">
    <w:name w:val="标题 5 字符"/>
    <w:basedOn w:val="a0"/>
    <w:link w:val="5"/>
    <w:uiPriority w:val="9"/>
    <w:semiHidden/>
    <w:rsid w:val="00424732"/>
    <w:rPr>
      <w:rFonts w:cstheme="majorBidi"/>
      <w:color w:val="0F4761" w:themeColor="accent1" w:themeShade="BF"/>
      <w:sz w:val="24"/>
      <w:szCs w:val="24"/>
    </w:rPr>
  </w:style>
  <w:style w:type="character" w:customStyle="1" w:styleId="60">
    <w:name w:val="标题 6 字符"/>
    <w:basedOn w:val="a0"/>
    <w:link w:val="6"/>
    <w:uiPriority w:val="9"/>
    <w:semiHidden/>
    <w:rsid w:val="00424732"/>
    <w:rPr>
      <w:rFonts w:cstheme="majorBidi"/>
      <w:b/>
      <w:bCs/>
      <w:color w:val="0F4761" w:themeColor="accent1" w:themeShade="BF"/>
      <w:sz w:val="24"/>
    </w:rPr>
  </w:style>
  <w:style w:type="character" w:customStyle="1" w:styleId="70">
    <w:name w:val="标题 7 字符"/>
    <w:basedOn w:val="a0"/>
    <w:link w:val="7"/>
    <w:uiPriority w:val="9"/>
    <w:semiHidden/>
    <w:rsid w:val="00424732"/>
    <w:rPr>
      <w:rFonts w:cstheme="majorBidi"/>
      <w:b/>
      <w:bCs/>
      <w:color w:val="595959" w:themeColor="text1" w:themeTint="A6"/>
      <w:sz w:val="24"/>
    </w:rPr>
  </w:style>
  <w:style w:type="character" w:customStyle="1" w:styleId="80">
    <w:name w:val="标题 8 字符"/>
    <w:basedOn w:val="a0"/>
    <w:link w:val="8"/>
    <w:uiPriority w:val="9"/>
    <w:semiHidden/>
    <w:rsid w:val="00424732"/>
    <w:rPr>
      <w:rFonts w:cstheme="majorBidi"/>
      <w:color w:val="595959" w:themeColor="text1" w:themeTint="A6"/>
      <w:sz w:val="24"/>
    </w:rPr>
  </w:style>
  <w:style w:type="character" w:customStyle="1" w:styleId="90">
    <w:name w:val="标题 9 字符"/>
    <w:basedOn w:val="a0"/>
    <w:link w:val="9"/>
    <w:uiPriority w:val="9"/>
    <w:semiHidden/>
    <w:rsid w:val="00424732"/>
    <w:rPr>
      <w:rFonts w:eastAsiaTheme="majorEastAsia" w:cstheme="majorBidi"/>
      <w:color w:val="595959" w:themeColor="text1" w:themeTint="A6"/>
      <w:sz w:val="24"/>
    </w:rPr>
  </w:style>
  <w:style w:type="paragraph" w:styleId="a4">
    <w:name w:val="Title"/>
    <w:basedOn w:val="a"/>
    <w:next w:val="a"/>
    <w:link w:val="a5"/>
    <w:uiPriority w:val="10"/>
    <w:qFormat/>
    <w:rsid w:val="0042473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424732"/>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424732"/>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424732"/>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424732"/>
    <w:pPr>
      <w:spacing w:before="160" w:after="160"/>
      <w:jc w:val="center"/>
    </w:pPr>
    <w:rPr>
      <w:i/>
      <w:iCs/>
      <w:color w:val="404040" w:themeColor="text1" w:themeTint="BF"/>
    </w:rPr>
  </w:style>
  <w:style w:type="character" w:customStyle="1" w:styleId="a9">
    <w:name w:val="引用 字符"/>
    <w:basedOn w:val="a0"/>
    <w:link w:val="a8"/>
    <w:uiPriority w:val="29"/>
    <w:rsid w:val="00424732"/>
    <w:rPr>
      <w:i/>
      <w:iCs/>
      <w:color w:val="404040" w:themeColor="text1" w:themeTint="BF"/>
      <w:sz w:val="24"/>
    </w:rPr>
  </w:style>
  <w:style w:type="paragraph" w:styleId="aa">
    <w:name w:val="List Paragraph"/>
    <w:basedOn w:val="a"/>
    <w:uiPriority w:val="34"/>
    <w:qFormat/>
    <w:rsid w:val="00424732"/>
    <w:pPr>
      <w:ind w:left="720"/>
      <w:contextualSpacing/>
    </w:pPr>
  </w:style>
  <w:style w:type="character" w:styleId="ab">
    <w:name w:val="Intense Emphasis"/>
    <w:basedOn w:val="a0"/>
    <w:uiPriority w:val="21"/>
    <w:qFormat/>
    <w:rsid w:val="00424732"/>
    <w:rPr>
      <w:i/>
      <w:iCs/>
      <w:color w:val="0F4761" w:themeColor="accent1" w:themeShade="BF"/>
    </w:rPr>
  </w:style>
  <w:style w:type="paragraph" w:styleId="ac">
    <w:name w:val="Intense Quote"/>
    <w:basedOn w:val="a"/>
    <w:next w:val="a"/>
    <w:link w:val="ad"/>
    <w:uiPriority w:val="30"/>
    <w:qFormat/>
    <w:rsid w:val="004247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424732"/>
    <w:rPr>
      <w:i/>
      <w:iCs/>
      <w:color w:val="0F4761" w:themeColor="accent1" w:themeShade="BF"/>
      <w:sz w:val="24"/>
    </w:rPr>
  </w:style>
  <w:style w:type="character" w:styleId="ae">
    <w:name w:val="Intense Reference"/>
    <w:basedOn w:val="a0"/>
    <w:uiPriority w:val="32"/>
    <w:qFormat/>
    <w:rsid w:val="004247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1931</Words>
  <Characters>11011</Characters>
  <Application>Microsoft Office Word</Application>
  <DocSecurity>0</DocSecurity>
  <Lines>91</Lines>
  <Paragraphs>25</Paragraphs>
  <ScaleCrop>false</ScaleCrop>
  <Company/>
  <LinksUpToDate>false</LinksUpToDate>
  <CharactersWithSpaces>12917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hao</dc:creator>
  <cp:keywords/>
  <dc:description/>
  <cp:lastModifiedBy>le hao</cp:lastModifiedBy>
  <cp:revision>1</cp:revision>
  <dcterms:created xsi:type="dcterms:W3CDTF">2026-05-28T01:07:00Z</dcterms:created>
  <dcterms:modified xsi:type="dcterms:W3CDTF">2026-05-28T01:07:00Z</dcterms:modified>
</cp:coreProperties>
</file>