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Title: [TBD — written in Task 12 after all content is final]</w:t>
      </w:r>
    </w:p>
    <w:p/>
    <w:p>
      <w:pPr>
        <w:pStyle w:val="Heading1"/>
      </w:pPr>
      <w:r>
        <w:t>Abstract</w:t>
      </w:r>
    </w:p>
    <w:p/>
    <w:p>
      <w:pPr>
        <w:pStyle w:val="Heading1"/>
      </w:pPr>
      <w:r>
        <w:t>Keywords</w:t>
      </w:r>
    </w:p>
    <w:p/>
    <w:p>
      <w:pPr>
        <w:pStyle w:val="Heading1"/>
      </w:pPr>
      <w:r>
        <w:t>1. Introduction</w:t>
      </w:r>
    </w:p>
    <w:p/>
    <w:p>
      <w:pPr>
        <w:pStyle w:val="Heading1"/>
      </w:pPr>
      <w:r>
        <w:t>2. Coupled Release–Transport Model</w:t>
      </w:r>
    </w:p>
    <w:p/>
    <w:p>
      <w:pPr>
        <w:pStyle w:val="Heading2"/>
      </w:pPr>
      <w:r>
        <w:t>2.1 Physical Basis</w:t>
      </w:r>
    </w:p>
    <w:p/>
    <w:p>
      <w:r>
        <w:rPr>
          <w:i/>
        </w:rPr>
        <w:t>[Fig. 1 placeholder — see Figure Captions] — BTC generation schematic</w:t>
      </w:r>
    </w:p>
    <w:p>
      <w:pPr>
        <w:pStyle w:val="Heading2"/>
      </w:pPr>
      <w:r>
        <w:t>2.2 Governing Equations</w:t>
      </w:r>
    </w:p>
    <w:p/>
    <w:p>
      <w:pPr>
        <w:pStyle w:val="Heading2"/>
      </w:pPr>
      <w:r>
        <w:t>2.3 Parameter Set and Derived Quantities</w:t>
      </w:r>
    </w:p>
    <w:p/>
    <w:p>
      <w:pPr>
        <w:pStyle w:val="Heading2"/>
      </w:pPr>
      <w:r>
        <w:t>2.4 Validation Strategy: Self-Calibration as Decisive Test</w:t>
      </w:r>
    </w:p>
    <w:p/>
    <w:p>
      <w:pPr>
        <w:pStyle w:val="Heading1"/>
      </w:pPr>
      <w:r>
        <w:t>3. Experimental Methods</w:t>
      </w:r>
    </w:p>
    <w:p/>
    <w:p>
      <w:pPr>
        <w:pStyle w:val="Heading2"/>
      </w:pPr>
      <w:r>
        <w:t>3.1 ESP-T Synthesis</w:t>
      </w:r>
    </w:p>
    <w:p/>
    <w:p>
      <w:pPr>
        <w:pStyle w:val="Heading2"/>
      </w:pPr>
      <w:r>
        <w:t>3.2 Material Prerequisites for Model Validity</w:t>
      </w:r>
    </w:p>
    <w:p/>
    <w:p>
      <w:r>
        <w:rPr>
          <w:i/>
        </w:rPr>
        <w:t>[Fig. 2 placeholder — see Figure Captions] — ESP-T characterization summary, 4-panel</w:t>
      </w:r>
    </w:p>
    <w:p>
      <w:pPr>
        <w:pStyle w:val="Heading2"/>
      </w:pPr>
      <w:r>
        <w:t>3.3 K-P Batch Release Kinetics</w:t>
      </w:r>
    </w:p>
    <w:p/>
    <w:p>
      <w:pPr>
        <w:pStyle w:val="Heading2"/>
      </w:pPr>
      <w:r>
        <w:t>3.4 Core Displacement: BTC Generation</w:t>
      </w:r>
    </w:p>
    <w:p/>
    <w:p>
      <w:pPr>
        <w:pStyle w:val="Heading2"/>
      </w:pPr>
      <w:r>
        <w:t>3.5 Parameter Estimation Strategy</w:t>
      </w:r>
    </w:p>
    <w:p/>
    <w:p>
      <w:pPr>
        <w:pStyle w:val="Heading1"/>
      </w:pPr>
      <w:r>
        <w:t>4. Results and Discussion</w:t>
      </w:r>
    </w:p>
    <w:p/>
    <w:p>
      <w:pPr>
        <w:pStyle w:val="Heading2"/>
      </w:pPr>
      <w:r>
        <w:t>4.1 Model Selection: Single-Process Models Are Insufficient</w:t>
      </w:r>
    </w:p>
    <w:p/>
    <w:p>
      <w:r>
        <w:rPr>
          <w:i/>
        </w:rPr>
        <w:t>[Fig. 3 placeholder — see Figure Captions] — K-P kinetics + model selection overlay</w:t>
      </w:r>
    </w:p>
    <w:p>
      <w:r>
        <w:rPr>
          <w:i/>
        </w:rPr>
        <w:t>[Fig. 4 placeholder — see Figure Captions] — 5-model overlay + ΔAICc bar chart</w:t>
      </w:r>
    </w:p>
    <w:p>
      <w:pPr>
        <w:pStyle w:val="Heading2"/>
      </w:pPr>
      <w:r>
        <w:t>4.2 Physical Self-Calibration: The Flow-Rate Test</w:t>
      </w:r>
    </w:p>
    <w:p/>
    <w:p>
      <w:r>
        <w:rPr>
          <w:i/>
        </w:rPr>
        <w:t>[Fig. 5 placeholder — see Figure Captions] — CENTERPIECE — BTC decomposition + Q self-calibration bar</w:t>
      </w:r>
    </w:p>
    <w:p>
      <w:pPr>
        <w:pStyle w:val="Heading2"/>
      </w:pPr>
      <w:r>
        <w:t>4.3 Comparison with Time-of-Arrival Methods</w:t>
      </w:r>
    </w:p>
    <w:p/>
    <w:p>
      <w:r>
        <w:rPr>
          <w:i/>
        </w:rPr>
        <w:t>[Fig. 6 placeholder — see Figure Captions] — TOA method comparison</w:t>
      </w:r>
    </w:p>
    <w:p>
      <w:pPr>
        <w:pStyle w:val="Heading2"/>
      </w:pPr>
      <w:r>
        <w:t>4.4 Independent Corroboration: K-P Kinetics and ADE Peclet Number</w:t>
      </w:r>
    </w:p>
    <w:p/>
    <w:p>
      <w:r>
        <w:rPr>
          <w:i/>
        </w:rPr>
        <w:t>[Fig. 7 placeholder — see Figure Captions] — K-P ↔ Pe independent corroboration dual panel</w:t>
      </w:r>
    </w:p>
    <w:p>
      <w:pPr>
        <w:pStyle w:val="Heading2"/>
      </w:pPr>
      <w:r>
        <w:t>4.5 Signal Decomposition and Robustness</w:t>
      </w:r>
    </w:p>
    <w:p/>
    <w:p>
      <w:r>
        <w:rPr>
          <w:i/>
        </w:rPr>
        <w:t>[Fig. 8 placeholder — see Figure Captions] — σ sensitivity analysis</w:t>
      </w:r>
    </w:p>
    <w:p>
      <w:pPr>
        <w:pStyle w:val="Heading1"/>
      </w:pPr>
      <w:r>
        <w:t>5. Extension to Two-Phase Production Allocation</w:t>
      </w:r>
    </w:p>
    <w:p/>
    <w:p>
      <w:pPr>
        <w:pStyle w:val="Heading2"/>
      </w:pPr>
      <w:r>
        <w:t>5.1 Physical Context</w:t>
      </w:r>
    </w:p>
    <w:p/>
    <w:p>
      <w:pPr>
        <w:pStyle w:val="Heading2"/>
      </w:pPr>
      <w:r>
        <w:t>5.2 The Dilution Problem and the Flux Solution</w:t>
      </w:r>
    </w:p>
    <w:p/>
    <w:p>
      <w:r>
        <w:rPr>
          <w:i/>
        </w:rPr>
        <w:t>[Fig. 9 placeholder — see Figure Captions] — Two-phase flow 3-panel</w:t>
      </w:r>
    </w:p>
    <w:p>
      <w:pPr>
        <w:pStyle w:val="Heading2"/>
      </w:pPr>
      <w:r>
        <w:t>5.3 Flux-to-Production-Rate Calibration</w:t>
      </w:r>
    </w:p>
    <w:p/>
    <w:p>
      <w:pPr>
        <w:pStyle w:val="Heading2"/>
      </w:pPr>
      <w:r>
        <w:t>5.4 Coupling to the BTC Framework</w:t>
      </w:r>
    </w:p>
    <w:p/>
    <w:p>
      <w:pPr>
        <w:pStyle w:val="Heading1"/>
      </w:pPr>
      <w:r>
        <w:t>6. Field Deployment Pathway</w:t>
      </w:r>
    </w:p>
    <w:p/>
    <w:p>
      <w:r>
        <w:rPr>
          <w:i/>
        </w:rPr>
        <w:t>[Fig. 10 placeholder — see Figure Captions] — Field deployment pathway schematic</w:t>
      </w:r>
    </w:p>
    <w:p>
      <w:pPr>
        <w:pStyle w:val="Heading1"/>
      </w:pPr>
      <w:r>
        <w:t>7. Conclusions</w:t>
      </w:r>
    </w:p>
    <w:p/>
    <w:p>
      <w:pPr>
        <w:pStyle w:val="Heading1"/>
      </w:pPr>
      <w:r>
        <w:t>References</w:t>
      </w:r>
    </w:p>
    <w:p/>
    <w:p>
      <w:r>
        <w:rPr>
          <w:i/>
        </w:rPr>
        <w:t>[numbered list, 35 slots — populated in Task 11]</w:t>
      </w:r>
    </w:p>
    <w:p>
      <w:r>
        <w:t>[1]</w:t>
      </w:r>
    </w:p>
    <w:p>
      <w:r>
        <w:t>[2]</w:t>
      </w:r>
    </w:p>
    <w:p>
      <w:r>
        <w:t>[3]</w:t>
      </w:r>
    </w:p>
    <w:p>
      <w:r>
        <w:t>[4]</w:t>
      </w:r>
    </w:p>
    <w:p>
      <w:r>
        <w:t>[5]</w:t>
      </w:r>
    </w:p>
    <w:p>
      <w:r>
        <w:t>[6]</w:t>
      </w:r>
    </w:p>
    <w:p>
      <w:r>
        <w:t>[7]</w:t>
      </w:r>
    </w:p>
    <w:p>
      <w:r>
        <w:t>[8]</w:t>
      </w:r>
    </w:p>
    <w:p>
      <w:r>
        <w:t>[9]</w:t>
      </w:r>
    </w:p>
    <w:p>
      <w:r>
        <w:t>[10]</w:t>
      </w:r>
    </w:p>
    <w:p>
      <w:r>
        <w:t>[11]</w:t>
      </w:r>
    </w:p>
    <w:p>
      <w:r>
        <w:t>[12]</w:t>
      </w:r>
    </w:p>
    <w:p>
      <w:r>
        <w:t>[13]</w:t>
      </w:r>
    </w:p>
    <w:p>
      <w:r>
        <w:t>[14]</w:t>
      </w:r>
    </w:p>
    <w:p>
      <w:r>
        <w:t>[15]</w:t>
      </w:r>
    </w:p>
    <w:p>
      <w:r>
        <w:t>[16]</w:t>
      </w:r>
    </w:p>
    <w:p>
      <w:r>
        <w:t>[17]</w:t>
      </w:r>
    </w:p>
    <w:p>
      <w:r>
        <w:t>[18]</w:t>
      </w:r>
    </w:p>
    <w:p>
      <w:r>
        <w:t>[19]</w:t>
      </w:r>
    </w:p>
    <w:p>
      <w:r>
        <w:t>[20]</w:t>
      </w:r>
    </w:p>
    <w:p>
      <w:r>
        <w:t>[21]</w:t>
      </w:r>
    </w:p>
    <w:p>
      <w:r>
        <w:t>[22]</w:t>
      </w:r>
    </w:p>
    <w:p>
      <w:r>
        <w:t>[23]</w:t>
      </w:r>
    </w:p>
    <w:p>
      <w:r>
        <w:t>[24]</w:t>
      </w:r>
    </w:p>
    <w:p>
      <w:r>
        <w:t>[25]</w:t>
      </w:r>
    </w:p>
    <w:p>
      <w:r>
        <w:t>[26]</w:t>
      </w:r>
    </w:p>
    <w:p>
      <w:r>
        <w:t>[27]</w:t>
      </w:r>
    </w:p>
    <w:p>
      <w:r>
        <w:t>[28]</w:t>
      </w:r>
    </w:p>
    <w:p>
      <w:r>
        <w:t>[29]</w:t>
      </w:r>
    </w:p>
    <w:p>
      <w:r>
        <w:t>[30]</w:t>
      </w:r>
    </w:p>
    <w:p>
      <w:r>
        <w:t>[31]</w:t>
      </w:r>
    </w:p>
    <w:p>
      <w:r>
        <w:t>[32]</w:t>
      </w:r>
    </w:p>
    <w:p>
      <w:r>
        <w:t>[33]</w:t>
      </w:r>
    </w:p>
    <w:p>
      <w:r>
        <w:t>[34]</w:t>
      </w:r>
    </w:p>
    <w:p>
      <w:r>
        <w:t>[35]</w:t>
      </w:r>
    </w:p>
    <w:p>
      <w:pPr>
        <w:pStyle w:val="Heading1"/>
      </w:pPr>
      <w:r>
        <w:t>Figure Captions</w:t>
      </w:r>
    </w:p>
    <w:p/>
    <w:p>
      <w:r>
        <w:rPr>
          <w:i/>
        </w:rPr>
        <w:t>[10 figure caption slots — populated as figures are placed]</w:t>
      </w:r>
    </w:p>
    <w:p>
      <w:r>
        <w:t>[Fig. 1] Caption placeholder — populated as figure is placed.</w:t>
      </w:r>
    </w:p>
    <w:p>
      <w:r>
        <w:t>[Fig. 2] Caption placeholder — populated as figure is placed.</w:t>
      </w:r>
    </w:p>
    <w:p>
      <w:r>
        <w:t>[Fig. 3] Caption placeholder — populated as figure is placed.</w:t>
      </w:r>
    </w:p>
    <w:p>
      <w:r>
        <w:t>[Fig. 4] Caption placeholder — populated as figure is placed.</w:t>
      </w:r>
    </w:p>
    <w:p>
      <w:r>
        <w:t>[Fig. 5] Caption placeholder — populated as figure is placed.</w:t>
      </w:r>
    </w:p>
    <w:p>
      <w:r>
        <w:t>[Fig. 6] Caption placeholder — populated as figure is placed.</w:t>
      </w:r>
    </w:p>
    <w:p>
      <w:r>
        <w:t>[Fig. 7] Caption placeholder — populated as figure is placed.</w:t>
      </w:r>
    </w:p>
    <w:p>
      <w:r>
        <w:t>[Fig. 8] Caption placeholder — populated as figure is placed.</w:t>
      </w:r>
    </w:p>
    <w:p>
      <w:r>
        <w:t>[Fig. 9] Caption placeholder — populated as figure is placed.</w:t>
      </w:r>
    </w:p>
    <w:p>
      <w:r>
        <w:t>[Fig. 10] Caption placeholder — populated as figure is placed.</w:t>
      </w:r>
    </w:p>
    <w:p>
      <w:pPr>
        <w:pStyle w:val="Heading1"/>
      </w:pPr>
      <w:r>
        <w:t>Tables</w:t>
      </w:r>
    </w:p>
    <w:p/>
    <w:p>
      <w:r>
        <w:rPr>
          <w:i/>
        </w:rPr>
        <w:t>[Table slots — populated as content is written]</w:t>
      </w:r>
    </w:p>
    <w:p>
      <w:r>
        <w:t>[Table 1] Placeholder — material prerequisites summary (see Section 3.2).</w:t>
      </w:r>
    </w:p>
    <w:p>
      <w:r>
        <w:t>[Table 2] Placeholder — model comparison summary (see Section 4.1).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