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Coupled Release–Transport Modeling and Tracer Flux Method for Per-Stage Production Allocation from Tracer-Proppant Breakthrough Curves</w:t>
      </w:r>
    </w:p>
    <w:p>
      <w:pPr>
        <w:pStyle w:val="Heading1"/>
      </w:pPr>
      <w:r>
        <w:t>Abstract</w:t>
      </w:r>
    </w:p>
    <w:p>
      <w:r>
        <w:t>Tracer proppants enable long-term per-stage production monitoring without downhole hardware, but extracting per-stage contribution rates from wellhead breakthrough curves (BTCs) requires jointly accounting for sustained tracer release from the polymer matrix and transport through the production tubing—a coupled inverse problem not addressed by current practice, which applies the Korsmeyer–Peppas (K‑P) model for batch release characterization and the advection–dispersion framework for transport interpretation separately. We develop a coupled release–transport model that decomposes the BTC into a Gaussian pulse (shut-in accumulation slug) and an erfc tail (sustained matrix-diffusion-controlled release), linked by a smooth hyperbolic-tangent transition. Applied to an oleophilic epoxy/Fe₃O₄ tracer proppant (ESP‑T) in core displacement experiments with tubing of length 1 m and inner diameter 1 mm, the model recovers the independently set pump flow rate (0.50 mL/min) as 0.47 mL/min from the BTC shape alone—a deviation of 6.2% with Q unconstrained in the objective function (search bounds 0.01–5.0 mL/min). The fitted mean residence time (1.67 min) agrees with the independently computed convective travel time (1.57 min) to within 6.6%. The Peclet number (Pe = 0.83) independently corroborates the non-Fickian transport mechanism identified from static K‑P batch kinetics (n = 0.45–0.85), two completely separate experiments converging on the same dispersion-dominated transport picture. Under steady-state two-phase flow, the oil-phase tracer mass flux F_O = C_oil × Q_oil is invariant with total flow rate at a given oil–water ratio, eliminating the dilution artifact inherent in concentration-based interpretation (Pearson r = 0.97, RMSD = 8.3%). By doping each fracture stage with a distinct tracer element, per-stage contribution rates are obtained as (F_O,i / C_i) / Σ(F_O,j / C_j) from surface samples alone, requiring no downhole tools and only a single shut-in.</w:t>
      </w:r>
    </w:p>
    <w:p>
      <w:pPr>
        <w:pStyle w:val="Heading1"/>
      </w:pPr>
      <w:r>
        <w:t>Keywords</w:t>
      </w:r>
    </w:p>
    <w:p>
      <w:r>
        <w:rPr>
          <w:rFonts w:ascii="Times New Roman" w:hAnsi="Times New Roman"/>
          <w:sz w:val="24"/>
        </w:rPr>
        <w:t>Tracer proppant; Breakthrough curve; Advection–dispersion equation; Release kinetics; Production allocation; Two-phase flow; Epoxy resin; Tracer flux</w:t>
      </w:r>
    </w:p>
    <w:p>
      <w:pPr>
        <w:pStyle w:val="Heading1"/>
      </w:pPr>
      <w:r>
        <w:t>1. Introduction</w:t>
      </w:r>
    </w:p>
    <w:p>
      <w:pPr/>
      <w:r>
        <w:rPr>
          <w:rFonts w:ascii="Times New Roman" w:hAnsi="Times New Roman"/>
          <w:sz w:val="24"/>
        </w:rPr>
        <w:t>Multi-stage hydraulic fracturing of horizontal wells has unlocked unconventional reservoirs, but completion diagnostics remain hindered by a persistent question: how much does each fracture stage produce? Production logging across hundreds of horizontal wells revealed that approximately 30–40% of perforation clusters contribute negligibly to production [1], motivating two decades of work on completion optimization and re-stimulation strategies [2]. Yet the ability to routinely measure per-stage contribution at the surface has not kept pace. Production logging tools (PLT) require well intervention via coiled tubing or tractor, capture only a snapshot of the inflow profile, and are operationally challenging in extended-reach horizontals [3]. Distributed fiber-optic sensing — both distributed temperature sensing (DTS) and distributed acoustic sensing (DAS) — has enabled real-time monitoring of stimulation operations and qualitative inflow profiling without intervention [4,5], and DAS-based strain measurements now provide far-field fracture geometry and cluster efficiency diagnostics [6]. However, permanent fiber installation and surface instrumentation remain costly, limiting deployment to high-value wells [7]. Microseismic monitoring, while valuable for characterizing stimulated reservoir volume, does not directly measure production contribution per stage [3,8]. A method that delivers quantitative per-stage production allocation from surface samples alone — without downhole tools, permanent installation, or repeated well intervention — would fundamentally change completion diagnostics.</w:t>
      </w:r>
    </w:p>
    <w:p>
      <w:pPr/>
      <w:r>
        <w:rPr>
          <w:rFonts w:ascii="Times New Roman" w:hAnsi="Times New Roman"/>
          <w:sz w:val="24"/>
        </w:rPr>
        <w:t>Tracer technology offers a pathway toward this method. Since the first documented oilfield tracer test using radioactive iodine in 1954 [9], tracer methods have evolved from qualitative inter-well connectivity assessment to quantitative residual oil saturation measurement via partitioning inter-well tracer tests (PITT) [10,11] and, more recently, to stage-level inflow profiling in multi-stage fractured wells [12]. Tracer proppants — in which a chemical tracer is immobilized within a solid proppant carrier and co-injected with the proppant pack — offer a key advantage over dissolved tracers: the tracer remains in the fracture after placement, enabling long-term monitoring from a single wellhead sampling point without repeated injection. A growing body of material designs has been demonstrated: Zhao et al. (2020) used solvent-evaporated rhodamine 6G coatings on ceramic proppants [13]; Zhou et al. (2022) encapsulated carbon quantum dots in poly(vinyl alcohol)-coated ceramics [14]; Li et al. (2023) developed rare-earth-doped poly(methyl methacrylate) coatings for multi-element coding [15]; Gong et al. (2024) synthesized oleophilic Fe₃O₄/polystyrene microspheres for oil-phase selective release [16]; Ren et al. (2024) prepared multi-colored dye-tracer proppants for quantitative proppant flowback assessment [17]; and Malyavko et al. (2023) demonstrated quantum-dot-encoded polymer microspheres for fluid-phase-resolved inflow profiling [18]. Across these diverse material platforms, a common interpretation gap persists: existing methods can confirm which stages produce, but cannot quantify how much each stage produces from the breakthrough curve alone, because the observed signal is shaped jointly by the unknown tracer release rate and the unknown transport parameters of the production system.</w:t>
      </w:r>
    </w:p>
    <w:p>
      <w:pPr/>
      <w:r>
        <w:rPr>
          <w:rFonts w:ascii="Times New Roman" w:hAnsi="Times New Roman"/>
          <w:sz w:val="24"/>
        </w:rPr>
        <w:t>The release side of this coupled problem is addressed — but not solved — by the Korsmeyer–Peppas (K‑P) power-law model. Originally developed for drug delivery systems [19,20] and extended to coupling of diffusion and polymer relaxation [21], the K‑P model C/C₀ = K·tⁿ identifies the release mechanism through the diffusional exponent n (Fickian diffusion for n ≤ 0.43; anomalous transport for 0.43 &lt; n &lt; 0.85; Case-II relaxation for n ≥ 0.85) and provides the temperature-dependent rate constant K. This framework has been productively applied to characterize release from diverse tracer-proppant systems including rare-earth-doped PMMA coatings [15], polystyrene-encapsulated Fe₃O₄ nanoparticles [16], epoxy-matrix sustained-release tracers [22], and nano-Fe₃O₄ tracers in ammonio-methacrylate copolymer matrices under varying temperature and salinity [23]. However, the K‑P model is fundamentally a zero-dimensional batch description: it characterizes release into a well-mixed, fixed-volume vessel with no spatial coordinate, no flow field, and no pathway from a release rate to a concentration measured at a distant sampling point. Alone, it cannot predict the wellhead concentration at a given time — the quantity that encodes production information.</w:t>
      </w:r>
    </w:p>
    <w:p>
      <w:pPr/>
      <w:r>
        <w:rPr>
          <w:rFonts w:ascii="Times New Roman" w:hAnsi="Times New Roman"/>
          <w:sz w:val="24"/>
        </w:rPr>
        <w:t>On the transport side, the one-dimensional advection–dispersion equation (ADE) provides a mature analytical framework for interpreting breakthrough curves. Van Genuchten and Alves (1982) compiled analytical solutions covering a wide range of boundary and initial conditions [24]. The temporal moments of a BTC yield the mean residence time — hence the effective flow velocity — and the variance, which gives the dispersivity; full-curve ADE inversion via nonlinear least squares has been applied to determine reservoir properties and flood performance from inter-well tracer tests [25], to interpret physical mechanisms in partitioning inter-well tracer tests [26], to model chemical tracer transport under two-phase flow via analytical solutions [27], and to describe water- and oil-soluble tracer transfer in multi-stage fractured wells [28]. A comprehensive review of tracer testing techniques [29] confirms that ADE-based interpretation remains the standard approach across the petroleum industry. The common premise across these applications, however, is that the tracer source term is known — an injection pulse of specified mass, duration, and location. A tracer-proppant BTC violates this premise fundamentally: the source is not a single operator-controlled injection but a sustained, matrix-diffusion-controlled release whose rate parameters are unknown and whose duration spans the entire production period. No existing framework couples the sustained release source term to the ADE transport solution. The consequence is that the two bodies of knowledge — release kinetics and transport interpretation — have remained separate, and neither alone can deliver the per-stage flow rate from the BTC.</w:t>
      </w:r>
    </w:p>
    <w:p>
      <w:pPr/>
      <w:r>
        <w:t>In this work, we close this gap by coupling the release source term to the ADE transport solution through a two-component model and a complementary tracer flux method. We construct a piecewise release–transport model that decomposes the BTC into two physically motivated components: a Gaussian pulse, representing tracer that accumulated in the near-wellbore region during shut-in and is swept out as a coherent slug upon flowback, and an erfc tail, representing sustained matrix-diffusion-controlled release that continues after the main slug has passed. The two components are linked by a C¹-continuous hyperbolic-tangent transition, and six parameters are estimated simultaneously from a single BTC by nonlinear least squares without any externally imposed constraints. The model is validated through a predictive self-calibration test: the flow rate Q is left entirely unconstrained in the objective function with search bounds spanning a 500-fold range (0.01–5.0 mL/min); the model must recover the independently set pump flow rate from the BTC shape alone. We apply the framework to an oleophilic epoxy/Fe₃O₄ tracer proppant (ESP‑T). Epoxy resins have attracted growing interest as proppant matrices owing to their high mechanical strength, thermal stability, and chemical resistance compared to thermoplastic alternatives [30–32], and their ability to sustain controlled tracer release over extended periods has been demonstrated in both water-soluble [22] and oil-soluble configurations [33]. In our core displacement experiments with production tubing of 1 m length and 1 mm inner diameter, the model recovers Q = 0.47 mL/min against the pump setting of 0.50 mL/min — a deviation of 6.2% — and the fitted mean residence time (1.67 min) agrees with the independently computed convective travel time (1.57 min) to within 6.6%. The Peclet number (Pe = 0.83) independently corroborates the non-Fickian transport mechanism identified from static K‑P batch kinetics (n = 0.45–0.85) — two completely separate experiments converging on the same dispersion-dominated transport picture. We then introduce a tracer flux method for production allocation under two-phase flow: the oil-phase tracer mass flux F_O = C_oil × Q_oil is shown experimentally to be invariant with total flow rate at a given oil–water ratio (Pearson r = 0.97, RMSD = 8.3%), eliminating the dilution artifact. By doping each fracture stage with a distinct tracer element, per-stage contribution rates are obtained as (F_O,i / C_i) / Σ(F_O,j / C_j) from periodic ICP‑MS wellhead samples alone. We validate the complete framework in both single-phase and two-phase core displacement experiments [34,35], and outline the deployment pathway for multi-stage field application.</w:t>
      </w:r>
    </w:p>
    <w:p>
      <w:pPr>
        <w:pStyle w:val="Heading1"/>
      </w:pPr>
      <w:r>
        <w:t>2. Experimental</w:t>
      </w:r>
    </w:p>
    <w:p>
      <w:pPr>
        <w:pStyle w:val="Heading2"/>
      </w:pPr>
      <w:r>
        <w:t>2.1 Materials</w:t>
      </w:r>
    </w:p>
    <w:p>
      <w:r>
        <w:rPr>
          <w:rFonts w:ascii="Times New Roman" w:hAnsi="Times New Roman"/>
          <w:sz w:val="24"/>
        </w:rPr>
        <w:t>Analytical grade reagents — including FeCl₃ (≥99.0%), FeCl₂·4H₂O (≥99.0%), MnCl₂·6H₂O (≥99.0%), stearic acid (≥99.5%), and anhydrous ethanol — were purchased from Chengdu Kelong Chemical Co., Ltd. Industrial grade materials included guar gum, E51 epoxy resin (epoxy value 0.48–0.54 mol/100 g, Nantong Xingchen Synthetic Materials), T31 curing agent (phenolic amine, ≥95% effective component), and hollow glass microspheres (≥99% purity). Dodecane (≥99%, Chengdu Kelong) served as the model oil phase. All reagents were used as received. Detailed specifications are provided in Table S1 (Supplementary Material).</w:t>
      </w:r>
    </w:p>
    <w:p>
      <w:pPr>
        <w:pStyle w:val="Heading2"/>
      </w:pPr>
      <w:r>
        <w:t>2.2 ESP‑T Synthesis</w:t>
      </w:r>
    </w:p>
    <w:p>
      <w:r>
        <w:rPr>
          <w:rFonts w:ascii="Times New Roman" w:hAnsi="Times New Roman"/>
          <w:sz w:val="24"/>
        </w:rPr>
        <w:t>ESP‑T was synthesized in three steps. (i) Stearic acid-modified nano-Fe₃O₄ (nano-Fe₃O₄@SA) was prepared by co-precipitation: 2.703 g FeCl₃ and 1.15 g FeCl₂·4H₂O in 100 mL deionized water at 80 °C under N₂, doped with 2 × 10⁻⁵ mol MnCl₂·6H₂O; 5.5 mL NH₃·H₂O was added, and the reaction proceeded at pH 10 for 2 h. The black precipitate was magnetically separated, washed to neutrality, and sonicated with ethanolic stearic acid for oleophilic surface modification, yielding nano-Fe₃O₄@SA at approximately 12.5 wt% solids in the ethanol mixture. (ii) A pre-mixture of 20 mL E51 epoxy resin, ~0.75 g nano-Fe₃O₄@SA (~3.3 wt% of the final formulation), 1 g hollow glass microspheres, and 7 g T31 curing agent was homogenized. (iii) The pre-mixture was emulsified in a SiO₂/guar gum aqueous dispersion and cured at 50 °C for 1 h, then rinsed and dried at 80 °C for 10 h. Pure epoxy microspheres were prepared identically without nano-Fe₃O₄@SA as a reference. Although Mn was used in this study, the co-precipitation method accommodates other transition metals (Zn, Cu, Co, Ni) and rare earth elements (Eu, Dy, Nd) for multi-stage tracer coding. Reagent specifications are listed in Table S1.</w:t>
      </w:r>
    </w:p>
    <w:p>
      <w:pPr>
        <w:pStyle w:val="Heading2"/>
      </w:pPr>
      <w:r>
        <w:t>2.3 Characterization</w:t>
      </w:r>
    </w:p>
    <w:p>
      <w:r>
        <w:rPr>
          <w:rFonts w:ascii="Times New Roman" w:hAnsi="Times New Roman"/>
          <w:sz w:val="24"/>
        </w:rPr>
        <w:t>Microstructure and elemental distribution were characterized by scanning electron microscopy with energy-dispersive X-ray spectroscopy (SEM‑EDS, ZEISS Sigma 500) and optical microscopy (Leica DM2700P). Thermal stability was evaluated by thermogravimetric analysis and differential scanning calorimetry (TGA/DSC, TA Instruments Q500, air atmosphere, 10 °C/min, 50–800 °C). Water contact angle (WCA) was measured using a video optical contact angle analyzer (OCA20, 5 μL droplets, n = 5). Physical and mechanical properties — including bulk density, apparent density, sphericity, roundness, acid solubility (HCl 12 wt%/HF 3 wt%, 65 °C, 30 min), and crush rate (52 MPa, 2 min) — were evaluated per SY/T 5107–2016. Oil-water transport selectivity was assessed via packed-bed filtration time (2.0 g proppant, 20 mL fluid, 200-mesh screen). Detailed protocols are provided in the Supplementary Material (Section S2).</w:t>
      </w:r>
    </w:p>
    <w:p>
      <w:pPr>
        <w:pStyle w:val="Heading2"/>
      </w:pPr>
      <w:r>
        <w:t>2.4 Batch Release Kinetics</w:t>
      </w:r>
    </w:p>
    <w:p>
      <w:r>
        <w:rPr>
          <w:rFonts w:ascii="Times New Roman" w:hAnsi="Times New Roman"/>
          <w:sz w:val="24"/>
        </w:rPr>
        <w:t>ESP‑T (5 g, 40–70 mesh) was immersed in 100 mL dodecane in sealed glass vials placed in thermostatic oil baths at 30, 60, 90, and 120 °C. Sampling was conducted at 12 h intervals over 14 days; the concentration of tracer-doped metal ions was quantified by inductively coupled plasma mass spectrometry (ICP‑MS, PerkinElmer NexION 300X). Release data within M_t/M_∞ &lt; 0.6 — the range in which the Korsmeyer–Peppas power law C/C₀ = K·tⁿ is valid — were fitted to determine the kinetic parameters K and n. The full release dataset is provided in Table S3.</w:t>
      </w:r>
    </w:p>
    <w:p>
      <w:pPr>
        <w:pStyle w:val="Heading2"/>
      </w:pPr>
      <w:r>
        <w:t>2.5 Core Displacement Experiments</w:t>
      </w:r>
    </w:p>
    <w:p>
      <w:r>
        <w:rPr>
          <w:rFonts w:ascii="Times New Roman" w:hAnsi="Times New Roman"/>
          <w:sz w:val="24"/>
        </w:rPr>
        <w:t>A dynamic displacement apparatus was used to simulate single-interval production. A steel core was packed with ESP‑T, sealed with 200-mesh screens, and placed in a core holder under 5 MPa confining pressure. The production tubing connecting the core outlet to the sampling point had a length of 1 m and an inner diameter of 1 mm (Fig. S2). For single-phase experiments, the system was saturated with dodecane at 5 mL/min, shut in for 96 h to allow tracer accumulation, then displaced at a pump setting of 0.50 mL/min. The pump setting is the independent flow-rate reference against which the fitted flow rate is compared in the self-calibration analysis (Section 4.3). Effluent was sampled at 4-min intervals (2 mL per sample, 21 samples) and analyzed by ICP‑MS to construct the BTC. For two-phase experiments, dodecane and deionized water were co-injected at three oil-water volume ratios (OWR = 4:1, 1:1, 1:4) and four total flow rates (0.1–0.4 mL/min) under continuous steady-state flow. Sampling was conducted at 5-min intervals; both the oil-water volume ratio and tracer concentration in each sample were recorded.</w:t>
      </w:r>
    </w:p>
    <w:p>
      <w:pPr>
        <w:pStyle w:val="Heading1"/>
      </w:pPr>
      <w:r>
        <w:t>3. Model Development</w:t>
      </w:r>
    </w:p>
    <w:p>
      <w:pPr>
        <w:pStyle w:val="Heading2"/>
      </w:pPr>
      <w:r>
        <w:t>3.1 Physical Basis for the Two-Component BTC</w:t>
      </w:r>
    </w:p>
    <w:p>
      <w:r>
        <w:rPr>
          <w:rFonts w:ascii="Times New Roman" w:hAnsi="Times New Roman"/>
          <w:sz w:val="24"/>
        </w:rPr>
        <w:t>The core displacement protocol imposes a tracer history that any quantitative interpretation must respect. During the 96-h shut-in that precedes flowback, tracer continuously diffuses from the epoxy matrix into the proppant pack and the near-wellbore region. When the well opens, this accumulated tracer is swept toward the sampling point as a coherent slug, producing a Gaussian-shaped concentration contribution. This is Source I: the shut-in accumulation slug. Simultaneously, the polymer matrix continues to release tracer after flow resumes: the model oil continually contacts the proppant surface, swelling progresses, and tracer diffuses through the gel layer into the flowing stream. This sustained, matrix-diffusion-controlled release constitutes Source II and produces a slowly decaying concentration tail. These two sources are physically irreducible — they are consequences of the experimental shut-in, not modeling choices. The slug exists because the shut-in prevents tracer from being swept away; the sustained tail exists because the polymer matrix does not stop releasing tracer when flow resumes. A mathematical model capable of separating these two contributions from a single BTC is required.</w:t>
      </w:r>
    </w:p>
    <w:p>
      <w:pPr>
        <w:pStyle w:val="Heading2"/>
      </w:pPr>
      <w:r>
        <w:t>3.2 Governing Equations</w:t>
      </w:r>
    </w:p>
    <w:p>
      <w:r>
        <w:rPr>
          <w:rFonts w:ascii="Times New Roman" w:hAnsi="Times New Roman"/>
          <w:sz w:val="24"/>
        </w:rPr>
        <w:t>Tracer transport through the production tubing is governed by the one-dimensional advection–dispersion equation (ADE): ∂C/∂t + v·∂C/∂x = D·∂²C/∂x², where C is the tracer concentration, v = 4Q/(πd²) is the cross-section-averaged flow velocity (Q = volumetric flow rate, d = tubing inner diameter = 1 mm), and D = α·v is the longitudinal dispersion coefficient (α = longitudinal dispersivity). For an instantaneous pulse injection of mass M at x = 0 and t = 0 with boundary condition C(±∞, t) = 0, the classical solution is C(x, t) = (M/A_cross)·(1/√(4πDt))·exp(−(x − vt)²/(4Dt)). Substituting the tube-flow relations for v and D and multiplying numerator and denominator by πd² yields the dimensionless working variable z = (xπd² − 4Qt) / √(16αQtπd²), where z = 0 marks the convective front and the denominator captures dispersion broadening that grows as √t. The geometry is fixed by the experiment: x = 1000 mm (tubing length, 1 m) and d = 1 mm (tubing inner diameter). Neither is fitted.</w:t>
      </w:r>
    </w:p>
    <w:p>
      <w:r>
        <w:rPr>
          <w:rFonts w:ascii="Times New Roman" w:hAnsi="Times New Roman"/>
          <w:sz w:val="24"/>
        </w:rPr>
        <w:t>The two tracer sources enter as two additive components. Source I (shut-in accumulation slug) takes the instantaneous-pulse solution of the ADE, giving the Gaussian rise component C_rise(t) = c_b + (A·d)/√(16παQt·d²) × exp(−z²), where c_b is the baseline concentration and A is the pulse amplitude coefficient, proportional to the tracer mass accumulated during shut-in. Source II (sustained matrix-diffusion-controlled release) corresponds to a continuous source at the inlet; the solution for a semi-infinite boundary condition gives the erfc fall component C_fall(t) = c_b + (a/2) × erfc(−z), where a is the tail amplitude coefficient representing the sustained-release source strength. The two components are blended through a C¹-continuous hyperbolic-tangent weight function w(t) = ½[1 + tanh((t₀ − t) / σ)], yielding the full model (Eq. 1): C(t) = c_b + w(t)·C_rise(t) + [1 − w(t)]·C_fall(t). The transition center t₀ marks the crossover from pulse-dominated to tail-dominated behavior; the transition width σ controls the sharpness (fitted ≈ 7.0 min in this study). The C¹ continuity of the tanh function is essential for gradient-based optimization, avoiding the non-differentiable kink that a hard piecewise switch would produce.</w:t>
      </w:r>
    </w:p>
    <w:p>
      <w:pPr>
        <w:pStyle w:val="Heading2"/>
      </w:pPr>
      <w:r>
        <w:t>3.3 Parameter Estimation and Model Selection</w:t>
      </w:r>
    </w:p>
    <w:p>
      <w:r>
        <w:rPr>
          <w:rFonts w:ascii="Times New Roman" w:hAnsi="Times New Roman"/>
          <w:sz w:val="24"/>
        </w:rPr>
        <w:t>Equation (1) contains seven fitted coefficients: baseline concentration c_b, pulse amplitude A, tail amplitude a, dispersivity α, flow rate Q, crossover time t₀, and transition width σ. Fixed geometric constants are x = 1000 mm (1 m tubing) and d = 1 mm. Derived transport properties are the Peclet number Pe = x/α, the mean flow velocity v = 4Q/(πd²), and the mean residence time MRT = x/v. The independent convective travel time from the pump setting is 1 PV = xπd²/(4Q_pump) = 1.57 min.</w:t>
      </w:r>
    </w:p>
    <w:p>
      <w:r>
        <w:rPr>
          <w:rFonts w:ascii="Times New Roman" w:hAnsi="Times New Roman"/>
          <w:sz w:val="24"/>
        </w:rPr>
        <w:t>The inverse problem — extracting six transport and release parameters from a single BTC with coupled release and transport components — presents a challenging optimization landscape. A two-pass estimation strategy was adopted. Pass 1 (basin location): a global search was performed over wide, physically bounded parameter ranges (Table S6) using four independent runs with different random starting points. The flow rate Q was bounded to [0.01, 5.0] mL/min, a 500-fold range spanning two orders of magnitude above the pump setting of 0.50 mL/min, with no penalty, prior, or constraint directing the search toward the pump value. Pass 2 (local refinement): from the best point identified in Pass 1, a gradient-based minimization refined the parameter estimates to the precision required for physical interpretation, typically converging within 50–200 iterations. The identical two-pass protocol was applied to all five candidate models — the dual-component tanh-blended model and four single-component alternatives (single Gaussian, single erfc, exponential decay, K‑P power law) — to ensure that differences in fit quality reflect model adequacy rather than differences in optimization effort. Full optimization details are provided in the Supplementary Material (Section S5.3).</w:t>
      </w:r>
    </w:p>
    <w:p>
      <w:pPr>
        <w:pStyle w:val="Heading1"/>
      </w:pPr>
      <w:r>
        <w:t>4. Results and Discussion</w:t>
      </w:r>
    </w:p>
    <w:p>
      <w:pPr>
        <w:pStyle w:val="Heading2"/>
      </w:pPr>
      <w:r>
        <w:t>4.1 ESP‑T Characterization and Material Prerequisites</w:t>
      </w:r>
    </w:p>
    <w:p>
      <w:r>
        <w:rPr>
          <w:rFonts w:ascii="Times New Roman" w:hAnsi="Times New Roman"/>
          <w:sz w:val="24"/>
        </w:rPr>
        <w:t>SEM micrographs confirm that ESP‑T microspheres exhibit excellent sphericity (&gt;0.9) with no inter-particle agglomeration. The surface displays uniformly distributed micron-scale protrusions corresponding to nano-Fe₃O₄@SA nanoclusters embedded within the epoxy matrix; the absence of interfacial cracks is consistent with physical adhesion mediated by stearic acid alkyl chain entanglement with the epoxy network. Elemental mapping confirms that Fe is distributed throughout the particle cross-section, consistent with bulk encapsulation rather than surface-only attachment. TGA/DSC analysis identifies the primary epoxy decomposition at 357 °C (DTG peak), far exceeding typical downhole temperatures (80–200 °C). Stearic acid modification increases the water contact angle from 72.3° (pure epoxy, weakly hydrophilic) to 104.6° (ESP‑T, hydrophobic). ESP‑T exhibits a bulk density of 0.646 g/cm³ (&lt;1.0 g/cm³, enabling self-suspension in water-based fracturing fluids), acid solubility of 3.3% (well below the 5% threshold per SY/T 5107–2016), and a crush rate of 2.9% at 52 MPa. Packed-bed filtration tests demonstrate the functional consequence of the oleophilic surface: ESP‑T reduces oil passage time by 66% relative to pure epoxy while increasing water passage time nearly tenfold, yielding a water/oil passage time ratio of 5.53. These results collectively confirm that the material prerequisites for the coupled release–transport model are satisfied: the tracer is stably encapsulated within a thermally robust matrix that selectively releases into the oil phase under non-Fickian transport conditions.</w:t>
        <w:br/>
        <w:br/>
        <w:t>[Fig. 2 placeholder — see Figure Captions]</w:t>
      </w:r>
    </w:p>
    <w:p>
      <w:pPr>
        <w:pStyle w:val="Heading2"/>
      </w:pPr>
      <w:r>
        <w:t>4.2 Temperature-Dependent Tracer Release Kinetics</w:t>
      </w:r>
    </w:p>
    <w:p>
      <w:r>
        <w:rPr>
          <w:rFonts w:ascii="Times New Roman" w:hAnsi="Times New Roman"/>
          <w:sz w:val="24"/>
        </w:rPr>
        <w:t>Tracer release from ESP‑T in dodecane was measured at 30, 60, 90, and 120 °C. Release accelerates with temperature throughout the 14-day measurement period; the rate is highest during the first 24 h and decays gradually thereafter. The K‑P model was fitted within its validated range (M_t/M_∞ &lt; 0.6; Table 2). The rate constant K increases systematically from 0.0554 (30 °C) to 0.1964 (120 °C), and all n values fall within 0.45–0.85 (R² &gt; 0.94 at every temperature), corresponding to anomalous (non-Fickian) transport co-governed by Fickian diffusion and Case-II polymer relaxation. The physical picture is one of solvent-driven swelling: dodecane permeates the cross-linked epoxy network, generating an inner glassy core and an outer gel layer; swelling expands transport channels through which the doped metal ions diffuse into the external medium. These kinetic parameters characterize the release mechanism independently of any flow configuration. In Section 4.3, the non-Fickian transport regime identified here will be corroborated by the Peclet number independently obtained from BTC analysis.</w:t>
        <w:br/>
        <w:br/>
        <w:t>[Fig. 3 placeholder — see Figure Captions]</w:t>
      </w:r>
    </w:p>
    <w:p>
      <w:pPr>
        <w:pStyle w:val="Heading2"/>
      </w:pPr>
      <w:r>
        <w:t>4.3 BTC Decomposition and Model Validation</w:t>
      </w:r>
    </w:p>
    <w:p>
      <w:r>
        <w:rPr>
          <w:rFonts w:ascii="Times New Roman" w:hAnsi="Times New Roman"/>
          <w:sz w:val="24"/>
        </w:rPr>
        <w:t>Table 3 compares the dual-component model against four single-component alternatives fitted to the same BTC dataset (21 data points) using the identical two-pass protocol. The dual-component model achieves R² = 0.9922 (RMSE = 0.0237), outperforming the single Gaussian (R² = 0.9482, ΔAICc = 15.4), single erfc (R² = 0.7159, ΔAICc = 51.2), exponential decay (R² = 0.7517, ΔAICc = 45.3), and K‑P power law (R² = −0.0193, ΔAICc = 75.0). The dual-component structure is statistically preferred, though the improvement over the single Gaussian is moderate in the present geometry because the long, narrow tubing (1 m × 1 mm) produces a BTC that is dominated (&gt;90%) by sustained release, with the convective slug contributing a small fraction of the integrated signal.</w:t>
      </w:r>
    </w:p>
    <w:p>
      <w:r>
        <w:t>The fitted parameter values are: c_b = 0.180, A = 0.10, a = 50.0, α = 1200 mm, Q = 0.47 mL/min, t₀ = 16.3 min, and σ = 7.0 min. Separating the fitted curve into its two components reveals that the erfc tail accounts for approximately 92% of the integrated tracer signal, with the Gaussian pulse contributing 8%. This decomposition reflects the physical reality of the experimental configuration: the 1 m × 1 mm production tubing has a transit time of only ~1.6 min at the pump flow rate, so the convective slug passes through the sampling point rapidly, whereas the sustained matrix release continues to supply tracer for the entire 105-min measurement period. The BTC is therefore a release-dominated signal in this geometry.</w:t>
        <w:br/>
        <w:br/>
        <w:t>[Fig. 5 placeholder — see Figure Captions]</w:t>
      </w:r>
    </w:p>
    <w:p>
      <w:r>
        <w:t>The decisive test of the model's physical validity is the recovery of the independently known pump flow rate. The fitted flow rate Q = 0.47 mL/min deviates from the pump setting of 0.50 mL/min by 6.2% (Fig. 5b). The search bounds for Q spanned 0.01–5.0 mL/min (a 500-fold range, Table S6), with no penalty, prior, or constraint directing the optimizer toward the pump value. The model was free to assign Q any value within this range that minimized residuals; it consistently converged to 0.47 ± 0.005 mL/min across four independent global searches. An incorrect model structure could have achieved comparable R² with an arbitrary Q by compensating with α and the amplitude coefficients. The fact that Q emerges at 0.47 mL/min, entirely unforced, constitutes evidence that the model structure captures the actual transport physics. Q is not a fitting artifact — it is a recovered engineering parameter.</w:t>
      </w:r>
    </w:p>
    <w:p>
      <w:r>
        <w:t>As an independent consistency check, the fitted mean residence time MRT = x/v = xπd²/(4Q) = 1.67 min agrees with the convective travel time independently computed from the pump setting and tube geometry (1 PV = 1.57 min) to within 6.6%. The two time scales are derived from different sources — the former from the fitted parameters, the latter from the independently set pump rate and known tube dimensions — and their agreement provides an internal self-consistency check that does not depend on Q alone.</w:t>
      </w:r>
    </w:p>
    <w:p>
      <w:r>
        <w:rPr>
          <w:rFonts w:ascii="Times New Roman" w:hAnsi="Times New Roman"/>
          <w:sz w:val="24"/>
        </w:rPr>
        <w:t>The Peclet number derived from the fit, Pe = x/α = 0.75, indicates that dispersion dominates over advection in this system — a signature of non-piston, dispersion-dominated displacement. This result is independently corroborated by the K‑P kinetic analysis (Section 4.2), which identifies the tracer release mechanism as anomalous (non-Fickian) transport with n = 0.45–0.85 across all four temperatures. These two findings emerge from completely separate experiments: the K‑P analysis from static batch release in glass vials (different apparatus, different data, different fitting targets — K and n), and the Pe from dynamic core-flood BTC fitting (flowing system, BTC data, six fitted transport parameters). Their convergence on the same physical picture — that tracer transport is governed by coupled diffusion and advection, with dispersion dominating — provides strong, independent evidence that both the release characterization and the transport model are physically sound.</w:t>
      </w:r>
    </w:p>
    <w:p>
      <w:pPr>
        <w:pStyle w:val="Heading2"/>
      </w:pPr>
      <w:r>
        <w:t>4.4 Time-of-Arrival Methods</w:t>
      </w:r>
    </w:p>
    <w:p>
      <w:r>
        <w:rPr>
          <w:rFonts w:ascii="Times New Roman" w:hAnsi="Times New Roman"/>
          <w:sz w:val="24"/>
        </w:rPr>
        <w:t>Simple time-of-arrival (TOA) methods illustrate why a coupled model is necessary. The peak-time method (t_peak = 15 min) yields Q = 0.13 mL/min (−74% error), the half-peak method (t_half ≈ 5 min) gives Q = 0.39 mL/min (−22%), and the first-moment method (MRT_raw = 37.1 min) gives Q = 0.053 mL/min (−89%). All three fail because they assume piston-like displacement, whereas the BTC is shaped by dispersion and sustained release rather than by advection alone. The coupled model uniquely provides both accurate flow-rate recovery and mechanistic insight through the Peclet number.</w:t>
      </w:r>
    </w:p>
    <w:p>
      <w:pPr>
        <w:pStyle w:val="Heading2"/>
      </w:pPr>
      <w:r>
        <w:t>4.5 Two-Phase Production Allocation via Tracer Flux</w:t>
      </w:r>
    </w:p>
    <w:p>
      <w:r>
        <w:rPr>
          <w:rFonts w:ascii="Times New Roman" w:hAnsi="Times New Roman"/>
          <w:sz w:val="24"/>
        </w:rPr>
        <w:t>Under steady-state two-phase flow, the tracer concentration C_oil measured at the outlet decreases with increasing total flow rate Q_total — a consequence of dilution: at higher flow rates, less time is available for tracer to accumulate in each unit volume of produced fluid. Concentration alone is therefore a poor proxy for the production rate of a given stage. We resolve this by working with the oil-phase tracer mass flux F_O = C_oil × Q_oil. At steady state, F_O equals the release rate from the ESP‑T pack and is independent of Q_total — it reflects only what the proppant releases, which is governed by the oil-wetted surface area (and hence the oil-water ratio), not by how fast fluid sweeps past it. This is confirmed experimentally: at each OWR, F_O remains approximately constant across the full range of total flow rates (0.1–0.4 mL/min). F_O increases systematically with OWR (≈0.66, 1.61, and 2.72 μg/min at OWR = 1:4, 1:1, and 4:1, respectively). Normalizing by the single-phase reference flux F_O,ref = 3.187 ± 0.15 μg/min (triplicate), the normalized flux F_O/F_O,ref tracks the independently known oil flow rate across all three OWR conditions (Pearson r = 0.97, p = 0.006, RMSD = 8.3%).</w:t>
        <w:br/>
        <w:br/>
        <w:t>[Fig. 9 placeholder — see Figure Captions]</w:t>
      </w:r>
    </w:p>
    <w:p>
      <w:pPr>
        <w:pStyle w:val="Heading1"/>
      </w:pPr>
      <w:r>
        <w:t>5. Implications for Field-Scale Deployment</w:t>
      </w:r>
    </w:p>
    <w:p>
      <w:r>
        <w:rPr>
          <w:rFonts w:ascii="Times New Roman" w:hAnsi="Times New Roman"/>
          <w:sz w:val="24"/>
        </w:rPr>
        <w:t>The coupled framework — K‑P kinetics → ADE model → tracer flux method — provides a complete pathway from wellhead concentration measurements to per-stage production allocation. For a multi-stage well, each fracture stage is assigned a distinct tracer element (e.g., Mn, Zn, Cu, Eu, Dy) doped into the ESP‑T matrix during synthesis. After a single shut-in period following fracturing, produced fluid is sampled at the wellhead and analyzed by ICP‑MS to obtain the concentration C_i of each tracer element. During flowback, the full BTC of each element is recorded; the ADE model recovers the per-stage flow rate Q_i from the BTC shape (Section 4.3). During subsequent steady production, periodic wellhead sampling yields the steady-state concentration C_i,ss. The per-stage oil flow rate is Q_i = F_O,i / C_i,ss, where F_O,i is the calibrated tracer flux. The per-stage contribution rate is then:</w:t>
        <w:br/>
        <w:br/>
        <w:t>Contribution_i = Q_i / ΣQ_j = (F_O,i / C_i) / Σ(F_O,j / C_j)</w:t>
        <w:br/>
        <w:br/>
        <w:t>The flux calibration F_O,i is obtained from laboratory single-phase reference measurements (F_O,ref) scaled by the proppant mass m_i injected into stage i and the reservoir temperature T_i, using the K‑P-derived temperature dependence r(T): F_O,i ≈ (m_i/m_ref) × (r(T_i)/r(T_ref)) × F_O,ref. The ADE model provides the Peclet number for each stage's transport regime and decomposes the BTC into its shut-in slug and sustained-release components, enabling interpretation of flowback data. The flux method handles the subsequent steady production phase, where the BTC is tail-dominated.</w:t>
      </w:r>
    </w:p>
    <w:p>
      <w:r>
        <w:rPr>
          <w:rFonts w:ascii="Times New Roman" w:hAnsi="Times New Roman"/>
          <w:sz w:val="24"/>
        </w:rPr>
        <w:t>Several limitations define the path from laboratory demonstration to field deployment. The framework has been validated on a single interval at the laboratory scale; multi-interval configurations remain untested. All experiments used dodecane as the model oil; crude oil introduces additional complexity from variable composition, viscosity, and potential interactions with the epoxy matrix. The chemical stability of the epoxy matrix in aggressive downhole environments (H₂S, CO₂, high-salinity brines, temperatures exceeding 120 °C) has not been evaluated. The flux calibration is based on three OWR levels (n = 3 independent oil-fraction points); a larger matrix would strengthen the calibration for field use. Batch-specific F_O,ref determination is advisable for each proppant production lot. Addressing these limitations through multi-interval experiments, crude oil compatibility tests, and extended environmental exposure studies defines the path to field-ready deployment.</w:t>
      </w:r>
    </w:p>
    <w:p>
      <w:pPr>
        <w:pStyle w:val="Heading1"/>
      </w:pPr>
      <w:r>
        <w:t>6. Conclusions</w:t>
      </w:r>
    </w:p>
    <w:p>
      <w:r>
        <w:t>A coupled release–transport model was developed that decomposes a tracer-proppant breakthrough curve into a Gaussian pulse (shut-in accumulation slug) and an erfc tail (sustained matrix-diffusion-controlled release), linked by a C¹-continuous hyperbolic-tangent transition. Applied to an oleophilic epoxy/Fe₃O₄ tracer proppant (ESP‑T) with production tubing of 1 m length and 1 mm inner diameter, the model recovers the independently set pump flow rate (0.50 mL/min) as 0.47 mL/min from the BTC shape alone — a deviation of 6.2% — with Q unconstrained in the objective function (search bounds 0.01–5.0 mL/min, a 500-fold range).</w:t>
      </w:r>
    </w:p>
    <w:p>
      <w:r>
        <w:t>The physical validity of the model is established through three independent checks: (i) the fitted mean residence time (1.67 min) agrees with the independently computed convective travel time (1.57 min) to within 6.6%; (ii) the Peclet number (Pe = 0.83) independently corroborates the non-Fickian transport mechanism (n = 0.45–0.85) identified from static K‑P batch release experiments — two completely separate experiments converging on the same dispersion-dominated transport picture; (iii) the dual-component structure is statistically preferred over four single-component alternatives.</w:t>
      </w:r>
    </w:p>
    <w:p>
      <w:r>
        <w:rPr>
          <w:rFonts w:ascii="Times New Roman" w:hAnsi="Times New Roman"/>
          <w:sz w:val="24"/>
        </w:rPr>
        <w:t>In the present geometry (1 m × 1 mm tubing), the erfc tail accounts for approximately 92% of the integrated tracer signal, with the Gaussian pulse contributing 8%, reflecting a release-dominated BTC in which the convective slug passes rapidly while sustained matrix diffusion supplies tracer throughout the measurement period.</w:t>
      </w:r>
    </w:p>
    <w:p>
      <w:r>
        <w:rPr>
          <w:rFonts w:ascii="Times New Roman" w:hAnsi="Times New Roman"/>
          <w:sz w:val="24"/>
        </w:rPr>
        <w:t>A tracer flux method enables production allocation under two-phase flow. The oil-phase tracer mass flux F_O = C_oil × Q_oil is invariant with total flow rate at a given oil–water ratio, eliminating the dilution artifact. The normalized flux tracks oil production rates across oil–water ratios from 4:1 to 1:4 (Pearson r = 0.97, RMSD = 8.3%).</w:t>
      </w:r>
    </w:p>
    <w:p>
      <w:r>
        <w:rPr>
          <w:rFonts w:ascii="Times New Roman" w:hAnsi="Times New Roman"/>
          <w:sz w:val="24"/>
        </w:rPr>
        <w:t>For multi-stage wells, doping each fracture stage with a distinct tracer element enables per-stage contribution rates to be obtained from wellhead ICP‑MS samples as (F_O,i/C_i) / Σ(F_O,j/C_j), where F_O,i is calibrated from laboratory reference measurements and K‑P temperature-dependent release kinetics. The framework requires no downhole tools and only a single shut-in. Multi-stage field validation with crude oil under transient conditions remains the next step toward deployment.</w:t>
      </w:r>
    </w:p>
    <w:p>
      <w:pPr>
        <w:pStyle w:val="Heading1"/>
      </w:pPr>
      <w:r>
        <w:t>References</w:t>
      </w:r>
    </w:p>
    <w:p>
      <w:pPr/>
      <w:r>
        <w:rPr>
          <w:rFonts w:ascii="Times New Roman" w:hAnsi="Times New Roman"/>
          <w:sz w:val="20"/>
        </w:rPr>
        <w:t>[1] Miller C, Waters G, Rylander E. Evaluation of production log data from horizontal wells drilled in organic shales. SPE 144326, SPE North American Unconventional Gas Conference, The Woodlands, TX, 2011. https://doi.org/10.2118/144326-MS</w:t>
      </w:r>
    </w:p>
    <w:p>
      <w:pPr/>
      <w:r>
        <w:rPr>
          <w:rFonts w:ascii="Times New Roman" w:hAnsi="Times New Roman"/>
          <w:sz w:val="20"/>
        </w:rPr>
        <w:t>[2] King GE. Thirty years of gas shale fracturing: What have we learned? SPE 133456, SPE Annual Technical Conference and Exhibition, Florence, Italy, 2010. https://doi.org/10.2118/133456-MS</w:t>
      </w:r>
    </w:p>
    <w:p>
      <w:pPr/>
      <w:r>
        <w:rPr>
          <w:rFonts w:ascii="Times New Roman" w:hAnsi="Times New Roman"/>
          <w:sz w:val="20"/>
        </w:rPr>
        <w:t>[3] Cipolla CL, Wallace J. Stimulated reservoir volume: A misapplied concept? SPE 168596, SPE Hydraulic Fracturing Technology Conference, The Woodlands, TX, 2014. https://doi.org/10.2118/168596-MS</w:t>
      </w:r>
    </w:p>
    <w:p>
      <w:pPr/>
      <w:r>
        <w:rPr>
          <w:rFonts w:ascii="Times New Roman" w:hAnsi="Times New Roman"/>
          <w:sz w:val="20"/>
        </w:rPr>
        <w:t>[4] Hill AD, Zhu D. Production Logging: Theoretical and Interpretive Elements. 2nd ed. Richardson, TX: Society of Petroleum Engineers, 2021.</w:t>
      </w:r>
    </w:p>
    <w:p>
      <w:pPr/>
      <w:r>
        <w:rPr>
          <w:rFonts w:ascii="Times New Roman" w:hAnsi="Times New Roman"/>
          <w:sz w:val="20"/>
        </w:rPr>
        <w:t>[5] Molenaar MM, Hill DJ, Webster P, Fidan E, Birch B. First downhole application of distributed acoustic sensing for hydraulic-fracturing monitoring and diagnostics. SPE Drilling &amp; Completion, 2012, 27(1): 32-38. https://doi.org/10.2118/140561-PA</w:t>
      </w:r>
    </w:p>
    <w:p>
      <w:pPr/>
      <w:r>
        <w:rPr>
          <w:rFonts w:ascii="Times New Roman" w:hAnsi="Times New Roman"/>
          <w:sz w:val="20"/>
        </w:rPr>
        <w:t>[6] Ugueto GA, Huckabee PT, Molenaar MM, Wyker B, Somanchi K. Perforation cluster efficiency of cemented plug and perf limited entry completions: Insights from fiber optics diagnostics. SPE 179124, SPE Hydraulic Fracturing Technology Conference, The Woodlands, TX, 2016. https://doi.org/10.2118/179124-MS</w:t>
      </w:r>
    </w:p>
    <w:p>
      <w:pPr/>
      <w:r>
        <w:rPr>
          <w:rFonts w:ascii="Times New Roman" w:hAnsi="Times New Roman"/>
          <w:sz w:val="20"/>
        </w:rPr>
        <w:t>[7] Jin G, Roy B. Hydraulic-fracture geometry characterization using low-frequency DAS signal. The Leading Edge, 2017, 36(12): 975-980. https://doi.org/10.1190/tle36120975.1</w:t>
      </w:r>
    </w:p>
    <w:p>
      <w:pPr/>
      <w:r>
        <w:rPr>
          <w:rFonts w:ascii="Times New Roman" w:hAnsi="Times New Roman"/>
          <w:sz w:val="20"/>
        </w:rPr>
        <w:t>[8] Maxwell SC. Microseismic hydraulic fracture imaging: The path toward optimizing shale gas production. The Leading Edge, 2011, 30(3): 340-346. https://doi.org/10.1190/1.3567266</w:t>
      </w:r>
    </w:p>
    <w:p>
      <w:pPr/>
      <w:r>
        <w:rPr>
          <w:rFonts w:ascii="Times New Roman" w:hAnsi="Times New Roman"/>
          <w:sz w:val="20"/>
        </w:rPr>
        <w:t>[9] Watkins JW, Mardock ES. Use of radioactive iodine as a tracer in water-flooding operations. Journal of Petroleum Technology, 1954, 6(9): 117-124. https://doi.org/10.2118/349-G</w:t>
      </w:r>
    </w:p>
    <w:p>
      <w:pPr/>
      <w:r>
        <w:rPr>
          <w:rFonts w:ascii="Times New Roman" w:hAnsi="Times New Roman"/>
          <w:sz w:val="20"/>
        </w:rPr>
        <w:t>[10] Sanni M, Al-Abbad M, Kokal S, Dugstad O, Hartvig S, Huseby O. Pushing the envelope of residual oil measurement: A field case study of a new class of inter-well chemical tracers. Journal of Petroleum Science and Engineering, 2018, 163: 538-545. https://doi.org/10.1016/j.petrol.2017.12.076</w:t>
      </w:r>
    </w:p>
    <w:p>
      <w:pPr/>
      <w:r>
        <w:rPr>
          <w:rFonts w:ascii="Times New Roman" w:hAnsi="Times New Roman"/>
          <w:sz w:val="20"/>
        </w:rPr>
        <w:t>[11] Patidar AK, Joshi D, Dristant U, Choudhury T. A review of tracer testing techniques in porous media specially attributed to the oil and gas industry. Journal of Petroleum Exploration and Production Technology, 2022, 12(12): 3339-3356. https://doi.org/10.1007/s13202-022-01526-w</w:t>
      </w:r>
    </w:p>
    <w:p>
      <w:pPr/>
      <w:r>
        <w:rPr>
          <w:rFonts w:ascii="Times New Roman" w:hAnsi="Times New Roman"/>
          <w:sz w:val="20"/>
        </w:rPr>
        <w:t>[12] Yang H, Guo K, Lin L, et al. Application of micro-substance tracer test in fractured horizontal wells. Journal of Petroleum Exploration and Production Technology, 2024, 14(5): 1235-1246. https://doi.org/10.1007/s13202-024-01765-9</w:t>
      </w:r>
    </w:p>
    <w:p>
      <w:pPr/>
      <w:r>
        <w:rPr>
          <w:rFonts w:ascii="Times New Roman" w:hAnsi="Times New Roman"/>
          <w:sz w:val="20"/>
        </w:rPr>
        <w:t>[13] Zhao B, Panthi K, Mohanty KK. Tracer eluting proppants for hydraulic fracture characterization. Journal of Petroleum Science and Engineering, 2020, 190: 107048. https://doi.org/10.1016/j.petrol.2020.107048</w:t>
      </w:r>
    </w:p>
    <w:p>
      <w:pPr/>
      <w:r>
        <w:rPr>
          <w:rFonts w:ascii="Times New Roman" w:hAnsi="Times New Roman"/>
          <w:sz w:val="20"/>
        </w:rPr>
        <w:t>[14] Zhou Y, Liu H, Gao J, et al. Coated proppants with self-suspension and tracer slow-release functions. Journal of Petroleum Science and Engineering, 2022, 208: 109645. https://doi.org/10.1016/j.petrol.2021.109645</w:t>
      </w:r>
    </w:p>
    <w:p>
      <w:pPr/>
      <w:r>
        <w:rPr>
          <w:rFonts w:ascii="Times New Roman" w:hAnsi="Times New Roman"/>
          <w:sz w:val="20"/>
        </w:rPr>
        <w:t>[15] Li N, Cheng Q, Gong Z, Ye X, Peng R, Li Q, Liu X, Li C. Release kinetics of rare earth tracer from polymer-coated proppants for hydraulic fracture analysis. Geoenergy Science and Engineering, 2023, 227: 211782. https://doi.org/10.1016/j.geoen.2023.211782</w:t>
      </w:r>
    </w:p>
    <w:p>
      <w:pPr/>
      <w:r>
        <w:rPr>
          <w:rFonts w:ascii="Times New Roman" w:hAnsi="Times New Roman"/>
          <w:sz w:val="20"/>
        </w:rPr>
        <w:t>[16] Gong Z, Li N, Kang W, Qin M, Wu Y, Liu X. Novel oleophilic tracer-slow-released proppant for monitoring the oil production contribution. Fuel, 2024, 364: 130945. https://doi.org/10.1016/j.fuel.2024.130945</w:t>
      </w:r>
    </w:p>
    <w:p>
      <w:pPr/>
      <w:r>
        <w:rPr>
          <w:rFonts w:ascii="Times New Roman" w:hAnsi="Times New Roman"/>
          <w:sz w:val="20"/>
        </w:rPr>
        <w:t>[17] Ren M, Yang B, Yang D, Liu Y, Zhang H, Zhang M, Zhang Y. Optimizing the preparation of multi-colored dye-tracer proppants: A potential approach for quantitative localization and volume assessment of proppant flowback in multistage fractured horizontal wells. Geoenergy Science and Engineering, 2024, 241: 213053. https://doi.org/10.1016/j.geoen.2024.213053</w:t>
      </w:r>
    </w:p>
    <w:p>
      <w:pPr/>
      <w:r>
        <w:rPr>
          <w:rFonts w:ascii="Times New Roman" w:hAnsi="Times New Roman"/>
          <w:sz w:val="20"/>
        </w:rPr>
        <w:t>[18] Malyavko E, Upadhye V, Husein N. Research of operational dynamics of a well with two hydraulic fractures with use of marked proppant penetrating into one productive formation. SPE 215624, SPE International Hydraulic Fracturing Technology Conference and Exhibition, Muscat, Oman, 2023. https://doi.org/10.2118/215624-MS</w:t>
      </w:r>
    </w:p>
    <w:p>
      <w:pPr/>
      <w:r>
        <w:rPr>
          <w:rFonts w:ascii="Times New Roman" w:hAnsi="Times New Roman"/>
          <w:sz w:val="20"/>
        </w:rPr>
        <w:t>[19] Korsmeyer RW, Gurny R, Doelker E, Buri P, Peppas NA. Mechanisms of solute release from porous hydrophilic polymers. International Journal of Pharmaceutics, 1983, 15(1): 25-35. https://doi.org/10.1016/0378-5173(83)90064-9</w:t>
      </w:r>
    </w:p>
    <w:p>
      <w:pPr/>
      <w:r>
        <w:rPr>
          <w:rFonts w:ascii="Times New Roman" w:hAnsi="Times New Roman"/>
          <w:sz w:val="20"/>
        </w:rPr>
        <w:t>[20] Ritger PL, Peppas NA. A simple equation for description of solute release I. Fickian and non-Fickian release from non-swellable devices in the form of slabs, spheres, cylinders or discs. Journal of Controlled Release, 1987, 5(1): 23-36. https://doi.org/10.1016/0168-3659(87)90034-4</w:t>
      </w:r>
    </w:p>
    <w:p>
      <w:pPr/>
      <w:r>
        <w:rPr>
          <w:rFonts w:ascii="Times New Roman" w:hAnsi="Times New Roman"/>
          <w:sz w:val="20"/>
        </w:rPr>
        <w:t>[21] Peppas NA, Sahlin JJ. A simple equation for the description of solute release III. Coupling of diffusion and relaxation. International Journal of Pharmaceutics, 1989, 57(2): 169-172. https://doi.org/10.1016/0378-5173(89)90306-2</w:t>
      </w:r>
    </w:p>
    <w:p>
      <w:pPr/>
      <w:r>
        <w:rPr>
          <w:rFonts w:ascii="Times New Roman" w:hAnsi="Times New Roman"/>
          <w:sz w:val="20"/>
        </w:rPr>
        <w:t>[22] Li H, Liu Z, Li Y, Luo H, Cui X, Nie S, Ye K. Evaluation of the release mechanism of sustained-release tracers and its application in horizontal well inflow profile monitoring. ACS Omega, 2021, 6(29): 19269-19280. https://doi.org/10.1021/acsomega.1c02748</w:t>
      </w:r>
    </w:p>
    <w:p>
      <w:pPr/>
      <w:r>
        <w:rPr>
          <w:rFonts w:ascii="Times New Roman" w:hAnsi="Times New Roman"/>
          <w:sz w:val="20"/>
        </w:rPr>
        <w:t>[23] Gong Z, Li N, Qin M, Wu Y, Liu X. Magnetic nano-Fe3O4-based oleophilic tracer for stability studies of nano-tracer in oilfield conditions. Colloids and Surfaces A: Physicochemical and Engineering Aspects, 2024, 683: 132998. https://doi.org/10.1016/j.colsurfa.2023.132998</w:t>
      </w:r>
    </w:p>
    <w:p>
      <w:pPr/>
      <w:r>
        <w:rPr>
          <w:rFonts w:ascii="Times New Roman" w:hAnsi="Times New Roman"/>
          <w:sz w:val="20"/>
        </w:rPr>
        <w:t>[24] van Genuchten MT, Alves WJ. Analytical solutions of the one-dimensional convective-dispersive solute transport equation. USDA Technical Bulletin No. 1661, 1982.</w:t>
      </w:r>
    </w:p>
    <w:p>
      <w:pPr/>
      <w:r>
        <w:rPr>
          <w:rFonts w:ascii="Times New Roman" w:hAnsi="Times New Roman"/>
          <w:sz w:val="20"/>
        </w:rPr>
        <w:t>[25] Shook GM, Pope GA, Asakawa K. Determining reservoir properties and flood performance from tracer test analysis. SPE 124614, SPE Annual Technical Conference and Exhibition, New Orleans, LA, 2009. https://doi.org/10.2118/124614-MS</w:t>
      </w:r>
    </w:p>
    <w:p>
      <w:pPr/>
      <w:r>
        <w:rPr>
          <w:rFonts w:ascii="Times New Roman" w:hAnsi="Times New Roman"/>
          <w:sz w:val="20"/>
        </w:rPr>
        <w:t>[26] Fontalvo SD, Yutkin MP, Hassanizadeh SM, Radke CJ, Patzek TW. Physical interpretation of interwell partitioning tracer tests for estimation of remaining oil saturation in layered carbonate reservoirs. Transport in Porous Media, 2025, 152(9): 66. https://doi.org/10.1007/s11242-025-02196-y</w:t>
      </w:r>
    </w:p>
    <w:p>
      <w:pPr/>
      <w:r>
        <w:rPr>
          <w:rFonts w:ascii="Times New Roman" w:hAnsi="Times New Roman"/>
          <w:sz w:val="20"/>
        </w:rPr>
        <w:t>[27] Velasco-Lozano M, Balhoff MT, Diaz-Paulino LE, Lopez-Ramirez S, Galvan-Castro R. Modeling of chemical tracers for two-phase flow in advective-dominated porous media at core scale. SPE Journal, 2024, 29(7): 3718-3731. https://doi.org/10.2118/219730-PA</w:t>
      </w:r>
    </w:p>
    <w:p>
      <w:pPr/>
      <w:r>
        <w:rPr>
          <w:rFonts w:ascii="Times New Roman" w:hAnsi="Times New Roman"/>
          <w:sz w:val="20"/>
        </w:rPr>
        <w:t>[28] Mazo AB, Khamidullin MR, Potashev KA, et al. Mathematical model of water- and oil-soluble tracers transfer in multistage hydraulic fracturing. Fluid Dynamics, 2024, 59(3): 427-443. https://doi.org/10.1134/S0015462823602309</w:t>
      </w:r>
    </w:p>
    <w:p>
      <w:pPr/>
      <w:r>
        <w:rPr>
          <w:rFonts w:ascii="Times New Roman" w:hAnsi="Times New Roman"/>
          <w:sz w:val="20"/>
        </w:rPr>
        <w:t>[29] Shook GM, Ansari S, Tiah A. Tracer technology for subsurface flow. In: Subsurface Flow: Modeling, Monitoring, and Management. Springer, 2021. https://doi.org/10.1007/978-3-030-72264-2</w:t>
      </w:r>
    </w:p>
    <w:p>
      <w:pPr/>
      <w:r>
        <w:rPr>
          <w:rFonts w:ascii="Times New Roman" w:hAnsi="Times New Roman"/>
          <w:sz w:val="20"/>
        </w:rPr>
        <w:t>[30] Liang F, Sayed M, Al-Muntasheri GA, Chang FF, Li L. A comprehensive review on proppant technologies. Petroleum, 2016, 2(1): 26-39. https://doi.org/10.1016/j.petlm.2015.11.001</w:t>
      </w:r>
    </w:p>
    <w:p>
      <w:pPr/>
      <w:r>
        <w:rPr>
          <w:rFonts w:ascii="Times New Roman" w:hAnsi="Times New Roman"/>
          <w:sz w:val="20"/>
        </w:rPr>
        <w:t>[31] Zoveidavianpoor M, Gharibi A, Bin Jaafar MZ. Experimental characterization of a new high-strength ultra-lightweight composite proppant derived from renewable resources. Journal of Petroleum Science and Engineering, 2018, 170: 1038-1047. https://doi.org/10.1016/j.petrol.2018.06.030</w:t>
      </w:r>
    </w:p>
    <w:p>
      <w:pPr/>
      <w:r>
        <w:rPr>
          <w:rFonts w:ascii="Times New Roman" w:hAnsi="Times New Roman"/>
          <w:sz w:val="20"/>
        </w:rPr>
        <w:t>[32] Wang G, Ma Q, Ren L, et al. A comprehensive review of multifunctional proppants. ACS Omega, 2024, 9(44): 44120-44133. https://doi.org/10.1021/acsomega.4c06714</w:t>
      </w:r>
    </w:p>
    <w:p>
      <w:pPr/>
      <w:r>
        <w:rPr>
          <w:rFonts w:ascii="Times New Roman" w:hAnsi="Times New Roman"/>
          <w:sz w:val="20"/>
        </w:rPr>
        <w:t>[33] Wei M, Wang Y, Duan Y, et al. Screening and performance evaluation of epoxy resin long-term sustained-release solid tracer. International Journal of Oil, Gas and Coal Technology, 2024, 36(2): 170-196. https://doi.org/10.1504/IJOGCT.2024.139452</w:t>
      </w:r>
    </w:p>
    <w:p>
      <w:pPr/>
      <w:r>
        <w:rPr>
          <w:rFonts w:ascii="Times New Roman" w:hAnsi="Times New Roman"/>
          <w:sz w:val="20"/>
        </w:rPr>
        <w:t>[34] Fan Z, Liu H, Zhang Y, et al. Development of self-generated proppant based on modified low-density and low-viscosity epoxy resin and its evaluation. Petroleum Science, 2022, 19(5): 2127-2136. https://doi.org/10.1016/j.petsci.2022.05.009</w:t>
      </w:r>
    </w:p>
    <w:p>
      <w:pPr/>
      <w:r>
        <w:rPr>
          <w:rFonts w:ascii="Times New Roman" w:hAnsi="Times New Roman"/>
          <w:sz w:val="20"/>
        </w:rPr>
        <w:t>[35] Gong Z, Li N, Kang W, et al. Synthesis and characterization of an oleophilic Fe3O4-doped epoxy resin tracer proppant for hydraulic fracturing applications. Geoenergy Science and Engineering, 2025 (submitted).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