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ESP-T 示踪剂突破曲线模型</w:t>
        <w:br/>
        <w:t>公式推导与拟合步骤</w:t>
      </w:r>
    </w:p>
    <w:p>
      <w:pPr>
        <w:jc w:val="center"/>
      </w:pPr>
      <w:r>
        <w:rPr>
          <w:rFonts w:ascii="Times New Roman" w:hAnsi="Times New Roman"/>
          <w:i/>
          <w:sz w:val="24"/>
        </w:rPr>
        <w:t>An Oleophilic Epoxy/Fe₃O₄ Tracer Proppant and Tracer Breakthrough Analysis</w:t>
        <w:br/>
        <w:t>— Mathematical Derivation and Fitting Procedures —</w:t>
      </w:r>
    </w:p>
    <w:p/>
    <w:p>
      <w:pPr>
        <w:pStyle w:val="Heading1"/>
      </w:pPr>
      <w:r>
        <w:t>1. 物理背景与模型假设</w:t>
      </w:r>
    </w:p>
    <w:p>
      <w:pPr>
        <w:pStyle w:val="Heading2"/>
      </w:pPr>
      <w:r>
        <w:t>1.1 问题场景</w:t>
      </w:r>
    </w:p>
    <w:p>
      <w:r>
        <w:rPr>
          <w:rFonts w:ascii="Times New Roman" w:hAnsi="Times New Roman"/>
          <w:b w:val="0"/>
          <w:i w:val="0"/>
          <w:sz w:val="22"/>
        </w:rPr>
        <w:t>一口压裂水平井包含若干压裂段，每段填充掺杂了特定金属示踪剂的 ESP-T 支撑剂。生产过程分为两个阶段：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过程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示踪剂行为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关井期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井口关闭，流体静止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示踪剂从环氧树脂基质中缓慢释放，在支撑剂填充层和井筒近井地带累积，形成高浓度 slug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开井生产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井口打开，原油流向井口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累积的示踪剂 slug 被对流扫出；同时残余示踪剂持续扩散释放，形成长期低浓度拖尾</w:t>
            </w:r>
          </w:p>
        </w:tc>
      </w:tr>
    </w:tbl>
    <w:p/>
    <w:p>
      <w:pPr>
        <w:pStyle w:val="Heading2"/>
      </w:pPr>
      <w:r>
        <w:t>1.2 核心物理假设</w:t>
      </w:r>
    </w:p>
    <w:p>
      <w:r>
        <w:rPr>
          <w:rFonts w:ascii="Times New Roman" w:hAnsi="Times New Roman"/>
          <w:b w:val="0"/>
          <w:i w:val="0"/>
          <w:sz w:val="22"/>
        </w:rPr>
        <w:t>1. 一维对流-弥散：井筒内示踪剂沿轴向（x）运移，满足一维 ADE</w:t>
      </w:r>
    </w:p>
    <w:p>
      <w:r>
        <w:rPr>
          <w:rFonts w:ascii="Times New Roman" w:hAnsi="Times New Roman"/>
          <w:b w:val="0"/>
          <w:i w:val="0"/>
          <w:sz w:val="22"/>
        </w:rPr>
        <w:t>2. 双源分解：井口观测到的 BTC 是两个独立物理源的线性叠加——脉冲源（slug，高斯型）和持续源（tail，erfc 型）</w:t>
      </w:r>
    </w:p>
    <w:p>
      <w:r>
        <w:rPr>
          <w:rFonts w:ascii="Times New Roman" w:hAnsi="Times New Roman"/>
          <w:b w:val="0"/>
          <w:i w:val="0"/>
          <w:sz w:val="22"/>
        </w:rPr>
        <w:t>3. 光滑过渡：两种机制并非在某时刻突变，而是通过 tanh 权重函数平滑过渡</w:t>
      </w:r>
    </w:p>
    <w:p>
      <w:r>
        <w:rPr>
          <w:rFonts w:ascii="Times New Roman" w:hAnsi="Times New Roman"/>
          <w:b w:val="0"/>
          <w:i w:val="0"/>
          <w:sz w:val="22"/>
        </w:rPr>
        <w:t>4. 恒定流速：在生产监测期内，油相流量 Q 保持恒定</w:t>
      </w:r>
    </w:p>
    <w:p>
      <w:pPr>
        <w:pStyle w:val="Heading2"/>
      </w:pPr>
      <w:r>
        <w:t>1.3 坐标系统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支撑剂填充层          生产油管              采样点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╔═══════════╗    ═══════════════════    ●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║ ESP-T颗粒  ║    ─────────────────→    (检测器)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║ 示踪剂释放 ║    x = 0         x = L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╚═══════════╝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边界条件：示踪剂从 x=0（支撑剂层出口）注入，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 xml:space="preserve">           在 x=L（采样点=100 cm）检测浓度</w:t>
      </w:r>
    </w:p>
    <w:p>
      <w:pPr>
        <w:spacing w:before="0" w:after="40"/>
      </w:pPr>
    </w:p>
    <w:p>
      <w:pPr>
        <w:pStyle w:val="Heading1"/>
      </w:pPr>
      <w:r>
        <w:t>2. 一维对流-弥散方程（ADE）</w:t>
      </w:r>
    </w:p>
    <w:p>
      <w:pPr>
        <w:pStyle w:val="Heading2"/>
      </w:pPr>
      <w:r>
        <w:t>2.1 控制方程</w:t>
      </w:r>
    </w:p>
    <w:p>
      <w:r>
        <w:rPr>
          <w:rFonts w:ascii="Times New Roman" w:hAnsi="Times New Roman"/>
          <w:b w:val="0"/>
          <w:i w:val="0"/>
          <w:sz w:val="22"/>
        </w:rPr>
        <w:t>示踪剂浓度 C(x,t) 满足一维对流-弥散方程：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∂C/∂t + v·∂C/∂x = D·∂²C/∂x²</w:t>
      </w:r>
    </w:p>
    <w:p>
      <w:pPr>
        <w:pStyle w:val="Heading2"/>
      </w:pPr>
      <w:r>
        <w:t>2.2 速度与弥散系数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v = 4Q / (πd²)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D = α · 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符号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单位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C(x,t)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示踪剂浓度（归一化为 C/C₀）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平均对流速度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纵向弥散系数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cm²/min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Q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有效油相体积流量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cm³/min (= mL/min)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管柱内径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α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纵向弥散度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沿管柱轴向距离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时间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</w:tbl>
    <w:p/>
    <w:p>
      <w:pPr>
        <w:pStyle w:val="Heading2"/>
      </w:pPr>
      <w:r>
        <w:t>2.3 Peclet 数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Pe = x / α</w:t>
      </w:r>
    </w:p>
    <w:p>
      <w:r>
        <w:rPr>
          <w:rFonts w:ascii="Times New Roman" w:hAnsi="Times New Roman"/>
          <w:b w:val="0"/>
          <w:i w:val="0"/>
          <w:sz w:val="22"/>
        </w:rPr>
        <w:t>Pe ≫ 1：对流主导；Pe ≪ 1：弥散主导；Pe ≈ 1：对流与弥散同等重要（本实验拟合值 0.934）。</w:t>
      </w:r>
    </w:p>
    <w:p>
      <w:pPr>
        <w:pStyle w:val="Heading1"/>
      </w:pPr>
      <w:r>
        <w:t>3. 上升相：瞬时注入高斯脉冲解</w:t>
      </w:r>
    </w:p>
    <w:p>
      <w:pPr>
        <w:pStyle w:val="Heading2"/>
      </w:pPr>
      <w:r>
        <w:t>3.1 物理对应</w:t>
      </w:r>
    </w:p>
    <w:p>
      <w:r>
        <w:rPr>
          <w:rFonts w:ascii="Times New Roman" w:hAnsi="Times New Roman"/>
          <w:b w:val="0"/>
          <w:i w:val="0"/>
          <w:sz w:val="22"/>
        </w:rPr>
        <w:t>关井期在 x=0 处累积的示踪剂 slug 质量 M，在 t=0 时刻被瞬时释放。</w:t>
      </w:r>
    </w:p>
    <w:p>
      <w:pPr>
        <w:pStyle w:val="Heading2"/>
      </w:pPr>
      <w:r>
        <w:t>3.2 初始条件与边界条件</w:t>
      </w:r>
    </w:p>
    <w:p>
      <w:r>
        <w:rPr>
          <w:rFonts w:ascii="Times New Roman" w:hAnsi="Times New Roman"/>
          <w:b w:val="0"/>
          <w:i w:val="0"/>
          <w:sz w:val="22"/>
        </w:rPr>
        <w:t>初始条件：C(x, 0) = M·δ(x)（Dirac delta 函数，点源）</w:t>
      </w:r>
    </w:p>
    <w:p>
      <w:r>
        <w:rPr>
          <w:rFonts w:ascii="Times New Roman" w:hAnsi="Times New Roman"/>
          <w:b w:val="0"/>
          <w:i w:val="0"/>
          <w:sz w:val="22"/>
        </w:rPr>
        <w:t>边界条件：C(∞, t) = 0（半无限域）</w:t>
      </w:r>
    </w:p>
    <w:p>
      <w:pPr>
        <w:pStyle w:val="Heading2"/>
      </w:pPr>
      <w:r>
        <w:t>3.3 解析解（van Genuchten &amp; Alves, 1982）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C_rise(x,t) = (M/A) / √(4πDt) · exp[−(x − vt)² / (4Dt)]</w:t>
      </w:r>
    </w:p>
    <w:p>
      <w:pPr>
        <w:pStyle w:val="Heading2"/>
      </w:pPr>
      <w:r>
        <w:t>3.4 实际参数化形式</w:t>
      </w:r>
    </w:p>
    <w:p>
      <w:r>
        <w:rPr>
          <w:rFonts w:ascii="Times New Roman" w:hAnsi="Times New Roman"/>
          <w:b w:val="0"/>
          <w:i w:val="0"/>
          <w:sz w:val="22"/>
        </w:rPr>
        <w:t>将 M/A 吸收为幅值参数 A，代入 D = αv = α·4Q/(πd²)：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C_rise(t) = c_bg + (A·d) / √(16π·α·Q·t·d²) · exp(−z²)</w:t>
      </w:r>
    </w:p>
    <w:p>
      <w:r>
        <w:rPr>
          <w:rFonts w:ascii="Times New Roman" w:hAnsi="Times New Roman"/>
          <w:b w:val="0"/>
          <w:i w:val="0"/>
          <w:sz w:val="22"/>
        </w:rPr>
        <w:t>其中无量纲距离变量 z 定义为：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z = (x·π·d² − 4Q·t) / √(16·α·Q·t·π·d²)</w:t>
      </w:r>
    </w:p>
    <w:p>
      <w:pPr>
        <w:pStyle w:val="Heading1"/>
      </w:pPr>
      <w:r>
        <w:t>4. 下降相：连续源 erfc 拖尾解</w:t>
      </w:r>
    </w:p>
    <w:p>
      <w:pPr>
        <w:pStyle w:val="Heading2"/>
      </w:pPr>
      <w:r>
        <w:t>4.1 物理对应</w:t>
      </w:r>
    </w:p>
    <w:p>
      <w:r>
        <w:rPr>
          <w:rFonts w:ascii="Times New Roman" w:hAnsi="Times New Roman"/>
          <w:b w:val="0"/>
          <w:i w:val="0"/>
          <w:sz w:val="22"/>
        </w:rPr>
        <w:t>生产过程中，示踪剂从环氧树脂基质中持续扩散释放，可近似为在 x=0 处维持恒定浓度 C₀ 的连续源。</w:t>
      </w:r>
    </w:p>
    <w:p>
      <w:pPr>
        <w:pStyle w:val="Heading2"/>
      </w:pPr>
      <w:r>
        <w:t>4.2 初始条件与边界条件</w:t>
      </w:r>
    </w:p>
    <w:p>
      <w:r>
        <w:rPr>
          <w:rFonts w:ascii="Times New Roman" w:hAnsi="Times New Roman"/>
          <w:b w:val="0"/>
          <w:i w:val="0"/>
          <w:sz w:val="22"/>
        </w:rPr>
        <w:t>初始条件：C(x, 0) = 0（x &gt; 0）</w:t>
      </w:r>
    </w:p>
    <w:p>
      <w:r>
        <w:rPr>
          <w:rFonts w:ascii="Times New Roman" w:hAnsi="Times New Roman"/>
          <w:b w:val="0"/>
          <w:i w:val="0"/>
          <w:sz w:val="22"/>
        </w:rPr>
        <w:t>边界条件：C(0, t) = C₀（恒定浓度源），C(∞, t) = 0</w:t>
      </w:r>
    </w:p>
    <w:p>
      <w:pPr>
        <w:pStyle w:val="Heading2"/>
      </w:pPr>
      <w:r>
        <w:t>4.3 解析解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C_fall(x,t) = (C₀/2) · erfc[(x − vt) / √(4Dt)] = (C₀/2) · erfc(−z)</w:t>
      </w:r>
    </w:p>
    <w:p>
      <w:r>
        <w:rPr>
          <w:rFonts w:ascii="Times New Roman" w:hAnsi="Times New Roman"/>
          <w:b w:val="0"/>
          <w:i w:val="0"/>
          <w:sz w:val="22"/>
        </w:rPr>
        <w:t>互补误差函数定义：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erfc(u) = (2/√π) · ∫_u^∞ exp(−ξ²) dξ</w:t>
      </w:r>
    </w:p>
    <w:p>
      <w:pPr>
        <w:pStyle w:val="Heading2"/>
      </w:pPr>
      <w:r>
        <w:t>4.4 实际参数化形式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C_fall(t) = c_bg + (a/2) · erfc(−z)</w:t>
      </w:r>
    </w:p>
    <w:p>
      <w:r>
        <w:rPr>
          <w:rFonts w:ascii="Times New Roman" w:hAnsi="Times New Roman"/>
          <w:b w:val="0"/>
          <w:i w:val="0"/>
          <w:sz w:val="22"/>
        </w:rPr>
        <w:t>参数 a 替代了 C₀，表示持续源的等效浓度幅值。</w:t>
      </w:r>
    </w:p>
    <w:p>
      <w:pPr>
        <w:pStyle w:val="Heading1"/>
      </w:pPr>
      <w:r>
        <w:t>5. 光滑过渡：tanh 混合函数</w:t>
      </w:r>
    </w:p>
    <w:p>
      <w:pPr>
        <w:pStyle w:val="Heading2"/>
      </w:pPr>
      <w:r>
        <w:t>5.1 过渡需求</w:t>
      </w:r>
    </w:p>
    <w:p>
      <w:r>
        <w:rPr>
          <w:rFonts w:ascii="Times New Roman" w:hAnsi="Times New Roman"/>
          <w:b w:val="0"/>
          <w:i w:val="0"/>
          <w:sz w:val="22"/>
        </w:rPr>
        <w:t>两种机制在时间上并非突变——不存在明确的"某一时刻"之前只有 slug 扫出、之后只有扩散释放。需要一个光滑的权重函数实现连续过渡。</w:t>
      </w:r>
    </w:p>
    <w:p>
      <w:pPr>
        <w:pStyle w:val="Heading2"/>
      </w:pPr>
      <w:r>
        <w:t>5.2 tanh 权重函数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w(t) = ½ · [1 + tanh((t₀ − t) / σ)]</w:t>
      </w:r>
    </w:p>
    <w:p>
      <w:r>
        <w:rPr>
          <w:rFonts w:ascii="Times New Roman" w:hAnsi="Times New Roman"/>
          <w:b w:val="0"/>
          <w:i w:val="0"/>
          <w:sz w:val="22"/>
        </w:rPr>
        <w:t>性质：</w:t>
      </w:r>
    </w:p>
    <w:p>
      <w:r>
        <w:rPr>
          <w:rFonts w:ascii="Times New Roman" w:hAnsi="Times New Roman"/>
          <w:b w:val="0"/>
          <w:i w:val="0"/>
          <w:sz w:val="22"/>
        </w:rPr>
        <w:t>• t ≪ t₀ 时，tanh(+∞) → 1，w → 1 → 上升相（高斯脉冲主导）</w:t>
      </w:r>
    </w:p>
    <w:p>
      <w:r>
        <w:rPr>
          <w:rFonts w:ascii="Times New Roman" w:hAnsi="Times New Roman"/>
          <w:b w:val="0"/>
          <w:i w:val="0"/>
          <w:sz w:val="22"/>
        </w:rPr>
        <w:t>• t = t₀ 时，tanh(0) = 0，w = 0.5 → 过渡中心（两分量等权）</w:t>
      </w:r>
    </w:p>
    <w:p>
      <w:r>
        <w:rPr>
          <w:rFonts w:ascii="Times New Roman" w:hAnsi="Times New Roman"/>
          <w:b w:val="0"/>
          <w:i w:val="0"/>
          <w:sz w:val="22"/>
        </w:rPr>
        <w:t>• t ≫ t₀ 时，tanh(−∞) → −1，w → 0 → 下降相（erfc 拖尾主导）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拟合值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单位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t₀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交叉中心时间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25.66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σ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过渡宽度（越小越陡）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3.96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</w:tbl>
    <w:p/>
    <w:p>
      <w:pPr>
        <w:pStyle w:val="Heading2"/>
      </w:pPr>
      <w:r>
        <w:t>5.3 σ 的物理意义</w:t>
      </w:r>
    </w:p>
    <w:p>
      <w:r>
        <w:rPr>
          <w:rFonts w:ascii="Times New Roman" w:hAnsi="Times New Roman"/>
          <w:b w:val="0"/>
          <w:i w:val="0"/>
          <w:sz w:val="22"/>
        </w:rPr>
        <w:t>σ 控制从脉冲机制到扩散机制的过渡速率。在 t₀ ± σ 范围内，权重从 ~0.73 下降到 ~0.27。σ 越大，过渡越平缓；σ → 0 时，tanh 退化为阶梯函数（硬切换）。</w:t>
      </w:r>
    </w:p>
    <w:p>
      <w:pPr>
        <w:pStyle w:val="Heading1"/>
      </w:pPr>
      <w:r>
        <w:t>6. 完整双组分模型</w:t>
      </w:r>
    </w:p>
    <w:p>
      <w:pPr>
        <w:pStyle w:val="Heading2"/>
      </w:pPr>
      <w:r>
        <w:t>6.1 最终方程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C(t) = w(t) · C_rise(t) + [1 − w(t)] · C_fall(t)</w:t>
      </w:r>
    </w:p>
    <w:p>
      <w:r>
        <w:rPr>
          <w:rFonts w:ascii="Times New Roman" w:hAnsi="Times New Roman"/>
          <w:b w:val="0"/>
          <w:i w:val="0"/>
          <w:sz w:val="22"/>
        </w:rPr>
        <w:t>展开为完整形式（论文公式 (2)）：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C(t) = c_bg + w(t)·(A·d)/√(16π·α·Q·t·d²)·exp(−z²) + [1−w(t)]·(a/2)·erfc(−z)</w:t>
      </w:r>
    </w:p>
    <w:p>
      <w:r>
        <w:rPr>
          <w:rFonts w:ascii="Times New Roman" w:hAnsi="Times New Roman"/>
          <w:b w:val="0"/>
          <w:i w:val="0"/>
          <w:sz w:val="22"/>
        </w:rPr>
        <w:t>其中：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z = (x·π·d² − 4Q·t) / √(16·α·Q·t·π·d²)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w(t) = ½ · [1 + tanh((t₀ − t) / σ)]</w:t>
      </w:r>
    </w:p>
    <w:p>
      <w:pPr>
        <w:pStyle w:val="Heading2"/>
      </w:pPr>
      <w:r>
        <w:t>6.2 自由参数汇总（共 7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物理/经验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单位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拟合值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c_bg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基线浓度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0.0459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脉冲幅值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2334.0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拖尾幅值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0.4312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α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纵向弥散度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物理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107.09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Q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有效油相流量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物理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cm³/min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50.82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t₀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过渡中心时间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25.66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σ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过渡宽度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经验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3.96</w:t>
            </w:r>
          </w:p>
        </w:tc>
      </w:tr>
    </w:tbl>
    <w:p/>
    <w:p>
      <w:pPr>
        <w:pStyle w:val="Heading2"/>
      </w:pPr>
      <w:r>
        <w:t>6.3 固定参数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值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单位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管柱长度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管柱内径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mm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x·π·d²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几何常数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100π × 25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cm³</w:t>
            </w:r>
          </w:p>
        </w:tc>
      </w:tr>
    </w:tbl>
    <w:p/>
    <w:p>
      <w:pPr>
        <w:pStyle w:val="Heading2"/>
      </w:pPr>
      <w:r>
        <w:t>6.4 派生量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公式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计算值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平均流速 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v = 4Q/(πd²)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2.59 cm/min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Peclet 数 Pe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Pe = x/α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0.934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平均停留时间 MRT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x/v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38.6 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对流输运时间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x·π·d²/(4Q)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38.6 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高斯分量积分占比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∫w·C_rise dt / ∫C dt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53%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erfc 分量积分占比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∫(1−w)·C_fall dt / ∫C dt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47%</w:t>
            </w:r>
          </w:p>
        </w:tc>
      </w:tr>
    </w:tbl>
    <w:p/>
    <w:p>
      <w:pPr>
        <w:pStyle w:val="Heading1"/>
      </w:pPr>
      <w:r>
        <w:t>7. Korsmeyer-Peppas 释放动力学</w:t>
      </w:r>
    </w:p>
    <w:p>
      <w:pPr>
        <w:pStyle w:val="Heading2"/>
      </w:pPr>
      <w:r>
        <w:t>7.1 模型方程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C/C₀ = K · t^n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C/C₀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归一化释放浓度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K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动力学速率常数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时间（h）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扩散指数</w:t>
            </w:r>
          </w:p>
        </w:tc>
      </w:tr>
    </w:tbl>
    <w:p/>
    <w:p>
      <w:pPr>
        <w:pStyle w:val="Heading2"/>
      </w:pPr>
      <w:r>
        <w:t>7.2 释放机制判据（球形载体）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 范围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机制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n ≤ 0.43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Fick 扩散控制：示踪剂沿浓度梯度扩散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0.43 &lt; n &lt; 0.85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异常输运：Fick 扩散 + Case-II 松弛共控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n ≥ 0.85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/>
                <w:sz w:val="20"/>
              </w:rPr>
              <w:t>Case-II 松弛控制：聚合物溶胀主导</w:t>
            </w:r>
          </w:p>
        </w:tc>
      </w:tr>
    </w:tbl>
    <w:p/>
    <w:p>
      <w:pPr>
        <w:pStyle w:val="Heading2"/>
      </w:pPr>
      <w:r>
        <w:t>7.3 有效范围</w:t>
      </w:r>
    </w:p>
    <w:p>
      <w:r>
        <w:rPr>
          <w:rFonts w:ascii="Times New Roman" w:hAnsi="Times New Roman"/>
          <w:b w:val="0"/>
          <w:i w:val="0"/>
          <w:sz w:val="22"/>
        </w:rPr>
        <w:t>K-P 模型是无上渐近线的幂律公式，严格仅适用于 Mt/M∞ &lt; 0.6 的早中期释放阶段。本文在该范围内进行参数拟合和 R² 报告。</w:t>
      </w:r>
    </w:p>
    <w:p>
      <w:pPr>
        <w:pStyle w:val="Heading2"/>
      </w:pPr>
      <w:r>
        <w:t>7.4 拟合结果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温度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R² (Mt/M∞ &lt; 0.6)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机制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30 °C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0.055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0.598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0.955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异常输运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60 °C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0.082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0.666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0.965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异常输运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90 °C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0.113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0.568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0.956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异常输运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120 °C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0.196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0.556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0.945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/>
                <w:sz w:val="20"/>
              </w:rPr>
              <w:t>异常输运</w:t>
            </w:r>
          </w:p>
        </w:tc>
      </w:tr>
    </w:tbl>
    <w:p/>
    <w:p>
      <w:pPr>
        <w:pStyle w:val="Heading1"/>
      </w:pPr>
      <w:r>
        <w:t>8. 拟合算法与步骤</w:t>
      </w:r>
    </w:p>
    <w:p>
      <w:pPr>
        <w:pStyle w:val="Heading2"/>
      </w:pPr>
      <w:r>
        <w:t>8.1 数据预处理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t_data = [5, 10, 15, ..., 105]  # min, 21个有效数据点 (t &gt; 0)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c_data = [0.584, 0.839, 1.000, ..., 0.151]  # 归一化浓度 C/C₀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# 共21个数据点，用于拟合7个参数</w:t>
      </w:r>
    </w:p>
    <w:p>
      <w:pPr>
        <w:spacing w:before="0" w:after="40"/>
      </w:pPr>
    </w:p>
    <w:p>
      <w:pPr>
        <w:pStyle w:val="Heading1"/>
      </w:pPr>
      <w:r>
        <w:t>8.2 两步优化策略</w:t>
      </w:r>
    </w:p>
    <w:p>
      <w:pPr>
        <w:pStyle w:val="Heading2"/>
      </w:pPr>
      <w:r>
        <w:t>第一步：全局搜索 — 差分进化（Differential Evolution）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算法：scipy.optimize.differential_evolution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种群大小：50         最大迭代：2000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收敛容差：1×10⁻¹²    变异因子：(0.5, 1.5)  交叉概率：0.9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随机种子：42, 123, 456, 789（4次独立运行取最优）</w:t>
      </w:r>
    </w:p>
    <w:p>
      <w:pPr>
        <w:spacing w:before="0" w:after="40"/>
      </w:pPr>
    </w:p>
    <w:p>
      <w:r>
        <w:rPr>
          <w:rFonts w:ascii="Times New Roman" w:hAnsi="Times New Roman"/>
          <w:b w:val="0"/>
          <w:i w:val="0"/>
          <w:sz w:val="22"/>
        </w:rPr>
        <w:t>选用原因：7维参数空间高度非凸，存在多个局部极小值。差分进化是全局优化算法，不依赖梯度，不易陷入局部最优。多次运行不同种子确保解的可靠性和可复现性。</w:t>
      </w:r>
    </w:p>
    <w:p>
      <w:pPr>
        <w:pStyle w:val="Heading2"/>
      </w:pPr>
      <w:r>
        <w:t>第二步：局部精修 — L-BFGS-B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算法：scipy.optimize.minimize (method='L-BFGS-B')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最大迭代：20000        函数容差：1×10⁻¹⁶      梯度容差：1×10⁻¹⁶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初值：差分进化的最优解</w:t>
      </w:r>
    </w:p>
    <w:p>
      <w:pPr>
        <w:spacing w:before="0" w:after="40"/>
      </w:pPr>
    </w:p>
    <w:p>
      <w:r>
        <w:rPr>
          <w:rFonts w:ascii="Times New Roman" w:hAnsi="Times New Roman"/>
          <w:b w:val="0"/>
          <w:i w:val="0"/>
          <w:sz w:val="22"/>
        </w:rPr>
        <w:t>选用原因：差分进化找到全局最优的邻域后，L-BFGS-B（拟牛顿法）利用梯度信息精确收敛到最小值。结合了全局搜索的鲁棒性和局部搜索的精度。</w:t>
      </w:r>
    </w:p>
    <w:p>
      <w:pPr>
        <w:pStyle w:val="Heading2"/>
      </w:pPr>
      <w:r>
        <w:t>8.3 参数边界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下界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上界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物理/经验约束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c_bg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基线浓度必须非负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10⁶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幅值为正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拖尾幅值为正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α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10⁵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弥散度为正，cm 量级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Q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5000.0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流量为正，cm³/min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t₀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过渡中心在脉冲峰值附近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σ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15.0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过渡宽度小于实验时间跨度</w:t>
            </w:r>
          </w:p>
        </w:tc>
      </w:tr>
    </w:tbl>
    <w:p/>
    <w:p>
      <w:pPr>
        <w:pStyle w:val="Heading2"/>
      </w:pPr>
      <w:r>
        <w:t>8.4 目标函数</w:t>
      </w:r>
    </w:p>
    <w:p>
      <w:r>
        <w:rPr>
          <w:rFonts w:ascii="Times New Roman" w:hAnsi="Times New Roman"/>
          <w:b w:val="0"/>
          <w:i w:val="0"/>
          <w:sz w:val="22"/>
        </w:rPr>
        <w:t>最小化均方误差（MSE）：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MSE = (1/N) · Σ [C_model(tᵢ; p) − C_measured(tᵢ)]²</w:t>
      </w:r>
    </w:p>
    <w:p>
      <w:r>
        <w:rPr>
          <w:rFonts w:ascii="Times New Roman" w:hAnsi="Times New Roman"/>
          <w:b w:val="0"/>
          <w:i w:val="0"/>
          <w:sz w:val="22"/>
        </w:rPr>
        <w:t>其中 p = {c_bg, A, a, α, Q, t₀, σ}。</w:t>
      </w:r>
    </w:p>
    <w:p>
      <w:pPr>
        <w:pStyle w:val="Heading2"/>
      </w:pPr>
      <w:r>
        <w:t>8.5 拟合质量指标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公式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拟合值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1 − Σ(yᵢ−ŷᵢ)² / Σ(yᵢ−ȳ)²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0.9939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√[(1/N)·Σ(yᵢ−ŷᵢ)²]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0.0210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RSS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Σ(yᵢ−ŷᵢ)²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0.00923</w:t>
            </w:r>
          </w:p>
        </w:tc>
      </w:tr>
    </w:tbl>
    <w:p/>
    <w:p>
      <w:pPr>
        <w:pStyle w:val="Heading2"/>
      </w:pPr>
      <w:r>
        <w:t>8.6 内部验证（不依赖 R²）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验证项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拟合值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独立参考值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误差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流量一致性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Q_fit = 0.46 mL/min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Q_pump = 0.50 mL/min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8%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停留时间一致性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MRT_fit = 37.4 min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x/v = 38.6 min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Pe 机制一致性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Pe = 0.934 ≈ 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K-P: 0.45 &lt; n &lt; 0.85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物理一致</w:t>
            </w:r>
          </w:p>
        </w:tc>
      </w:tr>
    </w:tbl>
    <w:p/>
    <w:p>
      <w:pPr>
        <w:pStyle w:val="Heading1"/>
      </w:pPr>
      <w:r>
        <w:t>9. 模型选择：AICc / BIC / F-test</w:t>
      </w:r>
    </w:p>
    <w:p>
      <w:pPr>
        <w:pStyle w:val="Heading2"/>
      </w:pPr>
      <w:r>
        <w:t>9.1 候选模型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参数数 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双组分 tanh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 = w·C_rise + (1−w)·C_fall（本文模型）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单高斯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 = c_bg + C_rise（仅脉冲）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单 erfc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 = c_bg + C_fall（仅拖尾）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指数衰减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 = c_bg + c₀·exp(−k·t)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Korsmeyer-Peppas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 = c_bg + K·t^n</w:t>
            </w:r>
          </w:p>
        </w:tc>
      </w:tr>
    </w:tbl>
    <w:p/>
    <w:p>
      <w:pPr>
        <w:pStyle w:val="Heading2"/>
      </w:pPr>
      <w:r>
        <w:t>9.2 AICc（小样本校正赤池信息准则）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AICc = N·ln(RSS/N) + 2k + 2k(k+1)/(N−k−1)</w:t>
      </w:r>
    </w:p>
    <w:p>
      <w:pPr>
        <w:pStyle w:val="Heading2"/>
      </w:pPr>
      <w:r>
        <w:t>9.3 BIC（贝叶斯信息准则）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BIC = N·ln(RSS/N) + k·ln(N)</w:t>
      </w:r>
    </w:p>
    <w:p>
      <w:pPr>
        <w:pStyle w:val="Heading2"/>
      </w:pPr>
      <w:r>
        <w:t>9.4 Akaike 权重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wᵢ = exp(−Δᵢ/2) / Σⱼ exp(−Δⱼ/2)</w:t>
      </w:r>
    </w:p>
    <w:p>
      <w:r>
        <w:rPr>
          <w:rFonts w:ascii="Times New Roman" w:hAnsi="Times New Roman"/>
          <w:b w:val="0"/>
          <w:i w:val="0"/>
          <w:sz w:val="22"/>
        </w:rPr>
        <w:t>其中 Δᵢ = AICcᵢ − min(AICc)。wᵢ 可解释为：在所有候选模型中，模型 i 是"最佳模型"的概率。</w:t>
      </w:r>
    </w:p>
    <w:p>
      <w:pPr>
        <w:pStyle w:val="Heading2"/>
      </w:pPr>
      <w:r>
        <w:t>9.5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模型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R²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RMSE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AICc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BIC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ΔAICc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Akaike 权重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双组分 tanh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0.9939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0.0210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−139.70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−141.01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&gt;0.9999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单高斯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0.9482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0.0609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−107.04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−105.36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32.66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~0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指数衰减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0.7517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0.1334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−77.20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−75.48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62.51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~0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单 erfc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0.7159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0.1427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−71.28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−69.60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68.42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~0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K-P 幂律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−0.0193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0.2703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−47.54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−45.82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92.16</w:t>
            </w:r>
          </w:p>
        </w:tc>
        <w:tc>
          <w:tcPr>
            <w:tcW w:type="dxa" w:w="1176"/>
          </w:tcPr>
          <w:p>
            <w:r/>
            <w:r>
              <w:rPr>
                <w:rFonts w:ascii="Times New Roman" w:hAnsi="Times New Roman"/>
                <w:sz w:val="20"/>
              </w:rPr>
              <w:t>~0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结论：双组分模型在统计意义上压倒性优于所有简化模型。</w:t>
      </w:r>
    </w:p>
    <w:p>
      <w:pPr>
        <w:pStyle w:val="Heading2"/>
      </w:pPr>
      <w:r>
        <w:t>9.6 F 检验（双组分 vs 单高斯）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F = [(RSS₁ − RSS₂) / (k₂ − k₁)] / [RSS₂ / (N − k₂)]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F = [(0.0779 − 0.0092) / 3] / [0.0092 / 14] = 34.70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p = 1.2 × 10⁻⁶</w:t>
      </w:r>
    </w:p>
    <w:p>
      <w:r>
        <w:rPr>
          <w:rFonts w:ascii="Times New Roman" w:hAnsi="Times New Roman"/>
          <w:b/>
          <w:i w:val="0"/>
          <w:sz w:val="22"/>
        </w:rPr>
        <w:t>结论：拒绝"简化模型已足够"的零假设。额外 3 个参数带来的拟合改善不是过拟合的偶然结果，而是统计显著的结构性改善（p &lt; 0.0001）。</w:t>
      </w:r>
    </w:p>
    <w:p>
      <w:pPr>
        <w:pStyle w:val="Heading1"/>
      </w:pPr>
      <w:r>
        <w:t>10. σ 敏感性分析</w:t>
      </w:r>
    </w:p>
    <w:p>
      <w:pPr>
        <w:pStyle w:val="Heading2"/>
      </w:pPr>
      <w:r>
        <w:t>10.1 方法</w:t>
      </w:r>
    </w:p>
    <w:p>
      <w:r>
        <w:rPr>
          <w:rFonts w:ascii="Times New Roman" w:hAnsi="Times New Roman"/>
          <w:b w:val="0"/>
          <w:i w:val="0"/>
          <w:sz w:val="22"/>
        </w:rPr>
        <w:t>将 tanh 过渡宽度 σ 从 0.5σ_fit 到 3σ_fit（1.98–11.89 min）进行扫描，固定其余 6 个参数为最佳拟合值，重新计算混合 BTC 和各分量积分占比。</w:t>
      </w:r>
    </w:p>
    <w:p>
      <w:pPr>
        <w:pStyle w:val="Heading2"/>
      </w:pPr>
      <w:r>
        <w:t>10.2 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σ (min)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σ/σ_fit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高斯分量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erfc 拖尾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1.98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0.50×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53.2%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46.8%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2.97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0.75×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53.1%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46.9%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3.96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1.00× (fitted)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53.1%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46.9%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4.95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1.25×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47.0%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5.94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1.50×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52.9%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47.1%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7.93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2.00×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52.8%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47.2%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9.91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2.50×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52.6%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47.4%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11.89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3.00×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52.5%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/>
                <w:sz w:val="20"/>
              </w:rPr>
              <w:t>47.5%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i w:val="0"/>
          <w:sz w:val="22"/>
        </w:rPr>
        <w:t>关键发现：erfc 拖尾分量在 σ 的 6 倍变化范围内仅变动 0.7 个百分点（46.8%–47.5%）。信号分解结果对 σ 的选择极不敏感。</w:t>
      </w:r>
    </w:p>
    <w:p>
      <w:pPr>
        <w:pStyle w:val="Heading2"/>
      </w:pPr>
      <w:r>
        <w:t>10.3 与采样间隔固定值的对比</w:t>
      </w:r>
    </w:p>
    <w:p>
      <w:r>
        <w:rPr>
          <w:rFonts w:ascii="Times New Roman" w:hAnsi="Times New Roman"/>
          <w:b w:val="0"/>
          <w:i w:val="0"/>
          <w:sz w:val="22"/>
        </w:rPr>
        <w:t>• σ = 4.0 min（采样间隔固定）: erfc 拖尾 = 46.9%</w:t>
      </w:r>
    </w:p>
    <w:p>
      <w:r>
        <w:rPr>
          <w:rFonts w:ascii="Times New Roman" w:hAnsi="Times New Roman"/>
          <w:b w:val="0"/>
          <w:i w:val="0"/>
          <w:sz w:val="22"/>
        </w:rPr>
        <w:t>• σ = 3.96 min（拟合值）: erfc 拖尾 = 46.9%</w:t>
      </w:r>
    </w:p>
    <w:p>
      <w:r>
        <w:rPr>
          <w:rFonts w:ascii="Times New Roman" w:hAnsi="Times New Roman"/>
          <w:b w:val="0"/>
          <w:i w:val="0"/>
          <w:sz w:val="22"/>
        </w:rPr>
        <w:t>两者完全一致（差异 &lt; 0.1 pp），进一步证明结论的稳健性。</w:t>
      </w:r>
    </w:p>
    <w:p>
      <w:pPr>
        <w:pStyle w:val="Heading1"/>
      </w:pPr>
      <w:r>
        <w:t>11. 示踪剂通量 FO 与产量反演</w:t>
      </w:r>
    </w:p>
    <w:p>
      <w:pPr>
        <w:pStyle w:val="Heading2"/>
      </w:pPr>
      <w:r>
        <w:t>11.1 动机</w:t>
      </w:r>
    </w:p>
    <w:p>
      <w:r>
        <w:rPr>
          <w:rFonts w:ascii="Times New Roman" w:hAnsi="Times New Roman"/>
          <w:b w:val="0"/>
          <w:i w:val="0"/>
          <w:sz w:val="22"/>
        </w:rPr>
        <w:t>两相流实验中，示踪剂浓度受稀释效应影响，不是油产量的良好代用指标。解决方案：使用示踪剂通量（单位时间通过采样点的示踪剂质量）。</w:t>
      </w:r>
    </w:p>
    <w:p>
      <w:pPr>
        <w:pStyle w:val="Heading2"/>
      </w:pPr>
      <w:r>
        <w:t>11.2 定义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F_O = C_oil × Q_oil</w:t>
      </w:r>
    </w:p>
    <w:p>
      <w:r>
        <w:rPr>
          <w:rFonts w:ascii="Times New Roman" w:hAnsi="Times New Roman"/>
          <w:b w:val="0"/>
          <w:i w:val="0"/>
          <w:sz w:val="22"/>
        </w:rPr>
        <w:t>其中 C_oil 为油相中示踪剂浓度，Q_oil 为油相体积流量。</w:t>
      </w:r>
    </w:p>
    <w:p>
      <w:pPr>
        <w:pStyle w:val="Heading2"/>
      </w:pPr>
      <w:r>
        <w:t>11.3 物理依据</w:t>
      </w:r>
    </w:p>
    <w:p>
      <w:r>
        <w:rPr>
          <w:rFonts w:ascii="Times New Roman" w:hAnsi="Times New Roman"/>
          <w:b w:val="0"/>
          <w:i w:val="0"/>
          <w:sz w:val="22"/>
        </w:rPr>
        <w:t>在稳态释放条件下，支撑剂层出口的示踪剂释放速率 = 采样点检测到的示踪剂通量（质量守恒）：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F_O = Release_Rate_proppant_pack</w:t>
      </w:r>
    </w:p>
    <w:p>
      <w:r>
        <w:rPr>
          <w:rFonts w:ascii="Times New Roman" w:hAnsi="Times New Roman"/>
          <w:b w:val="0"/>
          <w:i w:val="0"/>
          <w:sz w:val="22"/>
        </w:rPr>
        <w:t>释放速率取决于油-支撑剂接触面积和温度，与总流量无关。</w:t>
      </w:r>
    </w:p>
    <w:p>
      <w:pPr>
        <w:pStyle w:val="Heading2"/>
      </w:pPr>
      <w:r>
        <w:t>11.4 校准</w:t>
      </w:r>
    </w:p>
    <w:p>
      <w:r>
        <w:rPr>
          <w:rFonts w:ascii="Times New Roman" w:hAnsi="Times New Roman"/>
          <w:b w:val="0"/>
          <w:i w:val="0"/>
          <w:sz w:val="22"/>
        </w:rPr>
        <w:t>以单相油驱实验的稳态 FO 为参考值：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F_O^ref = 3.187 ± 0.15 μg/min</w:t>
      </w:r>
    </w:p>
    <w:p>
      <w:pPr>
        <w:pStyle w:val="Heading2"/>
      </w:pPr>
      <w:r>
        <w:t>11.5 产量反演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2"/>
        </w:rPr>
        <w:t>Normalized FO = F_O^(2-phase) / F_O^ref</w:t>
      </w:r>
    </w:p>
    <w:p>
      <w:r>
        <w:rPr>
          <w:rFonts w:ascii="Times New Roman" w:hAnsi="Times New Roman"/>
          <w:b w:val="0"/>
          <w:i w:val="0"/>
          <w:sz w:val="22"/>
        </w:rPr>
        <w:t>该归一化值与设定油产量比较，得：</w:t>
      </w:r>
    </w:p>
    <w:p>
      <w:r>
        <w:rPr>
          <w:rFonts w:ascii="Times New Roman" w:hAnsi="Times New Roman"/>
          <w:b w:val="0"/>
          <w:i w:val="0"/>
          <w:sz w:val="22"/>
        </w:rPr>
        <w:t>• Pearson r = 0.97（p = 0.006）</w:t>
      </w:r>
    </w:p>
    <w:p>
      <w:r>
        <w:rPr>
          <w:rFonts w:ascii="Times New Roman" w:hAnsi="Times New Roman"/>
          <w:b w:val="0"/>
          <w:i w:val="0"/>
          <w:sz w:val="22"/>
        </w:rPr>
        <w:t>• RMSD = 8.3%</w:t>
      </w:r>
    </w:p>
    <w:p>
      <w:pPr>
        <w:pStyle w:val="Heading1"/>
      </w:pPr>
      <w:r>
        <w:t>附录 A：符号表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符号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含义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单位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归一化示踪剂浓度 (C/C₀)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c_bg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基线/尾台浓度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时间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管柱轴向距离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管柱内径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平均对流速度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Q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有效油相流量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cm³/min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α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纵向弥散度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纵向弥散系数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cm²/min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z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无量纲距离变量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w(t)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tanh 混合权重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t₀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过渡中心时间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过渡宽度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高斯脉冲幅值系数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erfc 拖尾幅值系数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K-P 速率常数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h⁻ⁿ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K-P 扩散指数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F_O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示踪剂通量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μg/min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Peclet 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数据点数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自由参数个数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附录 B：Python 实现</w:t>
      </w:r>
    </w:p>
    <w:p>
      <w:r>
        <w:rPr>
          <w:rFonts w:ascii="Times New Roman" w:hAnsi="Times New Roman"/>
          <w:b w:val="0"/>
          <w:i w:val="0"/>
          <w:sz w:val="22"/>
        </w:rPr>
        <w:t>完整拟合代码见：fit_solute.py</w:t>
      </w:r>
    </w:p>
    <w:p>
      <w:r>
        <w:rPr>
          <w:rFonts w:ascii="Times New Roman" w:hAnsi="Times New Roman"/>
          <w:b w:val="0"/>
          <w:i w:val="0"/>
          <w:sz w:val="22"/>
        </w:rPr>
        <w:t>σ 敏感性分析见：sigma_sensitivity_analysis.py</w:t>
      </w:r>
    </w:p>
    <w:p>
      <w:r>
        <w:rPr>
          <w:rFonts w:ascii="Times New Roman" w:hAnsi="Times New Roman"/>
          <w:b w:val="0"/>
          <w:i w:val="0"/>
          <w:sz w:val="22"/>
        </w:rPr>
        <w:t>模型对比分析见：model_comparison.py</w:t>
      </w:r>
    </w:p>
    <w:p>
      <w:r>
        <w:rPr>
          <w:rFonts w:ascii="Times New Roman" w:hAnsi="Times New Roman"/>
          <w:b w:val="0"/>
          <w:i w:val="0"/>
          <w:sz w:val="22"/>
        </w:rPr>
        <w:t>依赖：numpy, scipy, matplotlib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# 运行主线拟合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python fit_solute.py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# σ 敏感性分析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python sigma_sensitivity_analysis.py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# 模型对比 AICc/BIC</w:t>
      </w:r>
    </w:p>
    <w:p>
      <w:pPr>
        <w:spacing w:before="0" w:after="0" w:line="240" w:lineRule="auto"/>
        <w:shd w:val="clear" w:color="auto" w:fill="F0F0F0"/>
      </w:pPr>
      <w:r>
        <w:rPr>
          <w:rFonts w:ascii="Consolas" w:hAnsi="Consolas"/>
          <w:sz w:val="18"/>
        </w:rPr>
        <w:t>python model_comparison.py</w:t>
      </w:r>
    </w:p>
    <w:p>
      <w:pPr>
        <w:spacing w:before="0" w:after="40"/>
      </w:pPr>
    </w:p>
    <w:p/>
    <w:p>
      <w:r>
        <w:rPr>
          <w:rFonts w:ascii="Times New Roman" w:hAnsi="Times New Roman"/>
          <w:b w:val="0"/>
          <w:i/>
          <w:sz w:val="22"/>
        </w:rPr>
        <w:t>— 文档版本：2026-06-17 —</w:t>
      </w:r>
    </w:p>
    <w:p>
      <w:r>
        <w:rPr>
          <w:rFonts w:ascii="Times New Roman" w:hAnsi="Times New Roman"/>
          <w:b w:val="0"/>
          <w:i/>
          <w:sz w:val="22"/>
        </w:rPr>
        <w:t>— 对应论文：ESP-T_终稿_revised.docx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