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[Date]</w:t>
      </w:r>
    </w:p>
    <w:p/>
    <w:p>
      <w:r>
        <w:t>Dear Editor,</w:t>
      </w:r>
    </w:p>
    <w:p/>
    <w:p>
      <w:r>
        <w:t>A hydraulically fractured unconventional well may produce for a decade, yet the industry lacks a reliable method to determine how much oil each fractured interval contributes over that lifespan. We submit for consideration in [Journal Name] a manuscript that addresses this challenge: "Epoxy Resin Microspheres Encapsulating Oleophilic Fe₃O₄ Nanoparticles as Tracer Proppants for Production Allocation."</w:t>
      </w:r>
    </w:p>
    <w:p>
      <w:r>
        <w:t>Existing tracer proppants immobilize tracers via a polymer coating on a ceramic or polymer core. When the coating dissolves—as it inevitably does downhole—the tracer signal terminates, typically within months. We depart from the coating paradigm entirely: stearic acid-modified nano-Fe₃O₄ tracers are embedded directly within an epoxy resin matrix via single-step emulsion polymerization. Tracer release is governed by matrix diffusion through the cross-linked epoxy network rather than coating dissolution, while the epoxy matrix simultaneously provides the mechanical strength (crush rate 2.9% at 50 MPa) and thermal stability (357 °C) required of a fracturing proppant.</w:t>
      </w:r>
    </w:p>
    <w:p>
      <w:r>
        <w:t>The manuscript makes three principal contributions:</w:t>
      </w:r>
    </w:p>
    <w:p/>
    <w:p>
      <w:pPr>
        <w:ind w:left="360"/>
      </w:pPr>
      <w:r>
        <w:rPr>
          <w:b/>
          <w:sz w:val="22"/>
        </w:rPr>
        <w:t>Material design.</w:t>
      </w:r>
      <w:r>
        <w:rPr>
          <w:sz w:val="22"/>
        </w:rPr>
        <w:t xml:space="preserve"> ESP-T converts epoxy from weakly hydrophilic (WCA 72.3°) to distinctly hydrophobic (WCA 104.6°), yielding a water-resistant, oil-permeable transport characteristic and a 66% reduction in oil filtration time relative to pure epoxy microspheres, while satisfying industrial proppant specifications for sphericity, acid solubility, and crush resistance.</w:t>
      </w:r>
    </w:p>
    <w:p>
      <w:pPr>
        <w:ind w:left="360"/>
      </w:pPr>
      <w:r>
        <w:rPr>
          <w:b/>
          <w:sz w:val="22"/>
        </w:rPr>
        <w:t>Release mechanism and transport model.</w:t>
      </w:r>
      <w:r>
        <w:rPr>
          <w:sz w:val="22"/>
        </w:rPr>
        <w:t xml:space="preserve"> Static release at 30–120 °C follows an anomalous transport mechanism (Korsmeyer–Peppas, R² &gt; 0.94, n = 0.56–0.67) co-governed by Fickian diffusion and Case-II relaxation. A piecewise advection–dispersion model with tanh blending (R² = 0.9939) decomposes the tracer breakthrough curve into a shut-in accumulation slug and a sustained matrix-diffusion-controlled tail. Integration of the two components shows that 47% of the total tracer signal originates from the sustained-release component, quantitatively linking the static release kinetics to the dynamic transport signature.</w:t>
      </w:r>
    </w:p>
    <w:p>
      <w:pPr>
        <w:ind w:left="360"/>
      </w:pPr>
      <w:r>
        <w:rPr>
          <w:b/>
          <w:sz w:val="22"/>
        </w:rPr>
        <w:t>Production allocation.</w:t>
      </w:r>
      <w:r>
        <w:rPr>
          <w:sz w:val="22"/>
        </w:rPr>
        <w:t xml:space="preserve"> Under steady-state oil–water two-phase flow, tracer flux scales linearly with oil-phase production rate and is independent of total flow rate, establishing that per-interval oil production can be quantified from tracer concentration measurements alone.</w:t>
      </w:r>
    </w:p>
    <w:p/>
    <w:p>
      <w:r>
        <w:t>We believe these findings will interest the readership of [Journal Name] engaged in hydraulic fracturing, production diagnostics, and functional proppant materials. The manuscript is original, has not been published or submitted elsewhere, and all authors have approved the submission and declare no competing financial interests.</w:t>
      </w:r>
    </w:p>
    <w:p/>
    <w:p>
      <w:r>
        <w:t>Thank you for your time and consideration.</w:t>
      </w:r>
    </w:p>
    <w:p/>
    <w:p>
      <w:r>
        <w:t>Sincerely,</w:t>
      </w:r>
    </w:p>
    <w:p>
      <w:r>
        <w:t>[Corresponding Author]</w:t>
      </w:r>
      <w:r>
        <w:br/>
        <w:t>College of Energy, Chengdu University of Technology</w:t>
      </w:r>
      <w:r>
        <w:br/>
        <w:t>Chengdu, Sichuan 610059, China</w:t>
      </w:r>
      <w:r>
        <w:br/>
        <w:t>E-mail: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