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Supplementary Material</w:t>
      </w:r>
    </w:p>
    <w:p>
      <w:pPr>
        <w:spacing w:after="240"/>
        <w:jc w:val="center"/>
      </w:pPr>
      <w:r>
        <w:rPr>
          <w:rFonts w:ascii="Times New Roman" w:hAnsi="Times New Roman"/>
          <w:i/>
          <w:sz w:val="22"/>
        </w:rPr>
        <w:t>An Oleophilic Epoxy/Fe₃O₄ Tracer Proppant with Piecewise ADE Modeling</w:t>
        <w:br/>
        <w:t>for Production Monitoring in Multi-Stage Fractured Horizontal Wells</w:t>
      </w:r>
    </w:p>
    <w:p/>
    <w:p>
      <w:pPr>
        <w:pStyle w:val="Heading2"/>
        <w:spacing w:before="280"/>
      </w:pPr>
      <w:r>
        <w:t>S1. Reagent Specifications</w:t>
      </w:r>
    </w:p>
    <w:p>
      <w:r>
        <w:rPr>
          <w:rFonts w:ascii="Times New Roman" w:hAnsi="Times New Roman"/>
          <w:sz w:val="22"/>
        </w:rPr>
        <w:t>Table S1 provides the detailed specifications of all reagents used in this study, as referenced in Section 2.1 of the main text. All reagents were used as received without further purification.</w:t>
      </w:r>
    </w:p>
    <w:p/>
    <w:tbl>
      <w:tblPr>
        <w:tblW w:type="auto" w:w="0"/>
        <w:tblLayout w:type="autofit"/>
        <w:tblLook w:firstColumn="1" w:firstRow="1" w:lastColumn="0" w:lastRow="0" w:noHBand="0" w:noVBand="1" w:val="04A0"/>
        <w:tblBorders>
          <w:top w:val="single" w:sz="12" w:space="0" w:color="000000"/>
          <w:bottom w:val="single" w:sz="12" w:space="0" w:color="000000"/>
          <w:insideH w:val="none" w:sz="0" w:space="0" w:color="000000"/>
          <w:left w:val="none" w:sz="0" w:space="0" w:color="000000"/>
          <w:right w:val="none" w:sz="0" w:space="0" w:color="000000"/>
        </w:tblBorders>
      </w:tblPr>
      <w:tblGrid>
        <w:gridCol w:w="1881"/>
        <w:gridCol w:w="1881"/>
        <w:gridCol w:w="1881"/>
        <w:gridCol w:w="1881"/>
        <w:gridCol w:w="1881"/>
      </w:tblGrid>
      <w:tr>
        <w:tc>
          <w:tcPr>
            <w:tcW w:type="dxa" w:w="1881"/>
            <w:tcBorders>
              <w:bottom w:val="single" w:sz="4" w:space="0" w:color="000000"/>
            </w:tcBorders>
          </w:tcPr>
          <w:p>
            <w:pPr>
              <w:jc w:val="center"/>
            </w:pPr>
            <w:r/>
            <w:r>
              <w:rPr>
                <w:rFonts w:ascii="Times New Roman" w:hAnsi="Times New Roman"/>
                <w:b/>
                <w:sz w:val="18"/>
              </w:rPr>
              <w:t>Reagent</w:t>
            </w:r>
          </w:p>
        </w:tc>
        <w:tc>
          <w:tcPr>
            <w:tcW w:type="dxa" w:w="1881"/>
            <w:tcBorders>
              <w:bottom w:val="single" w:sz="4" w:space="0" w:color="000000"/>
            </w:tcBorders>
          </w:tcPr>
          <w:p>
            <w:pPr>
              <w:jc w:val="center"/>
            </w:pPr>
            <w:r/>
            <w:r>
              <w:rPr>
                <w:rFonts w:ascii="Times New Roman" w:hAnsi="Times New Roman"/>
                <w:b/>
                <w:sz w:val="18"/>
              </w:rPr>
              <w:t>Formula / Description</w:t>
            </w:r>
          </w:p>
        </w:tc>
        <w:tc>
          <w:tcPr>
            <w:tcW w:type="dxa" w:w="1881"/>
            <w:tcBorders>
              <w:bottom w:val="single" w:sz="4" w:space="0" w:color="000000"/>
            </w:tcBorders>
          </w:tcPr>
          <w:p>
            <w:pPr>
              <w:jc w:val="center"/>
            </w:pPr>
            <w:r/>
            <w:r>
              <w:rPr>
                <w:rFonts w:ascii="Times New Roman" w:hAnsi="Times New Roman"/>
                <w:b/>
                <w:sz w:val="18"/>
              </w:rPr>
              <w:t>Grade</w:t>
            </w:r>
          </w:p>
        </w:tc>
        <w:tc>
          <w:tcPr>
            <w:tcW w:type="dxa" w:w="1881"/>
            <w:tcBorders>
              <w:bottom w:val="single" w:sz="4" w:space="0" w:color="000000"/>
            </w:tcBorders>
          </w:tcPr>
          <w:p>
            <w:pPr>
              <w:jc w:val="center"/>
            </w:pPr>
            <w:r/>
            <w:r>
              <w:rPr>
                <w:rFonts w:ascii="Times New Roman" w:hAnsi="Times New Roman"/>
                <w:b/>
                <w:sz w:val="18"/>
              </w:rPr>
              <w:t>Purity</w:t>
            </w:r>
          </w:p>
        </w:tc>
        <w:tc>
          <w:tcPr>
            <w:tcW w:type="dxa" w:w="1881"/>
            <w:tcBorders>
              <w:bottom w:val="single" w:sz="4" w:space="0" w:color="000000"/>
            </w:tcBorders>
          </w:tcPr>
          <w:p>
            <w:pPr>
              <w:jc w:val="center"/>
            </w:pPr>
            <w:r/>
            <w:r>
              <w:rPr>
                <w:rFonts w:ascii="Times New Roman" w:hAnsi="Times New Roman"/>
                <w:b/>
                <w:sz w:val="18"/>
              </w:rPr>
              <w:t>Supplier</w:t>
            </w:r>
          </w:p>
        </w:tc>
      </w:tr>
      <w:tr>
        <w:tc>
          <w:tcPr>
            <w:tcW w:type="dxa" w:w="1881"/>
          </w:tcPr>
          <w:p>
            <w:pPr>
              <w:jc w:val="center"/>
            </w:pPr>
            <w:r/>
            <w:r>
              <w:rPr>
                <w:rFonts w:ascii="Times New Roman" w:hAnsi="Times New Roman"/>
                <w:sz w:val="18"/>
              </w:rPr>
              <w:t>Iron(III) chloride</w:t>
            </w:r>
          </w:p>
        </w:tc>
        <w:tc>
          <w:tcPr>
            <w:tcW w:type="dxa" w:w="1881"/>
          </w:tcPr>
          <w:p>
            <w:pPr>
              <w:jc w:val="center"/>
            </w:pPr>
            <w:r/>
            <w:r>
              <w:rPr>
                <w:rFonts w:ascii="Times New Roman" w:hAnsi="Times New Roman"/>
                <w:sz w:val="18"/>
              </w:rPr>
              <w:t>FeCl₃</w:t>
            </w:r>
          </w:p>
        </w:tc>
        <w:tc>
          <w:tcPr>
            <w:tcW w:type="dxa" w:w="1881"/>
          </w:tcPr>
          <w:p>
            <w:pPr>
              <w:jc w:val="center"/>
            </w:pPr>
            <w:r/>
            <w:r>
              <w:rPr>
                <w:rFonts w:ascii="Times New Roman" w:hAnsi="Times New Roman"/>
                <w:sz w:val="18"/>
              </w:rPr>
              <w:t>Analytical</w:t>
            </w:r>
          </w:p>
        </w:tc>
        <w:tc>
          <w:tcPr>
            <w:tcW w:type="dxa" w:w="1881"/>
          </w:tcPr>
          <w:p>
            <w:pPr>
              <w:jc w:val="center"/>
            </w:pPr>
            <w:r/>
            <w:r>
              <w:rPr>
                <w:rFonts w:ascii="Times New Roman" w:hAnsi="Times New Roman"/>
                <w:sz w:val="18"/>
              </w:rPr>
              <w:t>≥ 99.0%</w:t>
            </w:r>
          </w:p>
        </w:tc>
        <w:tc>
          <w:tcPr>
            <w:tcW w:type="dxa" w:w="1881"/>
          </w:tcPr>
          <w:p>
            <w:pPr>
              <w:jc w:val="center"/>
            </w:pPr>
            <w:r/>
            <w:r>
              <w:rPr>
                <w:rFonts w:ascii="Times New Roman" w:hAnsi="Times New Roman"/>
                <w:sz w:val="18"/>
              </w:rPr>
              <w:t>Chengdu Kelong Chemical</w:t>
            </w:r>
          </w:p>
        </w:tc>
      </w:tr>
      <w:tr>
        <w:tc>
          <w:tcPr>
            <w:tcW w:type="dxa" w:w="1881"/>
          </w:tcPr>
          <w:p>
            <w:pPr>
              <w:jc w:val="center"/>
            </w:pPr>
            <w:r/>
            <w:r>
              <w:rPr>
                <w:rFonts w:ascii="Times New Roman" w:hAnsi="Times New Roman"/>
                <w:sz w:val="18"/>
              </w:rPr>
              <w:t>Iron(II) chloride tetrahydrate</w:t>
            </w:r>
          </w:p>
        </w:tc>
        <w:tc>
          <w:tcPr>
            <w:tcW w:type="dxa" w:w="1881"/>
          </w:tcPr>
          <w:p>
            <w:pPr>
              <w:jc w:val="center"/>
            </w:pPr>
            <w:r/>
            <w:r>
              <w:rPr>
                <w:rFonts w:ascii="Times New Roman" w:hAnsi="Times New Roman"/>
                <w:sz w:val="18"/>
              </w:rPr>
              <w:t>FeCl₂·4H₂O</w:t>
            </w:r>
          </w:p>
        </w:tc>
        <w:tc>
          <w:tcPr>
            <w:tcW w:type="dxa" w:w="1881"/>
          </w:tcPr>
          <w:p>
            <w:pPr>
              <w:jc w:val="center"/>
            </w:pPr>
            <w:r/>
            <w:r>
              <w:rPr>
                <w:rFonts w:ascii="Times New Roman" w:hAnsi="Times New Roman"/>
                <w:sz w:val="18"/>
              </w:rPr>
              <w:t>Analytical</w:t>
            </w:r>
          </w:p>
        </w:tc>
        <w:tc>
          <w:tcPr>
            <w:tcW w:type="dxa" w:w="1881"/>
          </w:tcPr>
          <w:p>
            <w:pPr>
              <w:jc w:val="center"/>
            </w:pPr>
            <w:r/>
            <w:r>
              <w:rPr>
                <w:rFonts w:ascii="Times New Roman" w:hAnsi="Times New Roman"/>
                <w:sz w:val="18"/>
              </w:rPr>
              <w:t>≥ 99.0%</w:t>
            </w:r>
          </w:p>
        </w:tc>
        <w:tc>
          <w:tcPr>
            <w:tcW w:type="dxa" w:w="1881"/>
          </w:tcPr>
          <w:p>
            <w:pPr>
              <w:jc w:val="center"/>
            </w:pPr>
            <w:r/>
            <w:r>
              <w:rPr>
                <w:rFonts w:ascii="Times New Roman" w:hAnsi="Times New Roman"/>
                <w:sz w:val="18"/>
              </w:rPr>
              <w:t>Chengdu Kelong Chemical</w:t>
            </w:r>
          </w:p>
        </w:tc>
      </w:tr>
      <w:tr>
        <w:tc>
          <w:tcPr>
            <w:tcW w:type="dxa" w:w="1881"/>
          </w:tcPr>
          <w:p>
            <w:pPr>
              <w:jc w:val="center"/>
            </w:pPr>
            <w:r/>
            <w:r>
              <w:rPr>
                <w:rFonts w:ascii="Times New Roman" w:hAnsi="Times New Roman"/>
                <w:sz w:val="18"/>
              </w:rPr>
              <w:t>Manganese(II) chloride hexahydrate</w:t>
            </w:r>
          </w:p>
        </w:tc>
        <w:tc>
          <w:tcPr>
            <w:tcW w:type="dxa" w:w="1881"/>
          </w:tcPr>
          <w:p>
            <w:pPr>
              <w:jc w:val="center"/>
            </w:pPr>
            <w:r/>
            <w:r>
              <w:rPr>
                <w:rFonts w:ascii="Times New Roman" w:hAnsi="Times New Roman"/>
                <w:sz w:val="18"/>
              </w:rPr>
              <w:t>MnCl₂·6H₂O</w:t>
            </w:r>
          </w:p>
        </w:tc>
        <w:tc>
          <w:tcPr>
            <w:tcW w:type="dxa" w:w="1881"/>
          </w:tcPr>
          <w:p>
            <w:pPr>
              <w:jc w:val="center"/>
            </w:pPr>
            <w:r/>
            <w:r>
              <w:rPr>
                <w:rFonts w:ascii="Times New Roman" w:hAnsi="Times New Roman"/>
                <w:sz w:val="18"/>
              </w:rPr>
              <w:t>Analytical</w:t>
            </w:r>
          </w:p>
        </w:tc>
        <w:tc>
          <w:tcPr>
            <w:tcW w:type="dxa" w:w="1881"/>
          </w:tcPr>
          <w:p>
            <w:pPr>
              <w:jc w:val="center"/>
            </w:pPr>
            <w:r/>
            <w:r>
              <w:rPr>
                <w:rFonts w:ascii="Times New Roman" w:hAnsi="Times New Roman"/>
                <w:sz w:val="18"/>
              </w:rPr>
              <w:t>≥ 99.0%</w:t>
            </w:r>
          </w:p>
        </w:tc>
        <w:tc>
          <w:tcPr>
            <w:tcW w:type="dxa" w:w="1881"/>
          </w:tcPr>
          <w:p>
            <w:pPr>
              <w:jc w:val="center"/>
            </w:pPr>
            <w:r/>
            <w:r>
              <w:rPr>
                <w:rFonts w:ascii="Times New Roman" w:hAnsi="Times New Roman"/>
                <w:sz w:val="18"/>
              </w:rPr>
              <w:t>Chengdu Kelong Chemical</w:t>
            </w:r>
          </w:p>
        </w:tc>
      </w:tr>
      <w:tr>
        <w:tc>
          <w:tcPr>
            <w:tcW w:type="dxa" w:w="1881"/>
          </w:tcPr>
          <w:p>
            <w:pPr>
              <w:jc w:val="center"/>
            </w:pPr>
            <w:r/>
            <w:r>
              <w:rPr>
                <w:rFonts w:ascii="Times New Roman" w:hAnsi="Times New Roman"/>
                <w:sz w:val="18"/>
              </w:rPr>
              <w:t>Stearic acid</w:t>
            </w:r>
          </w:p>
        </w:tc>
        <w:tc>
          <w:tcPr>
            <w:tcW w:type="dxa" w:w="1881"/>
          </w:tcPr>
          <w:p>
            <w:pPr>
              <w:jc w:val="center"/>
            </w:pPr>
            <w:r/>
            <w:r>
              <w:rPr>
                <w:rFonts w:ascii="Times New Roman" w:hAnsi="Times New Roman"/>
                <w:sz w:val="18"/>
              </w:rPr>
              <w:t>C₁₈H₃₆O₂</w:t>
            </w:r>
          </w:p>
        </w:tc>
        <w:tc>
          <w:tcPr>
            <w:tcW w:type="dxa" w:w="1881"/>
          </w:tcPr>
          <w:p>
            <w:pPr>
              <w:jc w:val="center"/>
            </w:pPr>
            <w:r/>
            <w:r>
              <w:rPr>
                <w:rFonts w:ascii="Times New Roman" w:hAnsi="Times New Roman"/>
                <w:sz w:val="18"/>
              </w:rPr>
              <w:t>Analytical</w:t>
            </w:r>
          </w:p>
        </w:tc>
        <w:tc>
          <w:tcPr>
            <w:tcW w:type="dxa" w:w="1881"/>
          </w:tcPr>
          <w:p>
            <w:pPr>
              <w:jc w:val="center"/>
            </w:pPr>
            <w:r/>
            <w:r>
              <w:rPr>
                <w:rFonts w:ascii="Times New Roman" w:hAnsi="Times New Roman"/>
                <w:sz w:val="18"/>
              </w:rPr>
              <w:t>≥ 99.5%</w:t>
            </w:r>
          </w:p>
        </w:tc>
        <w:tc>
          <w:tcPr>
            <w:tcW w:type="dxa" w:w="1881"/>
          </w:tcPr>
          <w:p>
            <w:pPr>
              <w:jc w:val="center"/>
            </w:pPr>
            <w:r/>
            <w:r>
              <w:rPr>
                <w:rFonts w:ascii="Times New Roman" w:hAnsi="Times New Roman"/>
                <w:sz w:val="18"/>
              </w:rPr>
              <w:t>Chengdu Kelong Chemical</w:t>
            </w:r>
          </w:p>
        </w:tc>
      </w:tr>
      <w:tr>
        <w:tc>
          <w:tcPr>
            <w:tcW w:type="dxa" w:w="1881"/>
          </w:tcPr>
          <w:p>
            <w:pPr>
              <w:jc w:val="center"/>
            </w:pPr>
            <w:r/>
            <w:r>
              <w:rPr>
                <w:rFonts w:ascii="Times New Roman" w:hAnsi="Times New Roman"/>
                <w:sz w:val="18"/>
              </w:rPr>
              <w:t>Ammonia solution</w:t>
            </w:r>
          </w:p>
        </w:tc>
        <w:tc>
          <w:tcPr>
            <w:tcW w:type="dxa" w:w="1881"/>
          </w:tcPr>
          <w:p>
            <w:pPr>
              <w:jc w:val="center"/>
            </w:pPr>
            <w:r/>
            <w:r>
              <w:rPr>
                <w:rFonts w:ascii="Times New Roman" w:hAnsi="Times New Roman"/>
                <w:sz w:val="18"/>
              </w:rPr>
              <w:t>NH₃·H₂O (25–28%)</w:t>
            </w:r>
          </w:p>
        </w:tc>
        <w:tc>
          <w:tcPr>
            <w:tcW w:type="dxa" w:w="1881"/>
          </w:tcPr>
          <w:p>
            <w:pPr>
              <w:jc w:val="center"/>
            </w:pPr>
            <w:r/>
            <w:r>
              <w:rPr>
                <w:rFonts w:ascii="Times New Roman" w:hAnsi="Times New Roman"/>
                <w:sz w:val="18"/>
              </w:rPr>
              <w:t>Analytical</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Chengdu Kelong Chemical</w:t>
            </w:r>
          </w:p>
        </w:tc>
      </w:tr>
      <w:tr>
        <w:tc>
          <w:tcPr>
            <w:tcW w:type="dxa" w:w="1881"/>
          </w:tcPr>
          <w:p>
            <w:pPr>
              <w:jc w:val="center"/>
            </w:pPr>
            <w:r/>
            <w:r>
              <w:rPr>
                <w:rFonts w:ascii="Times New Roman" w:hAnsi="Times New Roman"/>
                <w:sz w:val="18"/>
              </w:rPr>
              <w:t>Anhydrous ethanol</w:t>
            </w:r>
          </w:p>
        </w:tc>
        <w:tc>
          <w:tcPr>
            <w:tcW w:type="dxa" w:w="1881"/>
          </w:tcPr>
          <w:p>
            <w:pPr>
              <w:jc w:val="center"/>
            </w:pPr>
            <w:r/>
            <w:r>
              <w:rPr>
                <w:rFonts w:ascii="Times New Roman" w:hAnsi="Times New Roman"/>
                <w:sz w:val="18"/>
              </w:rPr>
              <w:t>C₂H₅OH</w:t>
            </w:r>
          </w:p>
        </w:tc>
        <w:tc>
          <w:tcPr>
            <w:tcW w:type="dxa" w:w="1881"/>
          </w:tcPr>
          <w:p>
            <w:pPr>
              <w:jc w:val="center"/>
            </w:pPr>
            <w:r/>
            <w:r>
              <w:rPr>
                <w:rFonts w:ascii="Times New Roman" w:hAnsi="Times New Roman"/>
                <w:sz w:val="18"/>
              </w:rPr>
              <w:t>Analytical</w:t>
            </w:r>
          </w:p>
        </w:tc>
        <w:tc>
          <w:tcPr>
            <w:tcW w:type="dxa" w:w="1881"/>
          </w:tcPr>
          <w:p>
            <w:pPr>
              <w:jc w:val="center"/>
            </w:pPr>
            <w:r/>
            <w:r>
              <w:rPr>
                <w:rFonts w:ascii="Times New Roman" w:hAnsi="Times New Roman"/>
                <w:sz w:val="18"/>
              </w:rPr>
              <w:t>≥ 99.7%</w:t>
            </w:r>
          </w:p>
        </w:tc>
        <w:tc>
          <w:tcPr>
            <w:tcW w:type="dxa" w:w="1881"/>
          </w:tcPr>
          <w:p>
            <w:pPr>
              <w:jc w:val="center"/>
            </w:pPr>
            <w:r/>
            <w:r>
              <w:rPr>
                <w:rFonts w:ascii="Times New Roman" w:hAnsi="Times New Roman"/>
                <w:sz w:val="18"/>
              </w:rPr>
              <w:t>Chengdu Kelong Chemical</w:t>
            </w:r>
          </w:p>
        </w:tc>
      </w:tr>
      <w:tr>
        <w:tc>
          <w:tcPr>
            <w:tcW w:type="dxa" w:w="1881"/>
          </w:tcPr>
          <w:p>
            <w:pPr>
              <w:jc w:val="center"/>
            </w:pPr>
            <w:r/>
            <w:r>
              <w:rPr>
                <w:rFonts w:ascii="Times New Roman" w:hAnsi="Times New Roman"/>
                <w:sz w:val="18"/>
              </w:rPr>
              <w:t>Dodecane</w:t>
            </w:r>
          </w:p>
        </w:tc>
        <w:tc>
          <w:tcPr>
            <w:tcW w:type="dxa" w:w="1881"/>
          </w:tcPr>
          <w:p>
            <w:pPr>
              <w:jc w:val="center"/>
            </w:pPr>
            <w:r/>
            <w:r>
              <w:rPr>
                <w:rFonts w:ascii="Times New Roman" w:hAnsi="Times New Roman"/>
                <w:sz w:val="18"/>
              </w:rPr>
              <w:t>C₁₂H₂₆</w:t>
            </w:r>
          </w:p>
        </w:tc>
        <w:tc>
          <w:tcPr>
            <w:tcW w:type="dxa" w:w="1881"/>
          </w:tcPr>
          <w:p>
            <w:pPr>
              <w:jc w:val="center"/>
            </w:pPr>
            <w:r/>
            <w:r>
              <w:rPr>
                <w:rFonts w:ascii="Times New Roman" w:hAnsi="Times New Roman"/>
                <w:sz w:val="18"/>
              </w:rPr>
              <w:t>Analytical</w:t>
            </w:r>
          </w:p>
        </w:tc>
        <w:tc>
          <w:tcPr>
            <w:tcW w:type="dxa" w:w="1881"/>
          </w:tcPr>
          <w:p>
            <w:pPr>
              <w:jc w:val="center"/>
            </w:pPr>
            <w:r/>
            <w:r>
              <w:rPr>
                <w:rFonts w:ascii="Times New Roman" w:hAnsi="Times New Roman"/>
                <w:sz w:val="18"/>
              </w:rPr>
              <w:t>≥ 99.0%</w:t>
            </w:r>
          </w:p>
        </w:tc>
        <w:tc>
          <w:tcPr>
            <w:tcW w:type="dxa" w:w="1881"/>
          </w:tcPr>
          <w:p>
            <w:pPr>
              <w:jc w:val="center"/>
            </w:pPr>
            <w:r/>
            <w:r>
              <w:rPr>
                <w:rFonts w:ascii="Times New Roman" w:hAnsi="Times New Roman"/>
                <w:sz w:val="18"/>
              </w:rPr>
              <w:t>Chengdu Kelong Chemical</w:t>
            </w:r>
          </w:p>
        </w:tc>
      </w:tr>
      <w:tr>
        <w:tc>
          <w:tcPr>
            <w:tcW w:type="dxa" w:w="1881"/>
          </w:tcPr>
          <w:p>
            <w:pPr>
              <w:jc w:val="center"/>
            </w:pPr>
            <w:r/>
            <w:r>
              <w:rPr>
                <w:rFonts w:ascii="Times New Roman" w:hAnsi="Times New Roman"/>
                <w:sz w:val="18"/>
              </w:rPr>
              <w:t>E51 epoxy resin</w:t>
            </w:r>
          </w:p>
        </w:tc>
        <w:tc>
          <w:tcPr>
            <w:tcW w:type="dxa" w:w="1881"/>
          </w:tcPr>
          <w:p>
            <w:pPr>
              <w:jc w:val="center"/>
            </w:pPr>
            <w:r/>
            <w:r>
              <w:rPr>
                <w:rFonts w:ascii="Times New Roman" w:hAnsi="Times New Roman"/>
                <w:sz w:val="18"/>
              </w:rPr>
              <w:t>Bisphenol-A diglycidyl ether</w:t>
            </w:r>
          </w:p>
        </w:tc>
        <w:tc>
          <w:tcPr>
            <w:tcW w:type="dxa" w:w="1881"/>
          </w:tcPr>
          <w:p>
            <w:pPr>
              <w:jc w:val="center"/>
            </w:pPr>
            <w:r/>
            <w:r>
              <w:rPr>
                <w:rFonts w:ascii="Times New Roman" w:hAnsi="Times New Roman"/>
                <w:sz w:val="18"/>
              </w:rPr>
              <w:t>Industrial</w:t>
            </w:r>
          </w:p>
        </w:tc>
        <w:tc>
          <w:tcPr>
            <w:tcW w:type="dxa" w:w="1881"/>
          </w:tcPr>
          <w:p>
            <w:pPr>
              <w:jc w:val="center"/>
            </w:pPr>
            <w:r/>
            <w:r>
              <w:rPr>
                <w:rFonts w:ascii="Times New Roman" w:hAnsi="Times New Roman"/>
                <w:sz w:val="18"/>
              </w:rPr>
              <w:t>Epoxy value 0.48–0.54 mol/100 g</w:t>
            </w:r>
          </w:p>
        </w:tc>
        <w:tc>
          <w:tcPr>
            <w:tcW w:type="dxa" w:w="1881"/>
          </w:tcPr>
          <w:p>
            <w:pPr>
              <w:jc w:val="center"/>
            </w:pPr>
            <w:r/>
            <w:r>
              <w:rPr>
                <w:rFonts w:ascii="Times New Roman" w:hAnsi="Times New Roman"/>
                <w:sz w:val="18"/>
              </w:rPr>
              <w:t>Nantong Xingchen Synthetic Materials</w:t>
            </w:r>
          </w:p>
        </w:tc>
      </w:tr>
      <w:tr>
        <w:tc>
          <w:tcPr>
            <w:tcW w:type="dxa" w:w="1881"/>
          </w:tcPr>
          <w:p>
            <w:pPr>
              <w:jc w:val="center"/>
            </w:pPr>
            <w:r/>
            <w:r>
              <w:rPr>
                <w:rFonts w:ascii="Times New Roman" w:hAnsi="Times New Roman"/>
                <w:sz w:val="18"/>
              </w:rPr>
              <w:t>T31 curing agent</w:t>
            </w:r>
          </w:p>
        </w:tc>
        <w:tc>
          <w:tcPr>
            <w:tcW w:type="dxa" w:w="1881"/>
          </w:tcPr>
          <w:p>
            <w:pPr>
              <w:jc w:val="center"/>
            </w:pPr>
            <w:r/>
            <w:r>
              <w:rPr>
                <w:rFonts w:ascii="Times New Roman" w:hAnsi="Times New Roman"/>
                <w:sz w:val="18"/>
              </w:rPr>
              <w:t>Phenolic amine</w:t>
            </w:r>
          </w:p>
        </w:tc>
        <w:tc>
          <w:tcPr>
            <w:tcW w:type="dxa" w:w="1881"/>
          </w:tcPr>
          <w:p>
            <w:pPr>
              <w:jc w:val="center"/>
            </w:pPr>
            <w:r/>
            <w:r>
              <w:rPr>
                <w:rFonts w:ascii="Times New Roman" w:hAnsi="Times New Roman"/>
                <w:sz w:val="18"/>
              </w:rPr>
              <w:t>Industrial</w:t>
            </w:r>
          </w:p>
        </w:tc>
        <w:tc>
          <w:tcPr>
            <w:tcW w:type="dxa" w:w="1881"/>
          </w:tcPr>
          <w:p>
            <w:pPr>
              <w:jc w:val="center"/>
            </w:pPr>
            <w:r/>
            <w:r>
              <w:rPr>
                <w:rFonts w:ascii="Times New Roman" w:hAnsi="Times New Roman"/>
                <w:sz w:val="18"/>
              </w:rPr>
              <w:t>≥ 95% effective component</w:t>
            </w:r>
          </w:p>
        </w:tc>
        <w:tc>
          <w:tcPr>
            <w:tcW w:type="dxa" w:w="1881"/>
          </w:tcPr>
          <w:p>
            <w:pPr>
              <w:jc w:val="center"/>
            </w:pPr>
            <w:r/>
            <w:r>
              <w:rPr>
                <w:rFonts w:ascii="Times New Roman" w:hAnsi="Times New Roman"/>
                <w:sz w:val="18"/>
              </w:rPr>
              <w:t>—</w:t>
            </w:r>
          </w:p>
        </w:tc>
      </w:tr>
      <w:tr>
        <w:tc>
          <w:tcPr>
            <w:tcW w:type="dxa" w:w="1881"/>
          </w:tcPr>
          <w:p>
            <w:pPr>
              <w:jc w:val="center"/>
            </w:pPr>
            <w:r/>
            <w:r>
              <w:rPr>
                <w:rFonts w:ascii="Times New Roman" w:hAnsi="Times New Roman"/>
                <w:sz w:val="18"/>
              </w:rPr>
              <w:t>Guar gum</w:t>
            </w:r>
          </w:p>
        </w:tc>
        <w:tc>
          <w:tcPr>
            <w:tcW w:type="dxa" w:w="1881"/>
          </w:tcPr>
          <w:p>
            <w:pPr>
              <w:jc w:val="center"/>
            </w:pPr>
            <w:r/>
            <w:r>
              <w:rPr>
                <w:rFonts w:ascii="Times New Roman" w:hAnsi="Times New Roman"/>
                <w:sz w:val="18"/>
              </w:rPr>
              <w:t>Polysaccharide</w:t>
            </w:r>
          </w:p>
        </w:tc>
        <w:tc>
          <w:tcPr>
            <w:tcW w:type="dxa" w:w="1881"/>
          </w:tcPr>
          <w:p>
            <w:pPr>
              <w:jc w:val="center"/>
            </w:pPr>
            <w:r/>
            <w:r>
              <w:rPr>
                <w:rFonts w:ascii="Times New Roman" w:hAnsi="Times New Roman"/>
                <w:sz w:val="18"/>
              </w:rPr>
              <w:t>Industrial</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w:t>
            </w:r>
          </w:p>
        </w:tc>
      </w:tr>
      <w:tr>
        <w:tc>
          <w:tcPr>
            <w:tcW w:type="dxa" w:w="1881"/>
          </w:tcPr>
          <w:p>
            <w:pPr>
              <w:jc w:val="center"/>
            </w:pPr>
            <w:r/>
            <w:r>
              <w:rPr>
                <w:rFonts w:ascii="Times New Roman" w:hAnsi="Times New Roman"/>
                <w:sz w:val="18"/>
              </w:rPr>
              <w:t>Hollow glass microspheres</w:t>
            </w:r>
          </w:p>
        </w:tc>
        <w:tc>
          <w:tcPr>
            <w:tcW w:type="dxa" w:w="1881"/>
          </w:tcPr>
          <w:p>
            <w:pPr>
              <w:jc w:val="center"/>
            </w:pPr>
            <w:r/>
            <w:r>
              <w:rPr>
                <w:rFonts w:ascii="Times New Roman" w:hAnsi="Times New Roman"/>
                <w:sz w:val="18"/>
              </w:rPr>
              <w:t>SiO₂-Na₂O-CaO</w:t>
            </w:r>
          </w:p>
        </w:tc>
        <w:tc>
          <w:tcPr>
            <w:tcW w:type="dxa" w:w="1881"/>
          </w:tcPr>
          <w:p>
            <w:pPr>
              <w:jc w:val="center"/>
            </w:pPr>
            <w:r/>
            <w:r>
              <w:rPr>
                <w:rFonts w:ascii="Times New Roman" w:hAnsi="Times New Roman"/>
                <w:sz w:val="18"/>
              </w:rPr>
              <w:t>Industrial</w:t>
            </w:r>
          </w:p>
        </w:tc>
        <w:tc>
          <w:tcPr>
            <w:tcW w:type="dxa" w:w="1881"/>
          </w:tcPr>
          <w:p>
            <w:pPr>
              <w:jc w:val="center"/>
            </w:pPr>
            <w:r/>
            <w:r>
              <w:rPr>
                <w:rFonts w:ascii="Times New Roman" w:hAnsi="Times New Roman"/>
                <w:sz w:val="18"/>
              </w:rPr>
              <w:t>≥ 99% purity</w:t>
            </w:r>
          </w:p>
        </w:tc>
        <w:tc>
          <w:tcPr>
            <w:tcW w:type="dxa" w:w="1881"/>
          </w:tcPr>
          <w:p>
            <w:pPr>
              <w:jc w:val="center"/>
            </w:pPr>
            <w:r/>
            <w:r>
              <w:rPr>
                <w:rFonts w:ascii="Times New Roman" w:hAnsi="Times New Roman"/>
                <w:sz w:val="18"/>
              </w:rPr>
              <w:t>—</w:t>
            </w:r>
          </w:p>
        </w:tc>
      </w:tr>
      <w:tr>
        <w:tc>
          <w:tcPr>
            <w:tcW w:type="dxa" w:w="1881"/>
          </w:tcPr>
          <w:p>
            <w:pPr>
              <w:jc w:val="center"/>
            </w:pPr>
            <w:r/>
            <w:r>
              <w:rPr>
                <w:rFonts w:ascii="Times New Roman" w:hAnsi="Times New Roman"/>
                <w:sz w:val="18"/>
              </w:rPr>
              <w:t>Hydrochloric acid</w:t>
            </w:r>
          </w:p>
        </w:tc>
        <w:tc>
          <w:tcPr>
            <w:tcW w:type="dxa" w:w="1881"/>
          </w:tcPr>
          <w:p>
            <w:pPr>
              <w:jc w:val="center"/>
            </w:pPr>
            <w:r/>
            <w:r>
              <w:rPr>
                <w:rFonts w:ascii="Times New Roman" w:hAnsi="Times New Roman"/>
                <w:sz w:val="18"/>
              </w:rPr>
              <w:t>HCl (36–38%)</w:t>
            </w:r>
          </w:p>
        </w:tc>
        <w:tc>
          <w:tcPr>
            <w:tcW w:type="dxa" w:w="1881"/>
          </w:tcPr>
          <w:p>
            <w:pPr>
              <w:jc w:val="center"/>
            </w:pPr>
            <w:r/>
            <w:r>
              <w:rPr>
                <w:rFonts w:ascii="Times New Roman" w:hAnsi="Times New Roman"/>
                <w:sz w:val="18"/>
              </w:rPr>
              <w:t>Analytical</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Chengdu Kelong Chemical</w:t>
            </w:r>
          </w:p>
        </w:tc>
      </w:tr>
      <w:tr>
        <w:tc>
          <w:tcPr>
            <w:tcW w:type="dxa" w:w="1881"/>
          </w:tcPr>
          <w:p>
            <w:pPr>
              <w:jc w:val="center"/>
            </w:pPr>
            <w:r/>
            <w:r>
              <w:rPr>
                <w:rFonts w:ascii="Times New Roman" w:hAnsi="Times New Roman"/>
                <w:sz w:val="18"/>
              </w:rPr>
              <w:t>Hydrofluoric acid</w:t>
            </w:r>
          </w:p>
        </w:tc>
        <w:tc>
          <w:tcPr>
            <w:tcW w:type="dxa" w:w="1881"/>
          </w:tcPr>
          <w:p>
            <w:pPr>
              <w:jc w:val="center"/>
            </w:pPr>
            <w:r/>
            <w:r>
              <w:rPr>
                <w:rFonts w:ascii="Times New Roman" w:hAnsi="Times New Roman"/>
                <w:sz w:val="18"/>
              </w:rPr>
              <w:t>HF (≥ 40%)</w:t>
            </w:r>
          </w:p>
        </w:tc>
        <w:tc>
          <w:tcPr>
            <w:tcW w:type="dxa" w:w="1881"/>
          </w:tcPr>
          <w:p>
            <w:pPr>
              <w:jc w:val="center"/>
            </w:pPr>
            <w:r/>
            <w:r>
              <w:rPr>
                <w:rFonts w:ascii="Times New Roman" w:hAnsi="Times New Roman"/>
                <w:sz w:val="18"/>
              </w:rPr>
              <w:t>Analytical</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Chengdu Kelong Chemical</w:t>
            </w:r>
          </w:p>
        </w:tc>
      </w:tr>
      <w:tr>
        <w:tc>
          <w:tcPr>
            <w:tcW w:type="dxa" w:w="1881"/>
          </w:tcPr>
          <w:p>
            <w:pPr>
              <w:jc w:val="center"/>
            </w:pPr>
            <w:r/>
            <w:r>
              <w:rPr>
                <w:rFonts w:ascii="Times New Roman" w:hAnsi="Times New Roman"/>
                <w:sz w:val="18"/>
              </w:rPr>
              <w:t>Deionized water</w:t>
            </w:r>
          </w:p>
        </w:tc>
        <w:tc>
          <w:tcPr>
            <w:tcW w:type="dxa" w:w="1881"/>
          </w:tcPr>
          <w:p>
            <w:pPr>
              <w:jc w:val="center"/>
            </w:pPr>
            <w:r/>
            <w:r>
              <w:rPr>
                <w:rFonts w:ascii="Times New Roman" w:hAnsi="Times New Roman"/>
                <w:sz w:val="18"/>
              </w:rPr>
              <w:t>H₂O</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18.2 MΩ·cm</w:t>
            </w:r>
          </w:p>
        </w:tc>
        <w:tc>
          <w:tcPr>
            <w:tcW w:type="dxa" w:w="1881"/>
          </w:tcPr>
          <w:p>
            <w:pPr>
              <w:jc w:val="center"/>
            </w:pPr>
            <w:r/>
            <w:r>
              <w:rPr>
                <w:rFonts w:ascii="Times New Roman" w:hAnsi="Times New Roman"/>
                <w:sz w:val="18"/>
              </w:rPr>
              <w:t>Laboratory system</w:t>
            </w:r>
          </w:p>
        </w:tc>
      </w:tr>
      <w:tr>
        <w:tc>
          <w:tcPr>
            <w:tcW w:type="dxa" w:w="1881"/>
          </w:tcPr>
          <w:p>
            <w:pPr>
              <w:jc w:val="center"/>
            </w:pPr>
            <w:r/>
            <w:r>
              <w:rPr>
                <w:rFonts w:ascii="Times New Roman" w:hAnsi="Times New Roman"/>
                <w:sz w:val="18"/>
              </w:rPr>
              <w:t>Nitrogen gas</w:t>
            </w:r>
          </w:p>
        </w:tc>
        <w:tc>
          <w:tcPr>
            <w:tcW w:type="dxa" w:w="1881"/>
          </w:tcPr>
          <w:p>
            <w:pPr>
              <w:jc w:val="center"/>
            </w:pPr>
            <w:r/>
            <w:r>
              <w:rPr>
                <w:rFonts w:ascii="Times New Roman" w:hAnsi="Times New Roman"/>
                <w:sz w:val="18"/>
              </w:rPr>
              <w:t>N₂</w:t>
            </w:r>
          </w:p>
        </w:tc>
        <w:tc>
          <w:tcPr>
            <w:tcW w:type="dxa" w:w="1881"/>
          </w:tcPr>
          <w:p>
            <w:pPr>
              <w:jc w:val="center"/>
            </w:pPr>
            <w:r/>
            <w:r>
              <w:rPr>
                <w:rFonts w:ascii="Times New Roman" w:hAnsi="Times New Roman"/>
                <w:sz w:val="18"/>
              </w:rPr>
              <w:t>High purity</w:t>
            </w:r>
          </w:p>
        </w:tc>
        <w:tc>
          <w:tcPr>
            <w:tcW w:type="dxa" w:w="1881"/>
          </w:tcPr>
          <w:p>
            <w:pPr>
              <w:jc w:val="center"/>
            </w:pPr>
            <w:r/>
            <w:r>
              <w:rPr>
                <w:rFonts w:ascii="Times New Roman" w:hAnsi="Times New Roman"/>
                <w:sz w:val="18"/>
              </w:rPr>
              <w:t>≥ 99.999%</w:t>
            </w:r>
          </w:p>
        </w:tc>
        <w:tc>
          <w:tcPr>
            <w:tcW w:type="dxa" w:w="1881"/>
          </w:tcPr>
          <w:p>
            <w:pPr>
              <w:jc w:val="center"/>
            </w:pPr>
            <w:r/>
            <w:r>
              <w:rPr>
                <w:rFonts w:ascii="Times New Roman" w:hAnsi="Times New Roman"/>
                <w:sz w:val="18"/>
              </w:rPr>
              <w:t>—</w:t>
            </w:r>
          </w:p>
        </w:tc>
      </w:tr>
    </w:tbl>
    <w:p>
      <w:pPr>
        <w:spacing w:after="40"/>
      </w:pPr>
    </w:p>
    <w:p>
      <w:pPr>
        <w:spacing w:after="200"/>
        <w:jc w:val="center"/>
      </w:pPr>
      <w:r>
        <w:rPr>
          <w:rFonts w:ascii="Times New Roman" w:hAnsi="Times New Roman"/>
          <w:b/>
          <w:sz w:val="20"/>
        </w:rPr>
        <w:t>Table S1. Reagent specifications. All reagents were used as received.</w:t>
      </w:r>
    </w:p>
    <w:p>
      <w:r>
        <w:br w:type="page"/>
      </w:r>
    </w:p>
    <w:p>
      <w:pPr>
        <w:pStyle w:val="Heading2"/>
        <w:spacing w:before="280"/>
      </w:pPr>
      <w:r>
        <w:t>S2. Detailed Characterization Methods</w:t>
      </w:r>
    </w:p>
    <w:p>
      <w:r>
        <w:rPr>
          <w:rFonts w:ascii="Times New Roman" w:hAnsi="Times New Roman"/>
          <w:sz w:val="22"/>
        </w:rPr>
        <w:t>The following procedures provide the complete methodological detail for the characterization measurements summarized in Section 2.3 of the main text. All measurements were performed in triplicate, and results are reported as mean ± standard deviation unless stated otherwise.</w:t>
      </w:r>
    </w:p>
    <w:p>
      <w:pPr>
        <w:pStyle w:val="Heading3"/>
        <w:spacing w:before="200"/>
      </w:pPr>
      <w:r>
        <w:t>S2.1. Bulk Density (SY/T 5107–2016)</w:t>
      </w:r>
    </w:p>
    <w:p>
      <w:r>
        <w:rPr>
          <w:rFonts w:ascii="Times New Roman" w:hAnsi="Times New Roman"/>
          <w:sz w:val="22"/>
        </w:rPr>
        <w:t>A known mass of proppant (M₀) was poured into a graduated cylinder. The cylinder was tapped 100 times on a rubber pad to achieve consistent settling, and the occupied volume (V₀) was read to the nearest 0.1 mL. The measurement was performed three times with independently weighed samples. Bulk density was calculated from the average mass (Mₐ) and average volume (Vₐ):</w:t>
      </w:r>
    </w:p>
    <w:p>
      <w:pPr>
        <w:spacing w:before="80" w:after="80"/>
        <w:jc w:val="center"/>
      </w:pPr>
      <w:r>
        <w:rPr>
          <w:rFonts w:ascii="Times New Roman" w:hAnsi="Times New Roman"/>
          <w:i/>
          <w:sz w:val="22"/>
        </w:rPr>
        <w:t>ρ_bulk = Mₐ / Vₐ</w:t>
      </w:r>
    </w:p>
    <w:p>
      <w:r>
        <w:rPr>
          <w:rFonts w:ascii="Times New Roman" w:hAnsi="Times New Roman"/>
          <w:i/>
          <w:sz w:val="18"/>
        </w:rPr>
        <w:t>where ρ_bulk = bulk density (g/cm³), Mₐ = average proppant mass (g), Vₐ = average settled volume (cm³).</w:t>
      </w:r>
    </w:p>
    <w:p>
      <w:pPr>
        <w:pStyle w:val="Heading3"/>
        <w:spacing w:before="200"/>
      </w:pPr>
      <w:r>
        <w:t>S2.2. Apparent Density (Density-Bottle Method)</w:t>
      </w:r>
    </w:p>
    <w:p>
      <w:r>
        <w:rPr>
          <w:rFonts w:ascii="Times New Roman" w:hAnsi="Times New Roman"/>
          <w:sz w:val="22"/>
        </w:rPr>
        <w:t>A 25-mL density bottle was dried and weighed empty (m₁). The bottle was filled with deionized water and reweighed (m₂). After drying, a known quantity of proppant (~2 g) was introduced (m₃), and the bottle was topped up with deionized water (m₄). Apparent density was calculated as:</w:t>
      </w:r>
    </w:p>
    <w:p>
      <w:pPr>
        <w:spacing w:before="80" w:after="80"/>
        <w:jc w:val="center"/>
      </w:pPr>
      <w:r>
        <w:rPr>
          <w:rFonts w:ascii="Times New Roman" w:hAnsi="Times New Roman"/>
          <w:i/>
          <w:sz w:val="22"/>
        </w:rPr>
        <w:t>ρ_app = (m₃ − m₁) / [(m₂ − m₁) − (m₄ − m₃)] × ρ_w</w:t>
      </w:r>
    </w:p>
    <w:p>
      <w:r>
        <w:rPr>
          <w:rFonts w:ascii="Times New Roman" w:hAnsi="Times New Roman"/>
          <w:i/>
          <w:sz w:val="18"/>
        </w:rPr>
        <w:t>where ρ_w = density of deionized water at 25 °C (0.997 g/cm³).</w:t>
      </w:r>
    </w:p>
    <w:p>
      <w:pPr>
        <w:pStyle w:val="Heading3"/>
        <w:spacing w:before="200"/>
      </w:pPr>
      <w:r>
        <w:t>S2.3. Acid Solubility (SY/T 5107–2016)</w:t>
      </w:r>
    </w:p>
    <w:p>
      <w:r>
        <w:rPr>
          <w:rFonts w:ascii="Times New Roman" w:hAnsi="Times New Roman"/>
          <w:sz w:val="22"/>
        </w:rPr>
        <w:t>Approximately 6.0 g of proppant was dried at 140 °C for 4 h and cooled in a desiccator for 30 min. A 5.0 g aliquot (weighed to ±0.1 mg; mass m_initial) was placed in a PTFE beaker containing 100 mL of acid solution (HCl 12.0 wt%, HF 3.0 wt%) preheated to 65 ± 1 °C. The mixture was stirred magnetically for 30 min, then filtered through a pre-weighed 0.45 μm PTFE membrane. The filter cake was washed repeatedly with deionized water to neutrality (confirmed by pH paper), dried at 140 °C for 2 h, and reweighed (m_residual). The measurement was performed in triplicate:</w:t>
      </w:r>
    </w:p>
    <w:p>
      <w:pPr>
        <w:spacing w:before="80" w:after="80"/>
        <w:jc w:val="center"/>
      </w:pPr>
      <w:r>
        <w:rPr>
          <w:rFonts w:ascii="Times New Roman" w:hAnsi="Times New Roman"/>
          <w:i/>
          <w:sz w:val="22"/>
        </w:rPr>
        <w:t>S (%) = (m_initial − m_residual) / m_initial × 100</w:t>
      </w:r>
    </w:p>
    <w:p>
      <w:pPr>
        <w:pStyle w:val="Heading3"/>
        <w:spacing w:before="200"/>
      </w:pPr>
      <w:r>
        <w:t>S2.4. Crush Rate (SY/T 5107–2016)</w:t>
      </w:r>
    </w:p>
    <w:p>
      <w:r>
        <w:rPr>
          <w:rFonts w:ascii="Times New Roman" w:hAnsi="Times New Roman"/>
          <w:sz w:val="22"/>
        </w:rPr>
        <w:t>Proppant was sieved to 20–30 mesh. A weighed quantity (m_initial, approximately 20 g) was placed in a standard crush cell and subjected to uniaxial pressure of 20 MPa or 52 MPa for 2 min using a hydraulic press. The crushed material was sieved through a 100–120 mesh screen. The mass of generated fines (m_fines) was recorded to ±0.1 mg. The crush rate was calculated as:</w:t>
      </w:r>
    </w:p>
    <w:p>
      <w:pPr>
        <w:spacing w:before="80" w:after="80"/>
        <w:jc w:val="center"/>
      </w:pPr>
      <w:r>
        <w:rPr>
          <w:rFonts w:ascii="Times New Roman" w:hAnsi="Times New Roman"/>
          <w:i/>
          <w:sz w:val="22"/>
        </w:rPr>
        <w:t>η_crush (%) = m_fines / m_initial × 100</w:t>
      </w:r>
    </w:p>
    <w:p>
      <w:pPr>
        <w:pStyle w:val="Heading3"/>
        <w:spacing w:before="200"/>
      </w:pPr>
      <w:r>
        <w:t>S2.5. Oil/Water Filtration Time</w:t>
      </w:r>
    </w:p>
    <w:p>
      <w:r>
        <w:rPr>
          <w:rFonts w:ascii="Times New Roman" w:hAnsi="Times New Roman"/>
          <w:sz w:val="22"/>
        </w:rPr>
        <w:t>A 200-mesh stainless steel screen was fitted to a glass funnel (internal diameter = 25 mm). Proppant (2.0 ± 0.01 g, 40–70 mesh) was loaded to form a uniform packed bed of approximately 3 mm thickness. Deionized water or dodecane (20.0 mL) was gently poured onto the bed surface, and the time for the last visible liquid to disappear from the bed surface was recorded with a stopwatch (±1 s). Three independent measurements were performed for each fluid on each proppant type. The ratio of water-to-oil passage times provides a quantitative index of oil-water transport selectivity.</w:t>
      </w:r>
    </w:p>
    <w:p>
      <w:pPr>
        <w:pStyle w:val="Heading3"/>
        <w:spacing w:before="200"/>
      </w:pPr>
      <w:r>
        <w:t>S2.6. Water Contact Angle Measurement</w:t>
      </w:r>
    </w:p>
    <w:p>
      <w:r>
        <w:rPr>
          <w:rFonts w:ascii="Times New Roman" w:hAnsi="Times New Roman"/>
          <w:sz w:val="22"/>
        </w:rPr>
        <w:t>Proppant (~0.5 g) was compressed at 0.5 MPa in a stainless steel mold to form a flat, cohesive disc (diameter ~13 mm, thickness ~2 mm). A 5 μL droplet of deionized water was deposited onto the disc surface using a microsyringe. Images were captured at 5 s after deposition (DataPhysics OCA20, CCD camera, backlight illumination). Contact angles were determined by Laplace-Young fitting of the droplet profile using SCA20 software. Five independent measurements were performed on each sample, each time using a freshly prepared disc. Results are reported as mean ± standard deviation (n = 5).</w:t>
      </w:r>
    </w:p>
    <w:p>
      <w:r>
        <w:br w:type="page"/>
      </w:r>
    </w:p>
    <w:p>
      <w:pPr>
        <w:pStyle w:val="Heading2"/>
        <w:spacing w:before="280"/>
      </w:pPr>
      <w:r>
        <w:t>S3. Supplementary Characterization Data</w:t>
      </w:r>
    </w:p>
    <w:p>
      <w:pPr>
        <w:pStyle w:val="Heading3"/>
        <w:spacing w:before="200"/>
      </w:pPr>
      <w:r>
        <w:t>S3.1. Optical Microscopy</w:t>
      </w:r>
    </w:p>
    <w:p>
      <w:r>
        <w:rPr>
          <w:rFonts w:ascii="Times New Roman" w:hAnsi="Times New Roman"/>
          <w:sz w:val="22"/>
        </w:rPr>
        <w:t>Optical micrographs of pure epoxy microspheres and ESP-T were acquired at 40×, 100×, and 200× magnification (Leica DM2700P, transmitted light) as referenced in Section 3.1 of the main text. The images confirm regular spherical morphology for both materials. At 100×–200×, ESP-T micrographs reveal dispersed surface protrusions of 1–5 μm corresponding to nano-Fe₃O₄@SA nanoclusters embedded within the epoxy matrix, with no visible interfacial gaps—consistent with the stearic acid-mediated physical adhesion inferred from SEM analysis.</w:t>
      </w:r>
    </w:p>
    <w:p>
      <w:r>
        <w:rPr>
          <w:rFonts w:ascii="Times New Roman" w:hAnsi="Times New Roman"/>
          <w:sz w:val="22"/>
        </w:rPr>
        <w:t>[Insert optical micrographs here — 6 panels: epoxy 40×, 100×, 200×; ESP-T 40×, 100×, 200×]</w:t>
      </w:r>
    </w:p>
    <w:p>
      <w:pPr>
        <w:spacing w:after="200"/>
        <w:jc w:val="center"/>
      </w:pPr>
      <w:r>
        <w:rPr>
          <w:rFonts w:ascii="Times New Roman" w:hAnsi="Times New Roman"/>
          <w:b/>
          <w:sz w:val="20"/>
        </w:rPr>
        <w:t>Figure S3. Optical micrographs of pure epoxy microspheres (top row) and ESP-T (bottom row) at (a,d) 40×, (b,e) 100×, and (c,f) 200× magnification. Scale bars: 200 μm (40×), 100 μm (100×), 50 μm (200×).</w:t>
      </w:r>
    </w:p>
    <w:p>
      <w:pPr>
        <w:pStyle w:val="Heading3"/>
        <w:spacing w:before="200"/>
      </w:pPr>
      <w:r>
        <w:t>S3.2. Complete Physical Property Summary</w:t>
      </w:r>
    </w:p>
    <w:p>
      <w:r>
        <w:rPr>
          <w:rFonts w:ascii="Times New Roman" w:hAnsi="Times New Roman"/>
          <w:sz w:val="22"/>
        </w:rPr>
        <w:t>Table S4 provides the full physical and mechanical property dataset for both proppant types, with standard deviations from triplicate measurements and industry benchmarks from SY/T 5107–2016, as referenced in Section 3.1 of the main text.</w:t>
      </w:r>
    </w:p>
    <w:p/>
    <w:tbl>
      <w:tblPr>
        <w:tblW w:type="auto" w:w="0"/>
        <w:tblLayout w:type="autofit"/>
        <w:tblLook w:firstColumn="1" w:firstRow="1" w:lastColumn="0" w:lastRow="0" w:noHBand="0" w:noVBand="1" w:val="04A0"/>
        <w:tblBorders>
          <w:top w:val="single" w:sz="12" w:space="0" w:color="000000"/>
          <w:bottom w:val="single" w:sz="12" w:space="0" w:color="000000"/>
          <w:insideH w:val="none" w:sz="0" w:space="0" w:color="000000"/>
          <w:left w:val="none" w:sz="0" w:space="0" w:color="000000"/>
          <w:right w:val="none" w:sz="0" w:space="0" w:color="000000"/>
        </w:tblBorders>
      </w:tblPr>
      <w:tblGrid>
        <w:gridCol w:w="1881"/>
        <w:gridCol w:w="1881"/>
        <w:gridCol w:w="1881"/>
        <w:gridCol w:w="1881"/>
        <w:gridCol w:w="1881"/>
      </w:tblGrid>
      <w:tr>
        <w:tc>
          <w:tcPr>
            <w:tcW w:type="dxa" w:w="1881"/>
            <w:tcBorders>
              <w:bottom w:val="single" w:sz="4" w:space="0" w:color="000000"/>
            </w:tcBorders>
          </w:tcPr>
          <w:p>
            <w:pPr>
              <w:jc w:val="center"/>
            </w:pPr>
            <w:r/>
            <w:r>
              <w:rPr>
                <w:rFonts w:ascii="Times New Roman" w:hAnsi="Times New Roman"/>
                <w:b/>
                <w:sz w:val="18"/>
              </w:rPr>
              <w:t>Property</w:t>
            </w:r>
          </w:p>
        </w:tc>
        <w:tc>
          <w:tcPr>
            <w:tcW w:type="dxa" w:w="1881"/>
            <w:tcBorders>
              <w:bottom w:val="single" w:sz="4" w:space="0" w:color="000000"/>
            </w:tcBorders>
          </w:tcPr>
          <w:p>
            <w:pPr>
              <w:jc w:val="center"/>
            </w:pPr>
            <w:r/>
            <w:r>
              <w:rPr>
                <w:rFonts w:ascii="Times New Roman" w:hAnsi="Times New Roman"/>
                <w:b/>
                <w:sz w:val="18"/>
              </w:rPr>
              <w:t>Pure Epoxy</w:t>
              <w:br/>
              <w:t>Microspheres</w:t>
            </w:r>
          </w:p>
        </w:tc>
        <w:tc>
          <w:tcPr>
            <w:tcW w:type="dxa" w:w="1881"/>
            <w:tcBorders>
              <w:bottom w:val="single" w:sz="4" w:space="0" w:color="000000"/>
            </w:tcBorders>
          </w:tcPr>
          <w:p>
            <w:pPr>
              <w:jc w:val="center"/>
            </w:pPr>
            <w:r/>
            <w:r>
              <w:rPr>
                <w:rFonts w:ascii="Times New Roman" w:hAnsi="Times New Roman"/>
                <w:b/>
                <w:sz w:val="18"/>
              </w:rPr>
              <w:t>ESP-T</w:t>
            </w:r>
          </w:p>
        </w:tc>
        <w:tc>
          <w:tcPr>
            <w:tcW w:type="dxa" w:w="1881"/>
            <w:tcBorders>
              <w:bottom w:val="single" w:sz="4" w:space="0" w:color="000000"/>
            </w:tcBorders>
          </w:tcPr>
          <w:p>
            <w:pPr>
              <w:jc w:val="center"/>
            </w:pPr>
            <w:r/>
            <w:r>
              <w:rPr>
                <w:rFonts w:ascii="Times New Roman" w:hAnsi="Times New Roman"/>
                <w:b/>
                <w:sz w:val="18"/>
              </w:rPr>
              <w:t>SY/T 5107–2016</w:t>
              <w:br/>
              <w:t>Benchmark</w:t>
            </w:r>
          </w:p>
        </w:tc>
        <w:tc>
          <w:tcPr>
            <w:tcW w:type="dxa" w:w="1881"/>
            <w:tcBorders>
              <w:bottom w:val="single" w:sz="4" w:space="0" w:color="000000"/>
            </w:tcBorders>
          </w:tcPr>
          <w:p>
            <w:pPr>
              <w:jc w:val="center"/>
            </w:pPr>
            <w:r/>
            <w:r>
              <w:rPr>
                <w:rFonts w:ascii="Times New Roman" w:hAnsi="Times New Roman"/>
                <w:b/>
                <w:sz w:val="18"/>
              </w:rPr>
              <w:t>Method</w:t>
            </w:r>
          </w:p>
        </w:tc>
      </w:tr>
      <w:tr>
        <w:tc>
          <w:tcPr>
            <w:tcW w:type="dxa" w:w="1881"/>
          </w:tcPr>
          <w:p>
            <w:pPr>
              <w:jc w:val="center"/>
            </w:pPr>
            <w:r/>
            <w:r>
              <w:rPr>
                <w:rFonts w:ascii="Times New Roman" w:hAnsi="Times New Roman"/>
                <w:sz w:val="18"/>
              </w:rPr>
              <w:t>Bulk density (g/cm³)</w:t>
            </w:r>
          </w:p>
        </w:tc>
        <w:tc>
          <w:tcPr>
            <w:tcW w:type="dxa" w:w="1881"/>
          </w:tcPr>
          <w:p>
            <w:pPr>
              <w:jc w:val="center"/>
            </w:pPr>
            <w:r/>
            <w:r>
              <w:rPr>
                <w:rFonts w:ascii="Times New Roman" w:hAnsi="Times New Roman"/>
                <w:sz w:val="18"/>
              </w:rPr>
              <w:t>0.618 ± 0.012</w:t>
            </w:r>
          </w:p>
        </w:tc>
        <w:tc>
          <w:tcPr>
            <w:tcW w:type="dxa" w:w="1881"/>
          </w:tcPr>
          <w:p>
            <w:pPr>
              <w:jc w:val="center"/>
            </w:pPr>
            <w:r/>
            <w:r>
              <w:rPr>
                <w:rFonts w:ascii="Times New Roman" w:hAnsi="Times New Roman"/>
                <w:sz w:val="18"/>
              </w:rPr>
              <w:t>0.646 ± 0.015</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Tapping method</w:t>
            </w:r>
          </w:p>
        </w:tc>
      </w:tr>
      <w:tr>
        <w:tc>
          <w:tcPr>
            <w:tcW w:type="dxa" w:w="1881"/>
          </w:tcPr>
          <w:p>
            <w:pPr>
              <w:jc w:val="center"/>
            </w:pPr>
            <w:r/>
            <w:r>
              <w:rPr>
                <w:rFonts w:ascii="Times New Roman" w:hAnsi="Times New Roman"/>
                <w:sz w:val="18"/>
              </w:rPr>
              <w:t>Apparent density (g/cm³)</w:t>
            </w:r>
          </w:p>
        </w:tc>
        <w:tc>
          <w:tcPr>
            <w:tcW w:type="dxa" w:w="1881"/>
          </w:tcPr>
          <w:p>
            <w:pPr>
              <w:jc w:val="center"/>
            </w:pPr>
            <w:r/>
            <w:r>
              <w:rPr>
                <w:rFonts w:ascii="Times New Roman" w:hAnsi="Times New Roman"/>
                <w:sz w:val="18"/>
              </w:rPr>
              <w:t>1.02 ± 0.03</w:t>
            </w:r>
          </w:p>
        </w:tc>
        <w:tc>
          <w:tcPr>
            <w:tcW w:type="dxa" w:w="1881"/>
          </w:tcPr>
          <w:p>
            <w:pPr>
              <w:jc w:val="center"/>
            </w:pPr>
            <w:r/>
            <w:r>
              <w:rPr>
                <w:rFonts w:ascii="Times New Roman" w:hAnsi="Times New Roman"/>
                <w:sz w:val="18"/>
              </w:rPr>
              <w:t>1.07 ± 0.03</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Density bottle</w:t>
            </w:r>
          </w:p>
        </w:tc>
      </w:tr>
      <w:tr>
        <w:tc>
          <w:tcPr>
            <w:tcW w:type="dxa" w:w="1881"/>
          </w:tcPr>
          <w:p>
            <w:pPr>
              <w:jc w:val="center"/>
            </w:pPr>
            <w:r/>
            <w:r>
              <w:rPr>
                <w:rFonts w:ascii="Times New Roman" w:hAnsi="Times New Roman"/>
                <w:sz w:val="18"/>
              </w:rPr>
              <w:t>Sphericity</w:t>
            </w:r>
          </w:p>
        </w:tc>
        <w:tc>
          <w:tcPr>
            <w:tcW w:type="dxa" w:w="1881"/>
          </w:tcPr>
          <w:p>
            <w:pPr>
              <w:jc w:val="center"/>
            </w:pPr>
            <w:r/>
            <w:r>
              <w:rPr>
                <w:rFonts w:ascii="Times New Roman" w:hAnsi="Times New Roman"/>
                <w:sz w:val="18"/>
              </w:rPr>
              <w:t>&gt; 0.9</w:t>
            </w:r>
          </w:p>
        </w:tc>
        <w:tc>
          <w:tcPr>
            <w:tcW w:type="dxa" w:w="1881"/>
          </w:tcPr>
          <w:p>
            <w:pPr>
              <w:jc w:val="center"/>
            </w:pPr>
            <w:r/>
            <w:r>
              <w:rPr>
                <w:rFonts w:ascii="Times New Roman" w:hAnsi="Times New Roman"/>
                <w:sz w:val="18"/>
              </w:rPr>
              <w:t>&gt; 0.9</w:t>
            </w:r>
          </w:p>
        </w:tc>
        <w:tc>
          <w:tcPr>
            <w:tcW w:type="dxa" w:w="1881"/>
          </w:tcPr>
          <w:p>
            <w:pPr>
              <w:jc w:val="center"/>
            </w:pPr>
            <w:r/>
            <w:r>
              <w:rPr>
                <w:rFonts w:ascii="Times New Roman" w:hAnsi="Times New Roman"/>
                <w:sz w:val="18"/>
              </w:rPr>
              <w:t>≥ 0.6</w:t>
            </w:r>
          </w:p>
        </w:tc>
        <w:tc>
          <w:tcPr>
            <w:tcW w:type="dxa" w:w="1881"/>
          </w:tcPr>
          <w:p>
            <w:pPr>
              <w:jc w:val="center"/>
            </w:pPr>
            <w:r/>
            <w:r>
              <w:rPr>
                <w:rFonts w:ascii="Times New Roman" w:hAnsi="Times New Roman"/>
                <w:sz w:val="18"/>
              </w:rPr>
              <w:t>Krumbien-Sloss chart</w:t>
            </w:r>
          </w:p>
        </w:tc>
      </w:tr>
      <w:tr>
        <w:tc>
          <w:tcPr>
            <w:tcW w:type="dxa" w:w="1881"/>
          </w:tcPr>
          <w:p>
            <w:pPr>
              <w:jc w:val="center"/>
            </w:pPr>
            <w:r/>
            <w:r>
              <w:rPr>
                <w:rFonts w:ascii="Times New Roman" w:hAnsi="Times New Roman"/>
                <w:sz w:val="18"/>
              </w:rPr>
              <w:t>Roundness</w:t>
            </w:r>
          </w:p>
        </w:tc>
        <w:tc>
          <w:tcPr>
            <w:tcW w:type="dxa" w:w="1881"/>
          </w:tcPr>
          <w:p>
            <w:pPr>
              <w:jc w:val="center"/>
            </w:pPr>
            <w:r/>
            <w:r>
              <w:rPr>
                <w:rFonts w:ascii="Times New Roman" w:hAnsi="Times New Roman"/>
                <w:sz w:val="18"/>
              </w:rPr>
              <w:t>&gt; 0.9</w:t>
            </w:r>
          </w:p>
        </w:tc>
        <w:tc>
          <w:tcPr>
            <w:tcW w:type="dxa" w:w="1881"/>
          </w:tcPr>
          <w:p>
            <w:pPr>
              <w:jc w:val="center"/>
            </w:pPr>
            <w:r/>
            <w:r>
              <w:rPr>
                <w:rFonts w:ascii="Times New Roman" w:hAnsi="Times New Roman"/>
                <w:sz w:val="18"/>
              </w:rPr>
              <w:t>&gt; 0.9</w:t>
            </w:r>
          </w:p>
        </w:tc>
        <w:tc>
          <w:tcPr>
            <w:tcW w:type="dxa" w:w="1881"/>
          </w:tcPr>
          <w:p>
            <w:pPr>
              <w:jc w:val="center"/>
            </w:pPr>
            <w:r/>
            <w:r>
              <w:rPr>
                <w:rFonts w:ascii="Times New Roman" w:hAnsi="Times New Roman"/>
                <w:sz w:val="18"/>
              </w:rPr>
              <w:t>≥ 0.6</w:t>
            </w:r>
          </w:p>
        </w:tc>
        <w:tc>
          <w:tcPr>
            <w:tcW w:type="dxa" w:w="1881"/>
          </w:tcPr>
          <w:p>
            <w:pPr>
              <w:jc w:val="center"/>
            </w:pPr>
            <w:r/>
            <w:r>
              <w:rPr>
                <w:rFonts w:ascii="Times New Roman" w:hAnsi="Times New Roman"/>
                <w:sz w:val="18"/>
              </w:rPr>
              <w:t>Krumbien-Sloss chart</w:t>
            </w:r>
          </w:p>
        </w:tc>
      </w:tr>
      <w:tr>
        <w:tc>
          <w:tcPr>
            <w:tcW w:type="dxa" w:w="1881"/>
          </w:tcPr>
          <w:p>
            <w:pPr>
              <w:jc w:val="center"/>
            </w:pPr>
            <w:r/>
            <w:r>
              <w:rPr>
                <w:rFonts w:ascii="Times New Roman" w:hAnsi="Times New Roman"/>
                <w:sz w:val="18"/>
              </w:rPr>
              <w:t>Crush rate at 20 MPa (%)</w:t>
            </w:r>
          </w:p>
        </w:tc>
        <w:tc>
          <w:tcPr>
            <w:tcW w:type="dxa" w:w="1881"/>
          </w:tcPr>
          <w:p>
            <w:pPr>
              <w:jc w:val="center"/>
            </w:pPr>
            <w:r/>
            <w:r>
              <w:rPr>
                <w:rFonts w:ascii="Times New Roman" w:hAnsi="Times New Roman"/>
                <w:sz w:val="18"/>
              </w:rPr>
              <w:t>0.35 ± 0.05</w:t>
            </w:r>
          </w:p>
        </w:tc>
        <w:tc>
          <w:tcPr>
            <w:tcW w:type="dxa" w:w="1881"/>
          </w:tcPr>
          <w:p>
            <w:pPr>
              <w:jc w:val="center"/>
            </w:pPr>
            <w:r/>
            <w:r>
              <w:rPr>
                <w:rFonts w:ascii="Times New Roman" w:hAnsi="Times New Roman"/>
                <w:sz w:val="18"/>
              </w:rPr>
              <w:t>0.42 ± 0.06</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SY/T 5107 §6</w:t>
            </w:r>
          </w:p>
        </w:tc>
      </w:tr>
      <w:tr>
        <w:tc>
          <w:tcPr>
            <w:tcW w:type="dxa" w:w="1881"/>
          </w:tcPr>
          <w:p>
            <w:pPr>
              <w:jc w:val="center"/>
            </w:pPr>
            <w:r/>
            <w:r>
              <w:rPr>
                <w:rFonts w:ascii="Times New Roman" w:hAnsi="Times New Roman"/>
                <w:sz w:val="18"/>
              </w:rPr>
              <w:t>Crush rate at 52 MPa (%)</w:t>
            </w:r>
          </w:p>
        </w:tc>
        <w:tc>
          <w:tcPr>
            <w:tcW w:type="dxa" w:w="1881"/>
          </w:tcPr>
          <w:p>
            <w:pPr>
              <w:jc w:val="center"/>
            </w:pPr>
            <w:r/>
            <w:r>
              <w:rPr>
                <w:rFonts w:ascii="Times New Roman" w:hAnsi="Times New Roman"/>
                <w:sz w:val="18"/>
              </w:rPr>
              <w:t>2.6 ± 0.2</w:t>
            </w:r>
          </w:p>
        </w:tc>
        <w:tc>
          <w:tcPr>
            <w:tcW w:type="dxa" w:w="1881"/>
          </w:tcPr>
          <w:p>
            <w:pPr>
              <w:jc w:val="center"/>
            </w:pPr>
            <w:r/>
            <w:r>
              <w:rPr>
                <w:rFonts w:ascii="Times New Roman" w:hAnsi="Times New Roman"/>
                <w:sz w:val="18"/>
              </w:rPr>
              <w:t>2.9 ± 0.2</w:t>
            </w:r>
          </w:p>
        </w:tc>
        <w:tc>
          <w:tcPr>
            <w:tcW w:type="dxa" w:w="1881"/>
          </w:tcPr>
          <w:p>
            <w:pPr>
              <w:jc w:val="center"/>
            </w:pPr>
            <w:r/>
            <w:r>
              <w:rPr>
                <w:rFonts w:ascii="Times New Roman" w:hAnsi="Times New Roman"/>
                <w:sz w:val="18"/>
              </w:rPr>
              <w:t>≤ 10</w:t>
            </w:r>
          </w:p>
        </w:tc>
        <w:tc>
          <w:tcPr>
            <w:tcW w:type="dxa" w:w="1881"/>
          </w:tcPr>
          <w:p>
            <w:pPr>
              <w:jc w:val="center"/>
            </w:pPr>
            <w:r/>
            <w:r>
              <w:rPr>
                <w:rFonts w:ascii="Times New Roman" w:hAnsi="Times New Roman"/>
                <w:sz w:val="18"/>
              </w:rPr>
              <w:t>SY/T 5107 §6</w:t>
            </w:r>
          </w:p>
        </w:tc>
      </w:tr>
      <w:tr>
        <w:tc>
          <w:tcPr>
            <w:tcW w:type="dxa" w:w="1881"/>
          </w:tcPr>
          <w:p>
            <w:pPr>
              <w:jc w:val="center"/>
            </w:pPr>
            <w:r/>
            <w:r>
              <w:rPr>
                <w:rFonts w:ascii="Times New Roman" w:hAnsi="Times New Roman"/>
                <w:sz w:val="18"/>
              </w:rPr>
              <w:t>Acid solubility (%)</w:t>
            </w:r>
          </w:p>
        </w:tc>
        <w:tc>
          <w:tcPr>
            <w:tcW w:type="dxa" w:w="1881"/>
          </w:tcPr>
          <w:p>
            <w:pPr>
              <w:jc w:val="center"/>
            </w:pPr>
            <w:r/>
            <w:r>
              <w:rPr>
                <w:rFonts w:ascii="Times New Roman" w:hAnsi="Times New Roman"/>
                <w:sz w:val="18"/>
              </w:rPr>
              <w:t>2.5 ± 0.1</w:t>
            </w:r>
          </w:p>
        </w:tc>
        <w:tc>
          <w:tcPr>
            <w:tcW w:type="dxa" w:w="1881"/>
          </w:tcPr>
          <w:p>
            <w:pPr>
              <w:jc w:val="center"/>
            </w:pPr>
            <w:r/>
            <w:r>
              <w:rPr>
                <w:rFonts w:ascii="Times New Roman" w:hAnsi="Times New Roman"/>
                <w:sz w:val="18"/>
              </w:rPr>
              <w:t>3.3 ± 0.2</w:t>
            </w:r>
          </w:p>
        </w:tc>
        <w:tc>
          <w:tcPr>
            <w:tcW w:type="dxa" w:w="1881"/>
          </w:tcPr>
          <w:p>
            <w:pPr>
              <w:jc w:val="center"/>
            </w:pPr>
            <w:r/>
            <w:r>
              <w:rPr>
                <w:rFonts w:ascii="Times New Roman" w:hAnsi="Times New Roman"/>
                <w:sz w:val="18"/>
              </w:rPr>
              <w:t>≤ 5</w:t>
            </w:r>
          </w:p>
        </w:tc>
        <w:tc>
          <w:tcPr>
            <w:tcW w:type="dxa" w:w="1881"/>
          </w:tcPr>
          <w:p>
            <w:pPr>
              <w:jc w:val="center"/>
            </w:pPr>
            <w:r/>
            <w:r>
              <w:rPr>
                <w:rFonts w:ascii="Times New Roman" w:hAnsi="Times New Roman"/>
                <w:sz w:val="18"/>
              </w:rPr>
              <w:t>SY/T 5107 §7</w:t>
            </w:r>
          </w:p>
        </w:tc>
      </w:tr>
      <w:tr>
        <w:tc>
          <w:tcPr>
            <w:tcW w:type="dxa" w:w="1881"/>
          </w:tcPr>
          <w:p>
            <w:pPr>
              <w:jc w:val="center"/>
            </w:pPr>
            <w:r/>
            <w:r>
              <w:rPr>
                <w:rFonts w:ascii="Times New Roman" w:hAnsi="Times New Roman"/>
                <w:sz w:val="18"/>
              </w:rPr>
              <w:t>Water contact angle (°)</w:t>
            </w:r>
          </w:p>
        </w:tc>
        <w:tc>
          <w:tcPr>
            <w:tcW w:type="dxa" w:w="1881"/>
          </w:tcPr>
          <w:p>
            <w:pPr>
              <w:jc w:val="center"/>
            </w:pPr>
            <w:r/>
            <w:r>
              <w:rPr>
                <w:rFonts w:ascii="Times New Roman" w:hAnsi="Times New Roman"/>
                <w:sz w:val="18"/>
              </w:rPr>
              <w:t>72.3 ± 2.1</w:t>
            </w:r>
          </w:p>
        </w:tc>
        <w:tc>
          <w:tcPr>
            <w:tcW w:type="dxa" w:w="1881"/>
          </w:tcPr>
          <w:p>
            <w:pPr>
              <w:jc w:val="center"/>
            </w:pPr>
            <w:r/>
            <w:r>
              <w:rPr>
                <w:rFonts w:ascii="Times New Roman" w:hAnsi="Times New Roman"/>
                <w:sz w:val="18"/>
              </w:rPr>
              <w:t>104.6 ± 1.8</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Sessile drop, n = 5</w:t>
            </w:r>
          </w:p>
        </w:tc>
      </w:tr>
      <w:tr>
        <w:tc>
          <w:tcPr>
            <w:tcW w:type="dxa" w:w="1881"/>
          </w:tcPr>
          <w:p>
            <w:pPr>
              <w:jc w:val="center"/>
            </w:pPr>
            <w:r/>
            <w:r>
              <w:rPr>
                <w:rFonts w:ascii="Times New Roman" w:hAnsi="Times New Roman"/>
                <w:sz w:val="18"/>
              </w:rPr>
              <w:t>Decomposition temp. (°C)</w:t>
            </w:r>
          </w:p>
        </w:tc>
        <w:tc>
          <w:tcPr>
            <w:tcW w:type="dxa" w:w="1881"/>
          </w:tcPr>
          <w:p>
            <w:pPr>
              <w:jc w:val="center"/>
            </w:pPr>
            <w:r/>
            <w:r>
              <w:rPr>
                <w:rFonts w:ascii="Times New Roman" w:hAnsi="Times New Roman"/>
                <w:sz w:val="18"/>
              </w:rPr>
              <w:t>361.5</w:t>
            </w:r>
          </w:p>
        </w:tc>
        <w:tc>
          <w:tcPr>
            <w:tcW w:type="dxa" w:w="1881"/>
          </w:tcPr>
          <w:p>
            <w:pPr>
              <w:jc w:val="center"/>
            </w:pPr>
            <w:r/>
            <w:r>
              <w:rPr>
                <w:rFonts w:ascii="Times New Roman" w:hAnsi="Times New Roman"/>
                <w:sz w:val="18"/>
              </w:rPr>
              <w:t>357.3</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TGA/DTG peak</w:t>
            </w:r>
          </w:p>
        </w:tc>
      </w:tr>
      <w:tr>
        <w:tc>
          <w:tcPr>
            <w:tcW w:type="dxa" w:w="1881"/>
          </w:tcPr>
          <w:p>
            <w:pPr>
              <w:jc w:val="center"/>
            </w:pPr>
            <w:r/>
            <w:r>
              <w:rPr>
                <w:rFonts w:ascii="Times New Roman" w:hAnsi="Times New Roman"/>
                <w:sz w:val="18"/>
              </w:rPr>
              <w:t>Mass loss &lt; 350 °C (%)</w:t>
            </w:r>
          </w:p>
        </w:tc>
        <w:tc>
          <w:tcPr>
            <w:tcW w:type="dxa" w:w="1881"/>
          </w:tcPr>
          <w:p>
            <w:pPr>
              <w:jc w:val="center"/>
            </w:pPr>
            <w:r/>
            <w:r>
              <w:rPr>
                <w:rFonts w:ascii="Times New Roman" w:hAnsi="Times New Roman"/>
                <w:sz w:val="18"/>
              </w:rPr>
              <w:t>4.2</w:t>
            </w:r>
          </w:p>
        </w:tc>
        <w:tc>
          <w:tcPr>
            <w:tcW w:type="dxa" w:w="1881"/>
          </w:tcPr>
          <w:p>
            <w:pPr>
              <w:jc w:val="center"/>
            </w:pPr>
            <w:r/>
            <w:r>
              <w:rPr>
                <w:rFonts w:ascii="Times New Roman" w:hAnsi="Times New Roman"/>
                <w:sz w:val="18"/>
              </w:rPr>
              <w:t>5.7</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TGA</w:t>
            </w:r>
          </w:p>
        </w:tc>
      </w:tr>
      <w:tr>
        <w:tc>
          <w:tcPr>
            <w:tcW w:type="dxa" w:w="1881"/>
          </w:tcPr>
          <w:p>
            <w:pPr>
              <w:jc w:val="center"/>
            </w:pPr>
            <w:r/>
            <w:r>
              <w:rPr>
                <w:rFonts w:ascii="Times New Roman" w:hAnsi="Times New Roman"/>
                <w:sz w:val="18"/>
              </w:rPr>
              <w:t>Oil passage time (s)</w:t>
            </w:r>
          </w:p>
        </w:tc>
        <w:tc>
          <w:tcPr>
            <w:tcW w:type="dxa" w:w="1881"/>
          </w:tcPr>
          <w:p>
            <w:pPr>
              <w:jc w:val="center"/>
            </w:pPr>
            <w:r/>
            <w:r>
              <w:rPr>
                <w:rFonts w:ascii="Times New Roman" w:hAnsi="Times New Roman"/>
                <w:sz w:val="18"/>
              </w:rPr>
              <w:t>911 ± 28</w:t>
            </w:r>
          </w:p>
        </w:tc>
        <w:tc>
          <w:tcPr>
            <w:tcW w:type="dxa" w:w="1881"/>
          </w:tcPr>
          <w:p>
            <w:pPr>
              <w:jc w:val="center"/>
            </w:pPr>
            <w:r/>
            <w:r>
              <w:rPr>
                <w:rFonts w:ascii="Times New Roman" w:hAnsi="Times New Roman"/>
                <w:sz w:val="18"/>
              </w:rPr>
              <w:t>311 ± 18</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Packed-bed filtration</w:t>
            </w:r>
          </w:p>
        </w:tc>
      </w:tr>
      <w:tr>
        <w:tc>
          <w:tcPr>
            <w:tcW w:type="dxa" w:w="1881"/>
          </w:tcPr>
          <w:p>
            <w:pPr>
              <w:jc w:val="center"/>
            </w:pPr>
            <w:r/>
            <w:r>
              <w:rPr>
                <w:rFonts w:ascii="Times New Roman" w:hAnsi="Times New Roman"/>
                <w:sz w:val="18"/>
              </w:rPr>
              <w:t>Water passage time (s)</w:t>
            </w:r>
          </w:p>
        </w:tc>
        <w:tc>
          <w:tcPr>
            <w:tcW w:type="dxa" w:w="1881"/>
          </w:tcPr>
          <w:p>
            <w:pPr>
              <w:jc w:val="center"/>
            </w:pPr>
            <w:r/>
            <w:r>
              <w:rPr>
                <w:rFonts w:ascii="Times New Roman" w:hAnsi="Times New Roman"/>
                <w:sz w:val="18"/>
              </w:rPr>
              <w:t>173 ± 10</w:t>
            </w:r>
          </w:p>
        </w:tc>
        <w:tc>
          <w:tcPr>
            <w:tcW w:type="dxa" w:w="1881"/>
          </w:tcPr>
          <w:p>
            <w:pPr>
              <w:jc w:val="center"/>
            </w:pPr>
            <w:r/>
            <w:r>
              <w:rPr>
                <w:rFonts w:ascii="Times New Roman" w:hAnsi="Times New Roman"/>
                <w:sz w:val="18"/>
              </w:rPr>
              <w:t>1721 ± 87</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Packed-bed filtration</w:t>
            </w:r>
          </w:p>
        </w:tc>
      </w:tr>
      <w:tr>
        <w:tc>
          <w:tcPr>
            <w:tcW w:type="dxa" w:w="1881"/>
          </w:tcPr>
          <w:p>
            <w:pPr>
              <w:jc w:val="center"/>
            </w:pPr>
            <w:r/>
            <w:r>
              <w:rPr>
                <w:rFonts w:ascii="Times New Roman" w:hAnsi="Times New Roman"/>
                <w:sz w:val="18"/>
              </w:rPr>
              <w:t>Water/oil time ratio</w:t>
            </w:r>
          </w:p>
        </w:tc>
        <w:tc>
          <w:tcPr>
            <w:tcW w:type="dxa" w:w="1881"/>
          </w:tcPr>
          <w:p>
            <w:pPr>
              <w:jc w:val="center"/>
            </w:pPr>
            <w:r/>
            <w:r>
              <w:rPr>
                <w:rFonts w:ascii="Times New Roman" w:hAnsi="Times New Roman"/>
                <w:sz w:val="18"/>
              </w:rPr>
              <w:t>0.19</w:t>
            </w:r>
          </w:p>
        </w:tc>
        <w:tc>
          <w:tcPr>
            <w:tcW w:type="dxa" w:w="1881"/>
          </w:tcPr>
          <w:p>
            <w:pPr>
              <w:jc w:val="center"/>
            </w:pPr>
            <w:r/>
            <w:r>
              <w:rPr>
                <w:rFonts w:ascii="Times New Roman" w:hAnsi="Times New Roman"/>
                <w:sz w:val="18"/>
              </w:rPr>
              <w:t>5.53</w:t>
            </w:r>
          </w:p>
        </w:tc>
        <w:tc>
          <w:tcPr>
            <w:tcW w:type="dxa" w:w="1881"/>
          </w:tcPr>
          <w:p>
            <w:pPr>
              <w:jc w:val="center"/>
            </w:pPr>
            <w:r/>
            <w:r>
              <w:rPr>
                <w:rFonts w:ascii="Times New Roman" w:hAnsi="Times New Roman"/>
                <w:sz w:val="18"/>
              </w:rPr>
              <w:t>—</w:t>
            </w:r>
          </w:p>
        </w:tc>
        <w:tc>
          <w:tcPr>
            <w:tcW w:type="dxa" w:w="1881"/>
          </w:tcPr>
          <w:p>
            <w:pPr>
              <w:jc w:val="center"/>
            </w:pPr>
            <w:r/>
            <w:r>
              <w:rPr>
                <w:rFonts w:ascii="Times New Roman" w:hAnsi="Times New Roman"/>
                <w:sz w:val="18"/>
              </w:rPr>
              <w:t>Derived</w:t>
            </w:r>
          </w:p>
        </w:tc>
      </w:tr>
    </w:tbl>
    <w:p>
      <w:pPr>
        <w:spacing w:after="40"/>
      </w:pPr>
    </w:p>
    <w:p>
      <w:pPr>
        <w:spacing w:after="200"/>
        <w:jc w:val="center"/>
      </w:pPr>
      <w:r>
        <w:rPr>
          <w:rFonts w:ascii="Times New Roman" w:hAnsi="Times New Roman"/>
          <w:b/>
          <w:sz w:val="20"/>
        </w:rPr>
        <w:t>Table S4. Complete physical and mechanical properties. Values are mean ± SD from triplicate measurements unless indicated otherwise.</w:t>
      </w:r>
    </w:p>
    <w:p>
      <w:r>
        <w:rPr>
          <w:rFonts w:ascii="Times New Roman" w:hAnsi="Times New Roman"/>
          <w:sz w:val="22"/>
        </w:rPr>
        <w:t>Discussion: The slightly higher acid solubility of ESP-T (3.3 ± 0.2% vs. 2.5 ± 0.1%) is attributable to partial dissolution of nano-Fe₃O₄@SA nanoclusters exposed at the particle surface. The 0.3 percentage-point increase in crush rate at 52 MPa (2.9% vs. 2.6%) is attributable to hollow glass microspheres acting as local stress concentrators. Both values remain well within the SY/T 5107–2016 thresholds. The 29-fold increase in the water/oil passage time ratio (0.19 → 5.53) upon stearic acid modification quantitatively confirms the oleophilic surface character and is the functional basis for the oil-phase tracer flux methodology described in Section 3.4 of the main text.</w:t>
      </w:r>
    </w:p>
    <w:p>
      <w:r>
        <w:br w:type="page"/>
      </w:r>
    </w:p>
    <w:p>
      <w:pPr>
        <w:pStyle w:val="Heading2"/>
        <w:spacing w:before="280"/>
      </w:pPr>
      <w:r>
        <w:t>S4. Raw Experimental Data</w:t>
      </w:r>
    </w:p>
    <w:p>
      <w:r>
        <w:rPr>
          <w:rFonts w:ascii="Times New Roman" w:hAnsi="Times New Roman"/>
          <w:sz w:val="22"/>
        </w:rPr>
        <w:t>This section tabulates the primary experimental data supporting the analyses in Sections 3.2–3.4 of the main text. These data are provided to facilitate independent reproduction of the fitting results.</w:t>
      </w:r>
    </w:p>
    <w:p>
      <w:pPr>
        <w:pStyle w:val="Heading3"/>
        <w:spacing w:before="200"/>
      </w:pPr>
      <w:r>
        <w:t>S4.1. Breakthrough Curve Data (Single-Phase)</w:t>
      </w:r>
    </w:p>
    <w:p>
      <w:r>
        <w:rPr>
          <w:rFonts w:ascii="Times New Roman" w:hAnsi="Times New Roman"/>
          <w:sz w:val="22"/>
        </w:rPr>
        <w:t>Table S2 lists the 21-point single-phase breakthrough dataset used for all model fitting in Section 3.3.</w:t>
      </w:r>
    </w:p>
    <w:p/>
    <w:tbl>
      <w:tblPr>
        <w:tblW w:type="auto" w:w="0"/>
        <w:tblLayout w:type="autofit"/>
        <w:tblLook w:firstColumn="1" w:firstRow="1" w:lastColumn="0" w:lastRow="0" w:noHBand="0" w:noVBand="1" w:val="04A0"/>
        <w:tblBorders>
          <w:top w:val="single" w:sz="12" w:space="0" w:color="000000"/>
          <w:bottom w:val="single" w:sz="12" w:space="0" w:color="000000"/>
          <w:insideH w:val="none" w:sz="0" w:space="0" w:color="000000"/>
          <w:left w:val="none" w:sz="0" w:space="0" w:color="000000"/>
          <w:right w:val="none" w:sz="0" w:space="0" w:color="000000"/>
        </w:tblBorders>
      </w:tblPr>
      <w:tblGrid>
        <w:gridCol w:w="1568"/>
        <w:gridCol w:w="1568"/>
        <w:gridCol w:w="1568"/>
        <w:gridCol w:w="1568"/>
        <w:gridCol w:w="1568"/>
        <w:gridCol w:w="1568"/>
      </w:tblGrid>
      <w:tr>
        <w:tc>
          <w:tcPr>
            <w:tcW w:type="dxa" w:w="1568"/>
            <w:tcBorders>
              <w:bottom w:val="single" w:sz="4" w:space="0" w:color="000000"/>
            </w:tcBorders>
          </w:tcPr>
          <w:p>
            <w:pPr>
              <w:jc w:val="center"/>
            </w:pPr>
            <w:r/>
            <w:r>
              <w:rPr>
                <w:rFonts w:ascii="Times New Roman" w:hAnsi="Times New Roman"/>
                <w:b/>
                <w:sz w:val="18"/>
              </w:rPr>
              <w:t>t (min)</w:t>
            </w:r>
          </w:p>
        </w:tc>
        <w:tc>
          <w:tcPr>
            <w:tcW w:type="dxa" w:w="1568"/>
            <w:tcBorders>
              <w:bottom w:val="single" w:sz="4" w:space="0" w:color="000000"/>
            </w:tcBorders>
          </w:tcPr>
          <w:p>
            <w:pPr>
              <w:jc w:val="center"/>
            </w:pPr>
            <w:r/>
            <w:r>
              <w:rPr>
                <w:rFonts w:ascii="Times New Roman" w:hAnsi="Times New Roman"/>
                <w:b/>
                <w:sz w:val="18"/>
              </w:rPr>
              <w:t>C/C₀</w:t>
            </w:r>
          </w:p>
        </w:tc>
        <w:tc>
          <w:tcPr>
            <w:tcW w:type="dxa" w:w="1568"/>
            <w:tcBorders>
              <w:bottom w:val="single" w:sz="4" w:space="0" w:color="000000"/>
            </w:tcBorders>
          </w:tcPr>
          <w:p>
            <w:pPr>
              <w:jc w:val="center"/>
            </w:pPr>
            <w:r/>
            <w:r>
              <w:rPr>
                <w:rFonts w:ascii="Times New Roman" w:hAnsi="Times New Roman"/>
                <w:b/>
                <w:sz w:val="18"/>
              </w:rPr>
              <w:t>t (min)</w:t>
            </w:r>
          </w:p>
        </w:tc>
        <w:tc>
          <w:tcPr>
            <w:tcW w:type="dxa" w:w="1568"/>
            <w:tcBorders>
              <w:bottom w:val="single" w:sz="4" w:space="0" w:color="000000"/>
            </w:tcBorders>
          </w:tcPr>
          <w:p>
            <w:pPr>
              <w:jc w:val="center"/>
            </w:pPr>
            <w:r/>
            <w:r>
              <w:rPr>
                <w:rFonts w:ascii="Times New Roman" w:hAnsi="Times New Roman"/>
                <w:b/>
                <w:sz w:val="18"/>
              </w:rPr>
              <w:t>C/C₀</w:t>
            </w:r>
          </w:p>
        </w:tc>
        <w:tc>
          <w:tcPr>
            <w:tcW w:type="dxa" w:w="1568"/>
            <w:tcBorders>
              <w:bottom w:val="single" w:sz="4" w:space="0" w:color="000000"/>
            </w:tcBorders>
          </w:tcPr>
          <w:p>
            <w:pPr>
              <w:jc w:val="center"/>
            </w:pPr>
            <w:r/>
            <w:r>
              <w:rPr>
                <w:rFonts w:ascii="Times New Roman" w:hAnsi="Times New Roman"/>
                <w:b/>
                <w:sz w:val="18"/>
              </w:rPr>
              <w:t>t (min)</w:t>
            </w:r>
          </w:p>
        </w:tc>
        <w:tc>
          <w:tcPr>
            <w:tcW w:type="dxa" w:w="1568"/>
            <w:tcBorders>
              <w:bottom w:val="single" w:sz="4" w:space="0" w:color="000000"/>
            </w:tcBorders>
          </w:tcPr>
          <w:p>
            <w:pPr>
              <w:jc w:val="center"/>
            </w:pPr>
            <w:r/>
            <w:r>
              <w:rPr>
                <w:rFonts w:ascii="Times New Roman" w:hAnsi="Times New Roman"/>
                <w:b/>
                <w:sz w:val="18"/>
              </w:rPr>
              <w:t>C/C₀</w:t>
            </w:r>
          </w:p>
        </w:tc>
      </w:tr>
      <w:tr>
        <w:tc>
          <w:tcPr>
            <w:tcW w:type="dxa" w:w="1568"/>
          </w:tcPr>
          <w:p>
            <w:pPr>
              <w:jc w:val="center"/>
            </w:pPr>
            <w:r/>
            <w:r>
              <w:rPr>
                <w:rFonts w:ascii="Times New Roman" w:hAnsi="Times New Roman"/>
                <w:sz w:val="18"/>
              </w:rPr>
              <w:t>0</w:t>
            </w:r>
          </w:p>
        </w:tc>
        <w:tc>
          <w:tcPr>
            <w:tcW w:type="dxa" w:w="1568"/>
          </w:tcPr>
          <w:p>
            <w:pPr>
              <w:jc w:val="center"/>
            </w:pPr>
            <w:r/>
            <w:r>
              <w:rPr>
                <w:rFonts w:ascii="Times New Roman" w:hAnsi="Times New Roman"/>
                <w:sz w:val="18"/>
              </w:rPr>
              <w:t>0.00000</w:t>
            </w:r>
          </w:p>
        </w:tc>
        <w:tc>
          <w:tcPr>
            <w:tcW w:type="dxa" w:w="1568"/>
          </w:tcPr>
          <w:p>
            <w:pPr>
              <w:jc w:val="center"/>
            </w:pPr>
            <w:r/>
            <w:r>
              <w:rPr>
                <w:rFonts w:ascii="Times New Roman" w:hAnsi="Times New Roman"/>
                <w:sz w:val="18"/>
              </w:rPr>
              <w:t>5</w:t>
            </w:r>
          </w:p>
        </w:tc>
        <w:tc>
          <w:tcPr>
            <w:tcW w:type="dxa" w:w="1568"/>
          </w:tcPr>
          <w:p>
            <w:pPr>
              <w:jc w:val="center"/>
            </w:pPr>
            <w:r/>
            <w:r>
              <w:rPr>
                <w:rFonts w:ascii="Times New Roman" w:hAnsi="Times New Roman"/>
                <w:sz w:val="18"/>
              </w:rPr>
              <w:t>0.58438</w:t>
            </w:r>
          </w:p>
        </w:tc>
        <w:tc>
          <w:tcPr>
            <w:tcW w:type="dxa" w:w="1568"/>
          </w:tcPr>
          <w:p>
            <w:pPr>
              <w:jc w:val="center"/>
            </w:pPr>
            <w:r/>
            <w:r>
              <w:rPr>
                <w:rFonts w:ascii="Times New Roman" w:hAnsi="Times New Roman"/>
                <w:sz w:val="18"/>
              </w:rPr>
              <w:t>10</w:t>
            </w:r>
          </w:p>
        </w:tc>
        <w:tc>
          <w:tcPr>
            <w:tcW w:type="dxa" w:w="1568"/>
          </w:tcPr>
          <w:p>
            <w:pPr>
              <w:jc w:val="center"/>
            </w:pPr>
            <w:r/>
            <w:r>
              <w:rPr>
                <w:rFonts w:ascii="Times New Roman" w:hAnsi="Times New Roman"/>
                <w:sz w:val="18"/>
              </w:rPr>
              <w:t>0.83879</w:t>
            </w:r>
          </w:p>
        </w:tc>
      </w:tr>
      <w:tr>
        <w:tc>
          <w:tcPr>
            <w:tcW w:type="dxa" w:w="1568"/>
          </w:tcPr>
          <w:p>
            <w:pPr>
              <w:jc w:val="center"/>
            </w:pPr>
            <w:r/>
            <w:r>
              <w:rPr>
                <w:rFonts w:ascii="Times New Roman" w:hAnsi="Times New Roman"/>
                <w:sz w:val="18"/>
              </w:rPr>
              <w:t>15</w:t>
            </w:r>
          </w:p>
        </w:tc>
        <w:tc>
          <w:tcPr>
            <w:tcW w:type="dxa" w:w="1568"/>
          </w:tcPr>
          <w:p>
            <w:pPr>
              <w:jc w:val="center"/>
            </w:pPr>
            <w:r/>
            <w:r>
              <w:rPr>
                <w:rFonts w:ascii="Times New Roman" w:hAnsi="Times New Roman"/>
                <w:sz w:val="18"/>
              </w:rPr>
              <w:t>1.00000</w:t>
            </w:r>
          </w:p>
        </w:tc>
        <w:tc>
          <w:tcPr>
            <w:tcW w:type="dxa" w:w="1568"/>
          </w:tcPr>
          <w:p>
            <w:pPr>
              <w:jc w:val="center"/>
            </w:pPr>
            <w:r/>
            <w:r>
              <w:rPr>
                <w:rFonts w:ascii="Times New Roman" w:hAnsi="Times New Roman"/>
                <w:sz w:val="18"/>
              </w:rPr>
              <w:t>20</w:t>
            </w:r>
          </w:p>
        </w:tc>
        <w:tc>
          <w:tcPr>
            <w:tcW w:type="dxa" w:w="1568"/>
          </w:tcPr>
          <w:p>
            <w:pPr>
              <w:jc w:val="center"/>
            </w:pPr>
            <w:r/>
            <w:r>
              <w:rPr>
                <w:rFonts w:ascii="Times New Roman" w:hAnsi="Times New Roman"/>
                <w:sz w:val="18"/>
              </w:rPr>
              <w:t>0.92443</w:t>
            </w:r>
          </w:p>
        </w:tc>
        <w:tc>
          <w:tcPr>
            <w:tcW w:type="dxa" w:w="1568"/>
          </w:tcPr>
          <w:p>
            <w:pPr>
              <w:jc w:val="center"/>
            </w:pPr>
            <w:r/>
            <w:r>
              <w:rPr>
                <w:rFonts w:ascii="Times New Roman" w:hAnsi="Times New Roman"/>
                <w:sz w:val="18"/>
              </w:rPr>
              <w:t>25</w:t>
            </w:r>
          </w:p>
        </w:tc>
        <w:tc>
          <w:tcPr>
            <w:tcW w:type="dxa" w:w="1568"/>
          </w:tcPr>
          <w:p>
            <w:pPr>
              <w:jc w:val="center"/>
            </w:pPr>
            <w:r/>
            <w:r>
              <w:rPr>
                <w:rFonts w:ascii="Times New Roman" w:hAnsi="Times New Roman"/>
                <w:sz w:val="18"/>
              </w:rPr>
              <w:t>0.64736</w:t>
            </w:r>
          </w:p>
        </w:tc>
      </w:tr>
      <w:tr>
        <w:tc>
          <w:tcPr>
            <w:tcW w:type="dxa" w:w="1568"/>
          </w:tcPr>
          <w:p>
            <w:pPr>
              <w:jc w:val="center"/>
            </w:pPr>
            <w:r/>
            <w:r>
              <w:rPr>
                <w:rFonts w:ascii="Times New Roman" w:hAnsi="Times New Roman"/>
                <w:sz w:val="18"/>
              </w:rPr>
              <w:t>30</w:t>
            </w:r>
          </w:p>
        </w:tc>
        <w:tc>
          <w:tcPr>
            <w:tcW w:type="dxa" w:w="1568"/>
          </w:tcPr>
          <w:p>
            <w:pPr>
              <w:jc w:val="center"/>
            </w:pPr>
            <w:r/>
            <w:r>
              <w:rPr>
                <w:rFonts w:ascii="Times New Roman" w:hAnsi="Times New Roman"/>
                <w:sz w:val="18"/>
              </w:rPr>
              <w:t>0.35516</w:t>
            </w:r>
          </w:p>
        </w:tc>
        <w:tc>
          <w:tcPr>
            <w:tcW w:type="dxa" w:w="1568"/>
          </w:tcPr>
          <w:p>
            <w:pPr>
              <w:jc w:val="center"/>
            </w:pPr>
            <w:r/>
            <w:r>
              <w:rPr>
                <w:rFonts w:ascii="Times New Roman" w:hAnsi="Times New Roman"/>
                <w:sz w:val="18"/>
              </w:rPr>
              <w:t>35</w:t>
            </w:r>
          </w:p>
        </w:tc>
        <w:tc>
          <w:tcPr>
            <w:tcW w:type="dxa" w:w="1568"/>
          </w:tcPr>
          <w:p>
            <w:pPr>
              <w:jc w:val="center"/>
            </w:pPr>
            <w:r/>
            <w:r>
              <w:rPr>
                <w:rFonts w:ascii="Times New Roman" w:hAnsi="Times New Roman"/>
                <w:sz w:val="18"/>
              </w:rPr>
              <w:t>0.29471</w:t>
            </w:r>
          </w:p>
        </w:tc>
        <w:tc>
          <w:tcPr>
            <w:tcW w:type="dxa" w:w="1568"/>
          </w:tcPr>
          <w:p>
            <w:pPr>
              <w:jc w:val="center"/>
            </w:pPr>
            <w:r/>
            <w:r>
              <w:rPr>
                <w:rFonts w:ascii="Times New Roman" w:hAnsi="Times New Roman"/>
                <w:sz w:val="18"/>
              </w:rPr>
              <w:t>40</w:t>
            </w:r>
          </w:p>
        </w:tc>
        <w:tc>
          <w:tcPr>
            <w:tcW w:type="dxa" w:w="1568"/>
          </w:tcPr>
          <w:p>
            <w:pPr>
              <w:jc w:val="center"/>
            </w:pPr>
            <w:r/>
            <w:r>
              <w:rPr>
                <w:rFonts w:ascii="Times New Roman" w:hAnsi="Times New Roman"/>
                <w:sz w:val="18"/>
              </w:rPr>
              <w:t>0.27204</w:t>
            </w:r>
          </w:p>
        </w:tc>
      </w:tr>
      <w:tr>
        <w:tc>
          <w:tcPr>
            <w:tcW w:type="dxa" w:w="1568"/>
          </w:tcPr>
          <w:p>
            <w:pPr>
              <w:jc w:val="center"/>
            </w:pPr>
            <w:r/>
            <w:r>
              <w:rPr>
                <w:rFonts w:ascii="Times New Roman" w:hAnsi="Times New Roman"/>
                <w:sz w:val="18"/>
              </w:rPr>
              <w:t>45</w:t>
            </w:r>
          </w:p>
        </w:tc>
        <w:tc>
          <w:tcPr>
            <w:tcW w:type="dxa" w:w="1568"/>
          </w:tcPr>
          <w:p>
            <w:pPr>
              <w:jc w:val="center"/>
            </w:pPr>
            <w:r/>
            <w:r>
              <w:rPr>
                <w:rFonts w:ascii="Times New Roman" w:hAnsi="Times New Roman"/>
                <w:sz w:val="18"/>
              </w:rPr>
              <w:t>0.24433</w:t>
            </w:r>
          </w:p>
        </w:tc>
        <w:tc>
          <w:tcPr>
            <w:tcW w:type="dxa" w:w="1568"/>
          </w:tcPr>
          <w:p>
            <w:pPr>
              <w:jc w:val="center"/>
            </w:pPr>
            <w:r/>
            <w:r>
              <w:rPr>
                <w:rFonts w:ascii="Times New Roman" w:hAnsi="Times New Roman"/>
                <w:sz w:val="18"/>
              </w:rPr>
              <w:t>50</w:t>
            </w:r>
          </w:p>
        </w:tc>
        <w:tc>
          <w:tcPr>
            <w:tcW w:type="dxa" w:w="1568"/>
          </w:tcPr>
          <w:p>
            <w:pPr>
              <w:jc w:val="center"/>
            </w:pPr>
            <w:r/>
            <w:r>
              <w:rPr>
                <w:rFonts w:ascii="Times New Roman" w:hAnsi="Times New Roman"/>
                <w:sz w:val="18"/>
              </w:rPr>
              <w:t>0.20907</w:t>
            </w:r>
          </w:p>
        </w:tc>
        <w:tc>
          <w:tcPr>
            <w:tcW w:type="dxa" w:w="1568"/>
          </w:tcPr>
          <w:p>
            <w:pPr>
              <w:jc w:val="center"/>
            </w:pPr>
            <w:r/>
            <w:r>
              <w:rPr>
                <w:rFonts w:ascii="Times New Roman" w:hAnsi="Times New Roman"/>
                <w:sz w:val="18"/>
              </w:rPr>
              <w:t>55</w:t>
            </w:r>
          </w:p>
        </w:tc>
        <w:tc>
          <w:tcPr>
            <w:tcW w:type="dxa" w:w="1568"/>
          </w:tcPr>
          <w:p>
            <w:pPr>
              <w:jc w:val="center"/>
            </w:pPr>
            <w:r/>
            <w:r>
              <w:rPr>
                <w:rFonts w:ascii="Times New Roman" w:hAnsi="Times New Roman"/>
                <w:sz w:val="18"/>
              </w:rPr>
              <w:t>0.21914</w:t>
            </w:r>
          </w:p>
        </w:tc>
      </w:tr>
      <w:tr>
        <w:tc>
          <w:tcPr>
            <w:tcW w:type="dxa" w:w="1568"/>
          </w:tcPr>
          <w:p>
            <w:pPr>
              <w:jc w:val="center"/>
            </w:pPr>
            <w:r/>
            <w:r>
              <w:rPr>
                <w:rFonts w:ascii="Times New Roman" w:hAnsi="Times New Roman"/>
                <w:sz w:val="18"/>
              </w:rPr>
              <w:t>60</w:t>
            </w:r>
          </w:p>
        </w:tc>
        <w:tc>
          <w:tcPr>
            <w:tcW w:type="dxa" w:w="1568"/>
          </w:tcPr>
          <w:p>
            <w:pPr>
              <w:jc w:val="center"/>
            </w:pPr>
            <w:r/>
            <w:r>
              <w:rPr>
                <w:rFonts w:ascii="Times New Roman" w:hAnsi="Times New Roman"/>
                <w:sz w:val="18"/>
              </w:rPr>
              <w:t>0.19144</w:t>
            </w:r>
          </w:p>
        </w:tc>
        <w:tc>
          <w:tcPr>
            <w:tcW w:type="dxa" w:w="1568"/>
          </w:tcPr>
          <w:p>
            <w:pPr>
              <w:jc w:val="center"/>
            </w:pPr>
            <w:r/>
            <w:r>
              <w:rPr>
                <w:rFonts w:ascii="Times New Roman" w:hAnsi="Times New Roman"/>
                <w:sz w:val="18"/>
              </w:rPr>
              <w:t>65</w:t>
            </w:r>
          </w:p>
        </w:tc>
        <w:tc>
          <w:tcPr>
            <w:tcW w:type="dxa" w:w="1568"/>
          </w:tcPr>
          <w:p>
            <w:pPr>
              <w:jc w:val="center"/>
            </w:pPr>
            <w:r/>
            <w:r>
              <w:rPr>
                <w:rFonts w:ascii="Times New Roman" w:hAnsi="Times New Roman"/>
                <w:sz w:val="18"/>
              </w:rPr>
              <w:t>0.19899</w:t>
            </w:r>
          </w:p>
        </w:tc>
        <w:tc>
          <w:tcPr>
            <w:tcW w:type="dxa" w:w="1568"/>
          </w:tcPr>
          <w:p>
            <w:pPr>
              <w:jc w:val="center"/>
            </w:pPr>
            <w:r/>
            <w:r>
              <w:rPr>
                <w:rFonts w:ascii="Times New Roman" w:hAnsi="Times New Roman"/>
                <w:sz w:val="18"/>
              </w:rPr>
              <w:t>70</w:t>
            </w:r>
          </w:p>
        </w:tc>
        <w:tc>
          <w:tcPr>
            <w:tcW w:type="dxa" w:w="1568"/>
          </w:tcPr>
          <w:p>
            <w:pPr>
              <w:jc w:val="center"/>
            </w:pPr>
            <w:r/>
            <w:r>
              <w:rPr>
                <w:rFonts w:ascii="Times New Roman" w:hAnsi="Times New Roman"/>
                <w:sz w:val="18"/>
              </w:rPr>
              <w:t>0.17128</w:t>
            </w:r>
          </w:p>
        </w:tc>
      </w:tr>
      <w:tr>
        <w:tc>
          <w:tcPr>
            <w:tcW w:type="dxa" w:w="1568"/>
          </w:tcPr>
          <w:p>
            <w:pPr>
              <w:jc w:val="center"/>
            </w:pPr>
            <w:r/>
            <w:r>
              <w:rPr>
                <w:rFonts w:ascii="Times New Roman" w:hAnsi="Times New Roman"/>
                <w:sz w:val="18"/>
              </w:rPr>
              <w:t>75</w:t>
            </w:r>
          </w:p>
        </w:tc>
        <w:tc>
          <w:tcPr>
            <w:tcW w:type="dxa" w:w="1568"/>
          </w:tcPr>
          <w:p>
            <w:pPr>
              <w:jc w:val="center"/>
            </w:pPr>
            <w:r/>
            <w:r>
              <w:rPr>
                <w:rFonts w:ascii="Times New Roman" w:hAnsi="Times New Roman"/>
                <w:sz w:val="18"/>
              </w:rPr>
              <w:t>0.20403</w:t>
            </w:r>
          </w:p>
        </w:tc>
        <w:tc>
          <w:tcPr>
            <w:tcW w:type="dxa" w:w="1568"/>
          </w:tcPr>
          <w:p>
            <w:pPr>
              <w:jc w:val="center"/>
            </w:pPr>
            <w:r/>
            <w:r>
              <w:rPr>
                <w:rFonts w:ascii="Times New Roman" w:hAnsi="Times New Roman"/>
                <w:sz w:val="18"/>
              </w:rPr>
              <w:t>80</w:t>
            </w:r>
          </w:p>
        </w:tc>
        <w:tc>
          <w:tcPr>
            <w:tcW w:type="dxa" w:w="1568"/>
          </w:tcPr>
          <w:p>
            <w:pPr>
              <w:jc w:val="center"/>
            </w:pPr>
            <w:r/>
            <w:r>
              <w:rPr>
                <w:rFonts w:ascii="Times New Roman" w:hAnsi="Times New Roman"/>
                <w:sz w:val="18"/>
              </w:rPr>
              <w:t>0.17884</w:t>
            </w:r>
          </w:p>
        </w:tc>
        <w:tc>
          <w:tcPr>
            <w:tcW w:type="dxa" w:w="1568"/>
          </w:tcPr>
          <w:p>
            <w:pPr>
              <w:jc w:val="center"/>
            </w:pPr>
            <w:r/>
            <w:r>
              <w:rPr>
                <w:rFonts w:ascii="Times New Roman" w:hAnsi="Times New Roman"/>
                <w:sz w:val="18"/>
              </w:rPr>
              <w:t>85</w:t>
            </w:r>
          </w:p>
        </w:tc>
        <w:tc>
          <w:tcPr>
            <w:tcW w:type="dxa" w:w="1568"/>
          </w:tcPr>
          <w:p>
            <w:pPr>
              <w:jc w:val="center"/>
            </w:pPr>
            <w:r/>
            <w:r>
              <w:rPr>
                <w:rFonts w:ascii="Times New Roman" w:hAnsi="Times New Roman"/>
                <w:sz w:val="18"/>
              </w:rPr>
              <w:t>0.16373</w:t>
            </w:r>
          </w:p>
        </w:tc>
      </w:tr>
      <w:tr>
        <w:tc>
          <w:tcPr>
            <w:tcW w:type="dxa" w:w="1568"/>
          </w:tcPr>
          <w:p>
            <w:pPr>
              <w:jc w:val="center"/>
            </w:pPr>
            <w:r/>
            <w:r>
              <w:rPr>
                <w:rFonts w:ascii="Times New Roman" w:hAnsi="Times New Roman"/>
                <w:sz w:val="18"/>
              </w:rPr>
              <w:t>90</w:t>
            </w:r>
          </w:p>
        </w:tc>
        <w:tc>
          <w:tcPr>
            <w:tcW w:type="dxa" w:w="1568"/>
          </w:tcPr>
          <w:p>
            <w:pPr>
              <w:jc w:val="center"/>
            </w:pPr>
            <w:r/>
            <w:r>
              <w:rPr>
                <w:rFonts w:ascii="Times New Roman" w:hAnsi="Times New Roman"/>
                <w:sz w:val="18"/>
              </w:rPr>
              <w:t>0.16877</w:t>
            </w:r>
          </w:p>
        </w:tc>
        <w:tc>
          <w:tcPr>
            <w:tcW w:type="dxa" w:w="1568"/>
          </w:tcPr>
          <w:p>
            <w:pPr>
              <w:jc w:val="center"/>
            </w:pPr>
            <w:r/>
            <w:r>
              <w:rPr>
                <w:rFonts w:ascii="Times New Roman" w:hAnsi="Times New Roman"/>
                <w:sz w:val="18"/>
              </w:rPr>
              <w:t>95</w:t>
            </w:r>
          </w:p>
        </w:tc>
        <w:tc>
          <w:tcPr>
            <w:tcW w:type="dxa" w:w="1568"/>
          </w:tcPr>
          <w:p>
            <w:pPr>
              <w:jc w:val="center"/>
            </w:pPr>
            <w:r/>
            <w:r>
              <w:rPr>
                <w:rFonts w:ascii="Times New Roman" w:hAnsi="Times New Roman"/>
                <w:sz w:val="18"/>
              </w:rPr>
              <w:t>0.15617</w:t>
            </w:r>
          </w:p>
        </w:tc>
        <w:tc>
          <w:tcPr>
            <w:tcW w:type="dxa" w:w="1568"/>
          </w:tcPr>
          <w:p>
            <w:pPr>
              <w:jc w:val="center"/>
            </w:pPr>
            <w:r/>
            <w:r>
              <w:rPr>
                <w:rFonts w:ascii="Times New Roman" w:hAnsi="Times New Roman"/>
                <w:sz w:val="18"/>
              </w:rPr>
              <w:t>100</w:t>
            </w:r>
          </w:p>
        </w:tc>
        <w:tc>
          <w:tcPr>
            <w:tcW w:type="dxa" w:w="1568"/>
          </w:tcPr>
          <w:p>
            <w:pPr>
              <w:jc w:val="center"/>
            </w:pPr>
            <w:r/>
            <w:r>
              <w:rPr>
                <w:rFonts w:ascii="Times New Roman" w:hAnsi="Times New Roman"/>
                <w:sz w:val="18"/>
              </w:rPr>
              <w:t>0.15617</w:t>
            </w:r>
          </w:p>
        </w:tc>
      </w:tr>
    </w:tbl>
    <w:p>
      <w:pPr>
        <w:spacing w:after="40"/>
      </w:pPr>
    </w:p>
    <w:p>
      <w:pPr>
        <w:spacing w:after="200"/>
        <w:jc w:val="center"/>
      </w:pPr>
      <w:r>
        <w:rPr>
          <w:rFonts w:ascii="Times New Roman" w:hAnsi="Times New Roman"/>
          <w:b/>
          <w:sz w:val="20"/>
        </w:rPr>
        <w:t>Table S2. Single-phase breakthrough curve data (21 points).</w:t>
      </w:r>
    </w:p>
    <w:p>
      <w:pPr>
        <w:pStyle w:val="Heading3"/>
        <w:spacing w:before="200"/>
      </w:pPr>
      <w:r>
        <w:t>S4.2. Tracer Release Data (K-P Kinetics)</w:t>
      </w:r>
    </w:p>
    <w:p>
      <w:r>
        <w:rPr>
          <w:rFonts w:ascii="Times New Roman" w:hAnsi="Times New Roman"/>
          <w:sz w:val="22"/>
        </w:rPr>
        <w:t>Table S3 lists the cumulative tracer release data (Mt/M∞) at four temperatures, supporting the K-P analysis in Section 3.2.</w:t>
      </w:r>
    </w:p>
    <w:p/>
    <w:tbl>
      <w:tblPr>
        <w:tblW w:type="auto" w:w="0"/>
        <w:tblLayout w:type="autofit"/>
        <w:tblLook w:firstColumn="1" w:firstRow="1" w:lastColumn="0" w:lastRow="0" w:noHBand="0" w:noVBand="1" w:val="04A0"/>
        <w:tblBorders>
          <w:top w:val="single" w:sz="12" w:space="0" w:color="000000"/>
          <w:bottom w:val="single" w:sz="12" w:space="0" w:color="000000"/>
          <w:insideH w:val="none" w:sz="0" w:space="0" w:color="000000"/>
          <w:left w:val="none" w:sz="0" w:space="0" w:color="000000"/>
          <w:right w:val="none" w:sz="0" w:space="0" w:color="000000"/>
        </w:tblBorders>
      </w:tblPr>
      <w:tblGrid>
        <w:gridCol w:w="1881"/>
        <w:gridCol w:w="1881"/>
        <w:gridCol w:w="1881"/>
        <w:gridCol w:w="1881"/>
        <w:gridCol w:w="1881"/>
      </w:tblGrid>
      <w:tr>
        <w:tc>
          <w:tcPr>
            <w:tcW w:type="dxa" w:w="1881"/>
            <w:tcBorders>
              <w:bottom w:val="single" w:sz="4" w:space="0" w:color="000000"/>
            </w:tcBorders>
          </w:tcPr>
          <w:p>
            <w:pPr>
              <w:jc w:val="center"/>
            </w:pPr>
            <w:r/>
            <w:r>
              <w:rPr>
                <w:rFonts w:ascii="Times New Roman" w:hAnsi="Times New Roman"/>
                <w:b/>
                <w:sz w:val="18"/>
              </w:rPr>
              <w:t>Time (h)</w:t>
            </w:r>
          </w:p>
        </w:tc>
        <w:tc>
          <w:tcPr>
            <w:tcW w:type="dxa" w:w="1881"/>
            <w:tcBorders>
              <w:bottom w:val="single" w:sz="4" w:space="0" w:color="000000"/>
            </w:tcBorders>
          </w:tcPr>
          <w:p>
            <w:pPr>
              <w:jc w:val="center"/>
            </w:pPr>
            <w:r/>
            <w:r>
              <w:rPr>
                <w:rFonts w:ascii="Times New Roman" w:hAnsi="Times New Roman"/>
                <w:b/>
                <w:sz w:val="18"/>
              </w:rPr>
              <w:t>30 °C</w:t>
            </w:r>
          </w:p>
        </w:tc>
        <w:tc>
          <w:tcPr>
            <w:tcW w:type="dxa" w:w="1881"/>
            <w:tcBorders>
              <w:bottom w:val="single" w:sz="4" w:space="0" w:color="000000"/>
            </w:tcBorders>
          </w:tcPr>
          <w:p>
            <w:pPr>
              <w:jc w:val="center"/>
            </w:pPr>
            <w:r/>
            <w:r>
              <w:rPr>
                <w:rFonts w:ascii="Times New Roman" w:hAnsi="Times New Roman"/>
                <w:b/>
                <w:sz w:val="18"/>
              </w:rPr>
              <w:t>60 °C</w:t>
            </w:r>
          </w:p>
        </w:tc>
        <w:tc>
          <w:tcPr>
            <w:tcW w:type="dxa" w:w="1881"/>
            <w:tcBorders>
              <w:bottom w:val="single" w:sz="4" w:space="0" w:color="000000"/>
            </w:tcBorders>
          </w:tcPr>
          <w:p>
            <w:pPr>
              <w:jc w:val="center"/>
            </w:pPr>
            <w:r/>
            <w:r>
              <w:rPr>
                <w:rFonts w:ascii="Times New Roman" w:hAnsi="Times New Roman"/>
                <w:b/>
                <w:sz w:val="18"/>
              </w:rPr>
              <w:t>90 °C</w:t>
            </w:r>
          </w:p>
        </w:tc>
        <w:tc>
          <w:tcPr>
            <w:tcW w:type="dxa" w:w="1881"/>
            <w:tcBorders>
              <w:bottom w:val="single" w:sz="4" w:space="0" w:color="000000"/>
            </w:tcBorders>
          </w:tcPr>
          <w:p>
            <w:pPr>
              <w:jc w:val="center"/>
            </w:pPr>
            <w:r/>
            <w:r>
              <w:rPr>
                <w:rFonts w:ascii="Times New Roman" w:hAnsi="Times New Roman"/>
                <w:b/>
                <w:sz w:val="18"/>
              </w:rPr>
              <w:t>120 °C</w:t>
            </w:r>
          </w:p>
        </w:tc>
      </w:tr>
      <w:tr>
        <w:tc>
          <w:tcPr>
            <w:tcW w:type="dxa" w:w="1881"/>
          </w:tcPr>
          <w:p>
            <w:pPr>
              <w:jc w:val="center"/>
            </w:pPr>
            <w:r/>
            <w:r>
              <w:rPr>
                <w:rFonts w:ascii="Times New Roman" w:hAnsi="Times New Roman"/>
                <w:sz w:val="18"/>
              </w:rPr>
              <w:t>12</w:t>
            </w:r>
          </w:p>
        </w:tc>
        <w:tc>
          <w:tcPr>
            <w:tcW w:type="dxa" w:w="1881"/>
          </w:tcPr>
          <w:p>
            <w:pPr>
              <w:jc w:val="center"/>
            </w:pPr>
            <w:r/>
            <w:r>
              <w:rPr>
                <w:rFonts w:ascii="Times New Roman" w:hAnsi="Times New Roman"/>
                <w:sz w:val="18"/>
              </w:rPr>
              <w:t>0.013</w:t>
            </w:r>
          </w:p>
        </w:tc>
        <w:tc>
          <w:tcPr>
            <w:tcW w:type="dxa" w:w="1881"/>
          </w:tcPr>
          <w:p>
            <w:pPr>
              <w:jc w:val="center"/>
            </w:pPr>
            <w:r/>
            <w:r>
              <w:rPr>
                <w:rFonts w:ascii="Times New Roman" w:hAnsi="Times New Roman"/>
                <w:sz w:val="18"/>
              </w:rPr>
              <w:t>0.018</w:t>
            </w:r>
          </w:p>
        </w:tc>
        <w:tc>
          <w:tcPr>
            <w:tcW w:type="dxa" w:w="1881"/>
          </w:tcPr>
          <w:p>
            <w:pPr>
              <w:jc w:val="center"/>
            </w:pPr>
            <w:r/>
            <w:r>
              <w:rPr>
                <w:rFonts w:ascii="Times New Roman" w:hAnsi="Times New Roman"/>
                <w:sz w:val="18"/>
              </w:rPr>
              <w:t>0.026</w:t>
            </w:r>
          </w:p>
        </w:tc>
        <w:tc>
          <w:tcPr>
            <w:tcW w:type="dxa" w:w="1881"/>
          </w:tcPr>
          <w:p>
            <w:pPr>
              <w:jc w:val="center"/>
            </w:pPr>
            <w:r/>
            <w:r>
              <w:rPr>
                <w:rFonts w:ascii="Times New Roman" w:hAnsi="Times New Roman"/>
                <w:sz w:val="18"/>
              </w:rPr>
              <w:t>0.037</w:t>
            </w:r>
          </w:p>
        </w:tc>
      </w:tr>
      <w:tr>
        <w:tc>
          <w:tcPr>
            <w:tcW w:type="dxa" w:w="1881"/>
          </w:tcPr>
          <w:p>
            <w:pPr>
              <w:jc w:val="center"/>
            </w:pPr>
            <w:r/>
            <w:r>
              <w:rPr>
                <w:rFonts w:ascii="Times New Roman" w:hAnsi="Times New Roman"/>
                <w:sz w:val="18"/>
              </w:rPr>
              <w:t>24</w:t>
            </w:r>
          </w:p>
        </w:tc>
        <w:tc>
          <w:tcPr>
            <w:tcW w:type="dxa" w:w="1881"/>
          </w:tcPr>
          <w:p>
            <w:pPr>
              <w:jc w:val="center"/>
            </w:pPr>
            <w:r/>
            <w:r>
              <w:rPr>
                <w:rFonts w:ascii="Times New Roman" w:hAnsi="Times New Roman"/>
                <w:sz w:val="18"/>
              </w:rPr>
              <w:t>0.035</w:t>
            </w:r>
          </w:p>
        </w:tc>
        <w:tc>
          <w:tcPr>
            <w:tcW w:type="dxa" w:w="1881"/>
          </w:tcPr>
          <w:p>
            <w:pPr>
              <w:jc w:val="center"/>
            </w:pPr>
            <w:r/>
            <w:r>
              <w:rPr>
                <w:rFonts w:ascii="Times New Roman" w:hAnsi="Times New Roman"/>
                <w:sz w:val="18"/>
              </w:rPr>
              <w:t>0.046</w:t>
            </w:r>
          </w:p>
        </w:tc>
        <w:tc>
          <w:tcPr>
            <w:tcW w:type="dxa" w:w="1881"/>
          </w:tcPr>
          <w:p>
            <w:pPr>
              <w:jc w:val="center"/>
            </w:pPr>
            <w:r/>
            <w:r>
              <w:rPr>
                <w:rFonts w:ascii="Times New Roman" w:hAnsi="Times New Roman"/>
                <w:sz w:val="18"/>
              </w:rPr>
              <w:t>0.071</w:t>
            </w:r>
          </w:p>
        </w:tc>
        <w:tc>
          <w:tcPr>
            <w:tcW w:type="dxa" w:w="1881"/>
          </w:tcPr>
          <w:p>
            <w:pPr>
              <w:jc w:val="center"/>
            </w:pPr>
            <w:r/>
            <w:r>
              <w:rPr>
                <w:rFonts w:ascii="Times New Roman" w:hAnsi="Times New Roman"/>
                <w:sz w:val="18"/>
              </w:rPr>
              <w:t>0.115</w:t>
            </w:r>
          </w:p>
        </w:tc>
      </w:tr>
      <w:tr>
        <w:tc>
          <w:tcPr>
            <w:tcW w:type="dxa" w:w="1881"/>
          </w:tcPr>
          <w:p>
            <w:pPr>
              <w:jc w:val="center"/>
            </w:pPr>
            <w:r/>
            <w:r>
              <w:rPr>
                <w:rFonts w:ascii="Times New Roman" w:hAnsi="Times New Roman"/>
                <w:sz w:val="18"/>
              </w:rPr>
              <w:t>36</w:t>
            </w:r>
          </w:p>
        </w:tc>
        <w:tc>
          <w:tcPr>
            <w:tcW w:type="dxa" w:w="1881"/>
          </w:tcPr>
          <w:p>
            <w:pPr>
              <w:jc w:val="center"/>
            </w:pPr>
            <w:r/>
            <w:r>
              <w:rPr>
                <w:rFonts w:ascii="Times New Roman" w:hAnsi="Times New Roman"/>
                <w:sz w:val="18"/>
              </w:rPr>
              <w:t>0.047</w:t>
            </w:r>
          </w:p>
        </w:tc>
        <w:tc>
          <w:tcPr>
            <w:tcW w:type="dxa" w:w="1881"/>
          </w:tcPr>
          <w:p>
            <w:pPr>
              <w:jc w:val="center"/>
            </w:pPr>
            <w:r/>
            <w:r>
              <w:rPr>
                <w:rFonts w:ascii="Times New Roman" w:hAnsi="Times New Roman"/>
                <w:sz w:val="18"/>
              </w:rPr>
              <w:t>0.085</w:t>
            </w:r>
          </w:p>
        </w:tc>
        <w:tc>
          <w:tcPr>
            <w:tcW w:type="dxa" w:w="1881"/>
          </w:tcPr>
          <w:p>
            <w:pPr>
              <w:jc w:val="center"/>
            </w:pPr>
            <w:r/>
            <w:r>
              <w:rPr>
                <w:rFonts w:ascii="Times New Roman" w:hAnsi="Times New Roman"/>
                <w:sz w:val="18"/>
              </w:rPr>
              <w:t>0.109</w:t>
            </w:r>
          </w:p>
        </w:tc>
        <w:tc>
          <w:tcPr>
            <w:tcW w:type="dxa" w:w="1881"/>
          </w:tcPr>
          <w:p>
            <w:pPr>
              <w:jc w:val="center"/>
            </w:pPr>
            <w:r/>
            <w:r>
              <w:rPr>
                <w:rFonts w:ascii="Times New Roman" w:hAnsi="Times New Roman"/>
                <w:sz w:val="18"/>
              </w:rPr>
              <w:t>0.182</w:t>
            </w:r>
          </w:p>
        </w:tc>
      </w:tr>
      <w:tr>
        <w:tc>
          <w:tcPr>
            <w:tcW w:type="dxa" w:w="1881"/>
          </w:tcPr>
          <w:p>
            <w:pPr>
              <w:jc w:val="center"/>
            </w:pPr>
            <w:r/>
            <w:r>
              <w:rPr>
                <w:rFonts w:ascii="Times New Roman" w:hAnsi="Times New Roman"/>
                <w:sz w:val="18"/>
              </w:rPr>
              <w:t>48</w:t>
            </w:r>
          </w:p>
        </w:tc>
        <w:tc>
          <w:tcPr>
            <w:tcW w:type="dxa" w:w="1881"/>
          </w:tcPr>
          <w:p>
            <w:pPr>
              <w:jc w:val="center"/>
            </w:pPr>
            <w:r/>
            <w:r>
              <w:rPr>
                <w:rFonts w:ascii="Times New Roman" w:hAnsi="Times New Roman"/>
                <w:sz w:val="18"/>
              </w:rPr>
              <w:t>0.065</w:t>
            </w:r>
          </w:p>
        </w:tc>
        <w:tc>
          <w:tcPr>
            <w:tcW w:type="dxa" w:w="1881"/>
          </w:tcPr>
          <w:p>
            <w:pPr>
              <w:jc w:val="center"/>
            </w:pPr>
            <w:r/>
            <w:r>
              <w:rPr>
                <w:rFonts w:ascii="Times New Roman" w:hAnsi="Times New Roman"/>
                <w:sz w:val="18"/>
              </w:rPr>
              <w:t>0.106</w:t>
            </w:r>
          </w:p>
        </w:tc>
        <w:tc>
          <w:tcPr>
            <w:tcW w:type="dxa" w:w="1881"/>
          </w:tcPr>
          <w:p>
            <w:pPr>
              <w:jc w:val="center"/>
            </w:pPr>
            <w:r/>
            <w:r>
              <w:rPr>
                <w:rFonts w:ascii="Times New Roman" w:hAnsi="Times New Roman"/>
                <w:sz w:val="18"/>
              </w:rPr>
              <w:t>0.139</w:t>
            </w:r>
          </w:p>
        </w:tc>
        <w:tc>
          <w:tcPr>
            <w:tcW w:type="dxa" w:w="1881"/>
          </w:tcPr>
          <w:p>
            <w:pPr>
              <w:jc w:val="center"/>
            </w:pPr>
            <w:r/>
            <w:r>
              <w:rPr>
                <w:rFonts w:ascii="Times New Roman" w:hAnsi="Times New Roman"/>
                <w:sz w:val="18"/>
              </w:rPr>
              <w:t>0.231</w:t>
            </w:r>
          </w:p>
        </w:tc>
      </w:tr>
      <w:tr>
        <w:tc>
          <w:tcPr>
            <w:tcW w:type="dxa" w:w="1881"/>
          </w:tcPr>
          <w:p>
            <w:pPr>
              <w:jc w:val="center"/>
            </w:pPr>
            <w:r/>
            <w:r>
              <w:rPr>
                <w:rFonts w:ascii="Times New Roman" w:hAnsi="Times New Roman"/>
                <w:sz w:val="18"/>
              </w:rPr>
              <w:t>60</w:t>
            </w:r>
          </w:p>
        </w:tc>
        <w:tc>
          <w:tcPr>
            <w:tcW w:type="dxa" w:w="1881"/>
          </w:tcPr>
          <w:p>
            <w:pPr>
              <w:jc w:val="center"/>
            </w:pPr>
            <w:r/>
            <w:r>
              <w:rPr>
                <w:rFonts w:ascii="Times New Roman" w:hAnsi="Times New Roman"/>
                <w:sz w:val="18"/>
              </w:rPr>
              <w:t>0.077</w:t>
            </w:r>
          </w:p>
        </w:tc>
        <w:tc>
          <w:tcPr>
            <w:tcW w:type="dxa" w:w="1881"/>
          </w:tcPr>
          <w:p>
            <w:pPr>
              <w:jc w:val="center"/>
            </w:pPr>
            <w:r/>
            <w:r>
              <w:rPr>
                <w:rFonts w:ascii="Times New Roman" w:hAnsi="Times New Roman"/>
                <w:sz w:val="18"/>
              </w:rPr>
              <w:t>0.124</w:t>
            </w:r>
          </w:p>
        </w:tc>
        <w:tc>
          <w:tcPr>
            <w:tcW w:type="dxa" w:w="1881"/>
          </w:tcPr>
          <w:p>
            <w:pPr>
              <w:jc w:val="center"/>
            </w:pPr>
            <w:r/>
            <w:r>
              <w:rPr>
                <w:rFonts w:ascii="Times New Roman" w:hAnsi="Times New Roman"/>
                <w:sz w:val="18"/>
              </w:rPr>
              <w:t>0.157</w:t>
            </w:r>
          </w:p>
        </w:tc>
        <w:tc>
          <w:tcPr>
            <w:tcW w:type="dxa" w:w="1881"/>
          </w:tcPr>
          <w:p>
            <w:pPr>
              <w:jc w:val="center"/>
            </w:pPr>
            <w:r/>
            <w:r>
              <w:rPr>
                <w:rFonts w:ascii="Times New Roman" w:hAnsi="Times New Roman"/>
                <w:sz w:val="18"/>
              </w:rPr>
              <w:t>0.263</w:t>
            </w:r>
          </w:p>
        </w:tc>
      </w:tr>
      <w:tr>
        <w:tc>
          <w:tcPr>
            <w:tcW w:type="dxa" w:w="1881"/>
          </w:tcPr>
          <w:p>
            <w:pPr>
              <w:jc w:val="center"/>
            </w:pPr>
            <w:r/>
            <w:r>
              <w:rPr>
                <w:rFonts w:ascii="Times New Roman" w:hAnsi="Times New Roman"/>
                <w:sz w:val="18"/>
              </w:rPr>
              <w:t>72</w:t>
            </w:r>
          </w:p>
        </w:tc>
        <w:tc>
          <w:tcPr>
            <w:tcW w:type="dxa" w:w="1881"/>
          </w:tcPr>
          <w:p>
            <w:pPr>
              <w:jc w:val="center"/>
            </w:pPr>
            <w:r/>
            <w:r>
              <w:rPr>
                <w:rFonts w:ascii="Times New Roman" w:hAnsi="Times New Roman"/>
                <w:sz w:val="18"/>
              </w:rPr>
              <w:t>0.089</w:t>
            </w:r>
          </w:p>
        </w:tc>
        <w:tc>
          <w:tcPr>
            <w:tcW w:type="dxa" w:w="1881"/>
          </w:tcPr>
          <w:p>
            <w:pPr>
              <w:jc w:val="center"/>
            </w:pPr>
            <w:r/>
            <w:r>
              <w:rPr>
                <w:rFonts w:ascii="Times New Roman" w:hAnsi="Times New Roman"/>
                <w:sz w:val="18"/>
              </w:rPr>
              <w:t>0.141</w:t>
            </w:r>
          </w:p>
        </w:tc>
        <w:tc>
          <w:tcPr>
            <w:tcW w:type="dxa" w:w="1881"/>
          </w:tcPr>
          <w:p>
            <w:pPr>
              <w:jc w:val="center"/>
            </w:pPr>
            <w:r/>
            <w:r>
              <w:rPr>
                <w:rFonts w:ascii="Times New Roman" w:hAnsi="Times New Roman"/>
                <w:sz w:val="18"/>
              </w:rPr>
              <w:t>0.171</w:t>
            </w:r>
          </w:p>
        </w:tc>
        <w:tc>
          <w:tcPr>
            <w:tcW w:type="dxa" w:w="1881"/>
          </w:tcPr>
          <w:p>
            <w:pPr>
              <w:jc w:val="center"/>
            </w:pPr>
            <w:r/>
            <w:r>
              <w:rPr>
                <w:rFonts w:ascii="Times New Roman" w:hAnsi="Times New Roman"/>
                <w:sz w:val="18"/>
              </w:rPr>
              <w:t>0.292</w:t>
            </w:r>
          </w:p>
        </w:tc>
      </w:tr>
      <w:tr>
        <w:tc>
          <w:tcPr>
            <w:tcW w:type="dxa" w:w="1881"/>
          </w:tcPr>
          <w:p>
            <w:pPr>
              <w:jc w:val="center"/>
            </w:pPr>
            <w:r/>
            <w:r>
              <w:rPr>
                <w:rFonts w:ascii="Times New Roman" w:hAnsi="Times New Roman"/>
                <w:sz w:val="18"/>
              </w:rPr>
              <w:t>84</w:t>
            </w:r>
          </w:p>
        </w:tc>
        <w:tc>
          <w:tcPr>
            <w:tcW w:type="dxa" w:w="1881"/>
          </w:tcPr>
          <w:p>
            <w:pPr>
              <w:jc w:val="center"/>
            </w:pPr>
            <w:r/>
            <w:r>
              <w:rPr>
                <w:rFonts w:ascii="Times New Roman" w:hAnsi="Times New Roman"/>
                <w:sz w:val="18"/>
              </w:rPr>
              <w:t>0.099</w:t>
            </w:r>
          </w:p>
        </w:tc>
        <w:tc>
          <w:tcPr>
            <w:tcW w:type="dxa" w:w="1881"/>
          </w:tcPr>
          <w:p>
            <w:pPr>
              <w:jc w:val="center"/>
            </w:pPr>
            <w:r/>
            <w:r>
              <w:rPr>
                <w:rFonts w:ascii="Times New Roman" w:hAnsi="Times New Roman"/>
                <w:sz w:val="18"/>
              </w:rPr>
              <w:t>0.157</w:t>
            </w:r>
          </w:p>
        </w:tc>
        <w:tc>
          <w:tcPr>
            <w:tcW w:type="dxa" w:w="1881"/>
          </w:tcPr>
          <w:p>
            <w:pPr>
              <w:jc w:val="center"/>
            </w:pPr>
            <w:r/>
            <w:r>
              <w:rPr>
                <w:rFonts w:ascii="Times New Roman" w:hAnsi="Times New Roman"/>
                <w:sz w:val="18"/>
              </w:rPr>
              <w:t>0.172</w:t>
            </w:r>
          </w:p>
        </w:tc>
        <w:tc>
          <w:tcPr>
            <w:tcW w:type="dxa" w:w="1881"/>
          </w:tcPr>
          <w:p>
            <w:pPr>
              <w:jc w:val="center"/>
            </w:pPr>
            <w:r/>
            <w:r>
              <w:rPr>
                <w:rFonts w:ascii="Times New Roman" w:hAnsi="Times New Roman"/>
                <w:sz w:val="18"/>
              </w:rPr>
              <w:t>0.314</w:t>
            </w:r>
          </w:p>
        </w:tc>
      </w:tr>
      <w:tr>
        <w:tc>
          <w:tcPr>
            <w:tcW w:type="dxa" w:w="1881"/>
          </w:tcPr>
          <w:p>
            <w:pPr>
              <w:jc w:val="center"/>
            </w:pPr>
            <w:r/>
            <w:r>
              <w:rPr>
                <w:rFonts w:ascii="Times New Roman" w:hAnsi="Times New Roman"/>
                <w:sz w:val="18"/>
              </w:rPr>
              <w:t>96</w:t>
            </w:r>
          </w:p>
        </w:tc>
        <w:tc>
          <w:tcPr>
            <w:tcW w:type="dxa" w:w="1881"/>
          </w:tcPr>
          <w:p>
            <w:pPr>
              <w:jc w:val="center"/>
            </w:pPr>
            <w:r/>
            <w:r>
              <w:rPr>
                <w:rFonts w:ascii="Times New Roman" w:hAnsi="Times New Roman"/>
                <w:sz w:val="18"/>
              </w:rPr>
              <w:t>0.102</w:t>
            </w:r>
          </w:p>
        </w:tc>
        <w:tc>
          <w:tcPr>
            <w:tcW w:type="dxa" w:w="1881"/>
          </w:tcPr>
          <w:p>
            <w:pPr>
              <w:jc w:val="center"/>
            </w:pPr>
            <w:r/>
            <w:r>
              <w:rPr>
                <w:rFonts w:ascii="Times New Roman" w:hAnsi="Times New Roman"/>
                <w:sz w:val="18"/>
              </w:rPr>
              <w:t>0.173</w:t>
            </w:r>
          </w:p>
        </w:tc>
        <w:tc>
          <w:tcPr>
            <w:tcW w:type="dxa" w:w="1881"/>
          </w:tcPr>
          <w:p>
            <w:pPr>
              <w:jc w:val="center"/>
            </w:pPr>
            <w:r/>
            <w:r>
              <w:rPr>
                <w:rFonts w:ascii="Times New Roman" w:hAnsi="Times New Roman"/>
                <w:sz w:val="18"/>
              </w:rPr>
              <w:t>0.182</w:t>
            </w:r>
          </w:p>
        </w:tc>
        <w:tc>
          <w:tcPr>
            <w:tcW w:type="dxa" w:w="1881"/>
          </w:tcPr>
          <w:p>
            <w:pPr>
              <w:jc w:val="center"/>
            </w:pPr>
            <w:r/>
            <w:r>
              <w:rPr>
                <w:rFonts w:ascii="Times New Roman" w:hAnsi="Times New Roman"/>
                <w:sz w:val="18"/>
              </w:rPr>
              <w:t>0.321</w:t>
            </w:r>
          </w:p>
        </w:tc>
      </w:tr>
      <w:tr>
        <w:tc>
          <w:tcPr>
            <w:tcW w:type="dxa" w:w="1881"/>
          </w:tcPr>
          <w:p>
            <w:pPr>
              <w:jc w:val="center"/>
            </w:pPr>
            <w:r/>
            <w:r>
              <w:rPr>
                <w:rFonts w:ascii="Times New Roman" w:hAnsi="Times New Roman"/>
                <w:sz w:val="18"/>
              </w:rPr>
              <w:t>108</w:t>
            </w:r>
          </w:p>
        </w:tc>
        <w:tc>
          <w:tcPr>
            <w:tcW w:type="dxa" w:w="1881"/>
          </w:tcPr>
          <w:p>
            <w:pPr>
              <w:jc w:val="center"/>
            </w:pPr>
            <w:r/>
            <w:r>
              <w:rPr>
                <w:rFonts w:ascii="Times New Roman" w:hAnsi="Times New Roman"/>
                <w:sz w:val="18"/>
              </w:rPr>
              <w:t>0.108</w:t>
            </w:r>
          </w:p>
        </w:tc>
        <w:tc>
          <w:tcPr>
            <w:tcW w:type="dxa" w:w="1881"/>
          </w:tcPr>
          <w:p>
            <w:pPr>
              <w:jc w:val="center"/>
            </w:pPr>
            <w:r/>
            <w:r>
              <w:rPr>
                <w:rFonts w:ascii="Times New Roman" w:hAnsi="Times New Roman"/>
                <w:sz w:val="18"/>
              </w:rPr>
              <w:t>0.190</w:t>
            </w:r>
          </w:p>
        </w:tc>
        <w:tc>
          <w:tcPr>
            <w:tcW w:type="dxa" w:w="1881"/>
          </w:tcPr>
          <w:p>
            <w:pPr>
              <w:jc w:val="center"/>
            </w:pPr>
            <w:r/>
            <w:r>
              <w:rPr>
                <w:rFonts w:ascii="Times New Roman" w:hAnsi="Times New Roman"/>
                <w:sz w:val="18"/>
              </w:rPr>
              <w:t>0.188</w:t>
            </w:r>
          </w:p>
        </w:tc>
        <w:tc>
          <w:tcPr>
            <w:tcW w:type="dxa" w:w="1881"/>
          </w:tcPr>
          <w:p>
            <w:pPr>
              <w:jc w:val="center"/>
            </w:pPr>
            <w:r/>
            <w:r>
              <w:rPr>
                <w:rFonts w:ascii="Times New Roman" w:hAnsi="Times New Roman"/>
                <w:sz w:val="18"/>
              </w:rPr>
              <w:t>0.341</w:t>
            </w:r>
          </w:p>
        </w:tc>
      </w:tr>
      <w:tr>
        <w:tc>
          <w:tcPr>
            <w:tcW w:type="dxa" w:w="1881"/>
          </w:tcPr>
          <w:p>
            <w:pPr>
              <w:jc w:val="center"/>
            </w:pPr>
            <w:r/>
            <w:r>
              <w:rPr>
                <w:rFonts w:ascii="Times New Roman" w:hAnsi="Times New Roman"/>
                <w:sz w:val="18"/>
              </w:rPr>
              <w:t>120</w:t>
            </w:r>
          </w:p>
        </w:tc>
        <w:tc>
          <w:tcPr>
            <w:tcW w:type="dxa" w:w="1881"/>
          </w:tcPr>
          <w:p>
            <w:pPr>
              <w:jc w:val="center"/>
            </w:pPr>
            <w:r/>
            <w:r>
              <w:rPr>
                <w:rFonts w:ascii="Times New Roman" w:hAnsi="Times New Roman"/>
                <w:sz w:val="18"/>
              </w:rPr>
              <w:t>0.112</w:t>
            </w:r>
          </w:p>
        </w:tc>
        <w:tc>
          <w:tcPr>
            <w:tcW w:type="dxa" w:w="1881"/>
          </w:tcPr>
          <w:p>
            <w:pPr>
              <w:jc w:val="center"/>
            </w:pPr>
            <w:r/>
            <w:r>
              <w:rPr>
                <w:rFonts w:ascii="Times New Roman" w:hAnsi="Times New Roman"/>
                <w:sz w:val="18"/>
              </w:rPr>
              <w:t>0.199</w:t>
            </w:r>
          </w:p>
        </w:tc>
        <w:tc>
          <w:tcPr>
            <w:tcW w:type="dxa" w:w="1881"/>
          </w:tcPr>
          <w:p>
            <w:pPr>
              <w:jc w:val="center"/>
            </w:pPr>
            <w:r/>
            <w:r>
              <w:rPr>
                <w:rFonts w:ascii="Times New Roman" w:hAnsi="Times New Roman"/>
                <w:sz w:val="18"/>
              </w:rPr>
              <w:t>0.221</w:t>
            </w:r>
          </w:p>
        </w:tc>
        <w:tc>
          <w:tcPr>
            <w:tcW w:type="dxa" w:w="1881"/>
          </w:tcPr>
          <w:p>
            <w:pPr>
              <w:jc w:val="center"/>
            </w:pPr>
            <w:r/>
            <w:r>
              <w:rPr>
                <w:rFonts w:ascii="Times New Roman" w:hAnsi="Times New Roman"/>
                <w:sz w:val="18"/>
              </w:rPr>
              <w:t>0.358</w:t>
            </w:r>
          </w:p>
        </w:tc>
      </w:tr>
      <w:tr>
        <w:tc>
          <w:tcPr>
            <w:tcW w:type="dxa" w:w="1881"/>
          </w:tcPr>
          <w:p>
            <w:pPr>
              <w:jc w:val="center"/>
            </w:pPr>
            <w:r/>
            <w:r>
              <w:rPr>
                <w:rFonts w:ascii="Times New Roman" w:hAnsi="Times New Roman"/>
                <w:sz w:val="18"/>
              </w:rPr>
              <w:t>132</w:t>
            </w:r>
          </w:p>
        </w:tc>
        <w:tc>
          <w:tcPr>
            <w:tcW w:type="dxa" w:w="1881"/>
          </w:tcPr>
          <w:p>
            <w:pPr>
              <w:jc w:val="center"/>
            </w:pPr>
            <w:r/>
            <w:r>
              <w:rPr>
                <w:rFonts w:ascii="Times New Roman" w:hAnsi="Times New Roman"/>
                <w:sz w:val="18"/>
              </w:rPr>
              <w:t>0.116</w:t>
            </w:r>
          </w:p>
        </w:tc>
        <w:tc>
          <w:tcPr>
            <w:tcW w:type="dxa" w:w="1881"/>
          </w:tcPr>
          <w:p>
            <w:pPr>
              <w:jc w:val="center"/>
            </w:pPr>
            <w:r/>
            <w:r>
              <w:rPr>
                <w:rFonts w:ascii="Times New Roman" w:hAnsi="Times New Roman"/>
                <w:sz w:val="18"/>
              </w:rPr>
              <w:t>0.206</w:t>
            </w:r>
          </w:p>
        </w:tc>
        <w:tc>
          <w:tcPr>
            <w:tcW w:type="dxa" w:w="1881"/>
          </w:tcPr>
          <w:p>
            <w:pPr>
              <w:jc w:val="center"/>
            </w:pPr>
            <w:r/>
            <w:r>
              <w:rPr>
                <w:rFonts w:ascii="Times New Roman" w:hAnsi="Times New Roman"/>
                <w:sz w:val="18"/>
              </w:rPr>
              <w:t>0.228</w:t>
            </w:r>
          </w:p>
        </w:tc>
        <w:tc>
          <w:tcPr>
            <w:tcW w:type="dxa" w:w="1881"/>
          </w:tcPr>
          <w:p>
            <w:pPr>
              <w:jc w:val="center"/>
            </w:pPr>
            <w:r/>
            <w:r>
              <w:rPr>
                <w:rFonts w:ascii="Times New Roman" w:hAnsi="Times New Roman"/>
                <w:sz w:val="18"/>
              </w:rPr>
              <w:t>0.371</w:t>
            </w:r>
          </w:p>
        </w:tc>
      </w:tr>
      <w:tr>
        <w:tc>
          <w:tcPr>
            <w:tcW w:type="dxa" w:w="1881"/>
          </w:tcPr>
          <w:p>
            <w:pPr>
              <w:jc w:val="center"/>
            </w:pPr>
            <w:r/>
            <w:r>
              <w:rPr>
                <w:rFonts w:ascii="Times New Roman" w:hAnsi="Times New Roman"/>
                <w:sz w:val="18"/>
              </w:rPr>
              <w:t>144</w:t>
            </w:r>
          </w:p>
        </w:tc>
        <w:tc>
          <w:tcPr>
            <w:tcW w:type="dxa" w:w="1881"/>
          </w:tcPr>
          <w:p>
            <w:pPr>
              <w:jc w:val="center"/>
            </w:pPr>
            <w:r/>
            <w:r>
              <w:rPr>
                <w:rFonts w:ascii="Times New Roman" w:hAnsi="Times New Roman"/>
                <w:sz w:val="18"/>
              </w:rPr>
              <w:t>0.120</w:t>
            </w:r>
          </w:p>
        </w:tc>
        <w:tc>
          <w:tcPr>
            <w:tcW w:type="dxa" w:w="1881"/>
          </w:tcPr>
          <w:p>
            <w:pPr>
              <w:jc w:val="center"/>
            </w:pPr>
            <w:r/>
            <w:r>
              <w:rPr>
                <w:rFonts w:ascii="Times New Roman" w:hAnsi="Times New Roman"/>
                <w:sz w:val="18"/>
              </w:rPr>
              <w:t>0.212</w:t>
            </w:r>
          </w:p>
        </w:tc>
        <w:tc>
          <w:tcPr>
            <w:tcW w:type="dxa" w:w="1881"/>
          </w:tcPr>
          <w:p>
            <w:pPr>
              <w:jc w:val="center"/>
            </w:pPr>
            <w:r/>
            <w:r>
              <w:rPr>
                <w:rFonts w:ascii="Times New Roman" w:hAnsi="Times New Roman"/>
                <w:sz w:val="18"/>
              </w:rPr>
              <w:t>0.233</w:t>
            </w:r>
          </w:p>
        </w:tc>
        <w:tc>
          <w:tcPr>
            <w:tcW w:type="dxa" w:w="1881"/>
          </w:tcPr>
          <w:p>
            <w:pPr>
              <w:jc w:val="center"/>
            </w:pPr>
            <w:r/>
            <w:r>
              <w:rPr>
                <w:rFonts w:ascii="Times New Roman" w:hAnsi="Times New Roman"/>
                <w:sz w:val="18"/>
              </w:rPr>
              <w:t>0.384</w:t>
            </w:r>
          </w:p>
        </w:tc>
      </w:tr>
      <w:tr>
        <w:tc>
          <w:tcPr>
            <w:tcW w:type="dxa" w:w="1881"/>
          </w:tcPr>
          <w:p>
            <w:pPr>
              <w:jc w:val="center"/>
            </w:pPr>
            <w:r/>
            <w:r>
              <w:rPr>
                <w:rFonts w:ascii="Times New Roman" w:hAnsi="Times New Roman"/>
                <w:sz w:val="18"/>
              </w:rPr>
              <w:t>156</w:t>
            </w:r>
          </w:p>
        </w:tc>
        <w:tc>
          <w:tcPr>
            <w:tcW w:type="dxa" w:w="1881"/>
          </w:tcPr>
          <w:p>
            <w:pPr>
              <w:jc w:val="center"/>
            </w:pPr>
            <w:r/>
            <w:r>
              <w:rPr>
                <w:rFonts w:ascii="Times New Roman" w:hAnsi="Times New Roman"/>
                <w:sz w:val="18"/>
              </w:rPr>
              <w:t>0.123</w:t>
            </w:r>
          </w:p>
        </w:tc>
        <w:tc>
          <w:tcPr>
            <w:tcW w:type="dxa" w:w="1881"/>
          </w:tcPr>
          <w:p>
            <w:pPr>
              <w:jc w:val="center"/>
            </w:pPr>
            <w:r/>
            <w:r>
              <w:rPr>
                <w:rFonts w:ascii="Times New Roman" w:hAnsi="Times New Roman"/>
                <w:sz w:val="18"/>
              </w:rPr>
              <w:t>0.216</w:t>
            </w:r>
          </w:p>
        </w:tc>
        <w:tc>
          <w:tcPr>
            <w:tcW w:type="dxa" w:w="1881"/>
          </w:tcPr>
          <w:p>
            <w:pPr>
              <w:jc w:val="center"/>
            </w:pPr>
            <w:r/>
            <w:r>
              <w:rPr>
                <w:rFonts w:ascii="Times New Roman" w:hAnsi="Times New Roman"/>
                <w:sz w:val="18"/>
              </w:rPr>
              <w:t>0.237</w:t>
            </w:r>
          </w:p>
        </w:tc>
        <w:tc>
          <w:tcPr>
            <w:tcW w:type="dxa" w:w="1881"/>
          </w:tcPr>
          <w:p>
            <w:pPr>
              <w:jc w:val="center"/>
            </w:pPr>
            <w:r/>
            <w:r>
              <w:rPr>
                <w:rFonts w:ascii="Times New Roman" w:hAnsi="Times New Roman"/>
                <w:sz w:val="18"/>
              </w:rPr>
              <w:t>0.392</w:t>
            </w:r>
          </w:p>
        </w:tc>
      </w:tr>
      <w:tr>
        <w:tc>
          <w:tcPr>
            <w:tcW w:type="dxa" w:w="1881"/>
          </w:tcPr>
          <w:p>
            <w:pPr>
              <w:jc w:val="center"/>
            </w:pPr>
            <w:r/>
            <w:r>
              <w:rPr>
                <w:rFonts w:ascii="Times New Roman" w:hAnsi="Times New Roman"/>
                <w:sz w:val="18"/>
              </w:rPr>
              <w:t>168</w:t>
            </w:r>
          </w:p>
        </w:tc>
        <w:tc>
          <w:tcPr>
            <w:tcW w:type="dxa" w:w="1881"/>
          </w:tcPr>
          <w:p>
            <w:pPr>
              <w:jc w:val="center"/>
            </w:pPr>
            <w:r/>
            <w:r>
              <w:rPr>
                <w:rFonts w:ascii="Times New Roman" w:hAnsi="Times New Roman"/>
                <w:sz w:val="18"/>
              </w:rPr>
              <w:t>0.125</w:t>
            </w:r>
          </w:p>
        </w:tc>
        <w:tc>
          <w:tcPr>
            <w:tcW w:type="dxa" w:w="1881"/>
          </w:tcPr>
          <w:p>
            <w:pPr>
              <w:jc w:val="center"/>
            </w:pPr>
            <w:r/>
            <w:r>
              <w:rPr>
                <w:rFonts w:ascii="Times New Roman" w:hAnsi="Times New Roman"/>
                <w:sz w:val="18"/>
              </w:rPr>
              <w:t>0.219</w:t>
            </w:r>
          </w:p>
        </w:tc>
        <w:tc>
          <w:tcPr>
            <w:tcW w:type="dxa" w:w="1881"/>
          </w:tcPr>
          <w:p>
            <w:pPr>
              <w:jc w:val="center"/>
            </w:pPr>
            <w:r/>
            <w:r>
              <w:rPr>
                <w:rFonts w:ascii="Times New Roman" w:hAnsi="Times New Roman"/>
                <w:sz w:val="18"/>
              </w:rPr>
              <w:t>0.241</w:t>
            </w:r>
          </w:p>
        </w:tc>
        <w:tc>
          <w:tcPr>
            <w:tcW w:type="dxa" w:w="1881"/>
          </w:tcPr>
          <w:p>
            <w:pPr>
              <w:jc w:val="center"/>
            </w:pPr>
            <w:r/>
            <w:r>
              <w:rPr>
                <w:rFonts w:ascii="Times New Roman" w:hAnsi="Times New Roman"/>
                <w:sz w:val="18"/>
              </w:rPr>
              <w:t>0.400</w:t>
            </w:r>
          </w:p>
        </w:tc>
      </w:tr>
    </w:tbl>
    <w:p>
      <w:pPr>
        <w:spacing w:after="40"/>
      </w:pPr>
    </w:p>
    <w:p>
      <w:pPr>
        <w:spacing w:after="200"/>
        <w:jc w:val="center"/>
      </w:pPr>
      <w:r>
        <w:rPr>
          <w:rFonts w:ascii="Times New Roman" w:hAnsi="Times New Roman"/>
          <w:b/>
          <w:sz w:val="20"/>
        </w:rPr>
        <w:t>Table S3. Cumulative tracer release data (Mt/M∞) at 30–120 °C.</w:t>
      </w:r>
    </w:p>
    <w:p>
      <w:pPr>
        <w:jc w:val="center"/>
      </w:pPr>
      <w:r>
        <w:drawing>
          <wp:inline xmlns:a="http://schemas.openxmlformats.org/drawingml/2006/main" xmlns:pic="http://schemas.openxmlformats.org/drawingml/2006/picture">
            <wp:extent cx="4572000" cy="3223950"/>
            <wp:docPr id="1" name="Picture 1"/>
            <wp:cNvGraphicFramePr>
              <a:graphicFrameLocks noChangeAspect="1"/>
            </wp:cNvGraphicFramePr>
            <a:graphic>
              <a:graphicData uri="http://schemas.openxmlformats.org/drawingml/2006/picture">
                <pic:pic>
                  <pic:nvPicPr>
                    <pic:cNvPr id="0" name="Figure_S2.png"/>
                    <pic:cNvPicPr/>
                  </pic:nvPicPr>
                  <pic:blipFill>
                    <a:blip r:embed="rId9"/>
                    <a:stretch>
                      <a:fillRect/>
                    </a:stretch>
                  </pic:blipFill>
                  <pic:spPr>
                    <a:xfrm>
                      <a:off x="0" y="0"/>
                      <a:ext cx="4572000" cy="3223950"/>
                    </a:xfrm>
                    <a:prstGeom prst="rect"/>
                  </pic:spPr>
                </pic:pic>
              </a:graphicData>
            </a:graphic>
          </wp:inline>
        </w:drawing>
      </w:r>
    </w:p>
    <w:p>
      <w:pPr>
        <w:spacing w:after="200"/>
        <w:jc w:val="center"/>
      </w:pPr>
      <w:r>
        <w:rPr>
          <w:rFonts w:ascii="Times New Roman" w:hAnsi="Times New Roman"/>
          <w:b/>
          <w:sz w:val="20"/>
        </w:rPr>
        <w:t>Figure S1. Cumulative tracer release profiles at 30–120 °C (data from Table S3).</w:t>
      </w:r>
    </w:p>
    <w:p>
      <w:pPr>
        <w:pStyle w:val="Heading3"/>
        <w:spacing w:before="200"/>
      </w:pPr>
      <w:r>
        <w:t>S4.3. Two-Phase Flow Data</w:t>
      </w:r>
    </w:p>
    <w:p>
      <w:r>
        <w:rPr>
          <w:rFonts w:ascii="Times New Roman" w:hAnsi="Times New Roman"/>
          <w:sz w:val="22"/>
        </w:rPr>
        <w:t>Table S5 lists the complete steady-state two-phase flow dataset supporting the production allocation analysis in Section 3.4.</w:t>
      </w:r>
    </w:p>
    <w:p/>
    <w:tbl>
      <w:tblPr>
        <w:tblW w:type="auto" w:w="0"/>
        <w:tblLayout w:type="autofit"/>
        <w:tblLook w:firstColumn="1" w:firstRow="1" w:lastColumn="0" w:lastRow="0" w:noHBand="0" w:noVBand="1" w:val="04A0"/>
        <w:tblBorders>
          <w:top w:val="single" w:sz="12" w:space="0" w:color="000000"/>
          <w:bottom w:val="single" w:sz="12" w:space="0" w:color="000000"/>
          <w:insideH w:val="none" w:sz="0" w:space="0" w:color="000000"/>
          <w:left w:val="none" w:sz="0" w:space="0" w:color="000000"/>
          <w:right w:val="none" w:sz="0" w:space="0" w:color="000000"/>
        </w:tblBorders>
      </w:tblPr>
      <w:tblGrid>
        <w:gridCol w:w="1568"/>
        <w:gridCol w:w="1568"/>
        <w:gridCol w:w="1568"/>
        <w:gridCol w:w="1568"/>
        <w:gridCol w:w="1568"/>
        <w:gridCol w:w="1568"/>
      </w:tblGrid>
      <w:tr>
        <w:tc>
          <w:tcPr>
            <w:tcW w:type="dxa" w:w="1568"/>
            <w:tcBorders>
              <w:bottom w:val="single" w:sz="4" w:space="0" w:color="000000"/>
            </w:tcBorders>
          </w:tcPr>
          <w:p>
            <w:pPr>
              <w:jc w:val="center"/>
            </w:pPr>
            <w:r/>
            <w:r>
              <w:rPr>
                <w:rFonts w:ascii="Times New Roman" w:hAnsi="Times New Roman"/>
                <w:b/>
                <w:sz w:val="18"/>
              </w:rPr>
              <w:t>OWR</w:t>
            </w:r>
          </w:p>
        </w:tc>
        <w:tc>
          <w:tcPr>
            <w:tcW w:type="dxa" w:w="1568"/>
            <w:tcBorders>
              <w:bottom w:val="single" w:sz="4" w:space="0" w:color="000000"/>
            </w:tcBorders>
          </w:tcPr>
          <w:p>
            <w:pPr>
              <w:jc w:val="center"/>
            </w:pPr>
            <w:r/>
            <w:r>
              <w:rPr>
                <w:rFonts w:ascii="Times New Roman" w:hAnsi="Times New Roman"/>
                <w:b/>
                <w:sz w:val="18"/>
              </w:rPr>
              <w:t>Q_total</w:t>
              <w:br/>
              <w:t>(mL/min)</w:t>
            </w:r>
          </w:p>
        </w:tc>
        <w:tc>
          <w:tcPr>
            <w:tcW w:type="dxa" w:w="1568"/>
            <w:tcBorders>
              <w:bottom w:val="single" w:sz="4" w:space="0" w:color="000000"/>
            </w:tcBorders>
          </w:tcPr>
          <w:p>
            <w:pPr>
              <w:jc w:val="center"/>
            </w:pPr>
            <w:r/>
            <w:r>
              <w:rPr>
                <w:rFonts w:ascii="Times New Roman" w:hAnsi="Times New Roman"/>
                <w:b/>
                <w:sz w:val="18"/>
              </w:rPr>
              <w:t>Q_oil</w:t>
              <w:br/>
              <w:t>(mL/min)</w:t>
            </w:r>
          </w:p>
        </w:tc>
        <w:tc>
          <w:tcPr>
            <w:tcW w:type="dxa" w:w="1568"/>
            <w:tcBorders>
              <w:bottom w:val="single" w:sz="4" w:space="0" w:color="000000"/>
            </w:tcBorders>
          </w:tcPr>
          <w:p>
            <w:pPr>
              <w:jc w:val="center"/>
            </w:pPr>
            <w:r/>
            <w:r>
              <w:rPr>
                <w:rFonts w:ascii="Times New Roman" w:hAnsi="Times New Roman"/>
                <w:b/>
                <w:sz w:val="18"/>
              </w:rPr>
              <w:t>Q_water</w:t>
              <w:br/>
              <w:t>(mL/min)</w:t>
            </w:r>
          </w:p>
        </w:tc>
        <w:tc>
          <w:tcPr>
            <w:tcW w:type="dxa" w:w="1568"/>
            <w:tcBorders>
              <w:bottom w:val="single" w:sz="4" w:space="0" w:color="000000"/>
            </w:tcBorders>
          </w:tcPr>
          <w:p>
            <w:pPr>
              <w:jc w:val="center"/>
            </w:pPr>
            <w:r/>
            <w:r>
              <w:rPr>
                <w:rFonts w:ascii="Times New Roman" w:hAnsi="Times New Roman"/>
                <w:b/>
                <w:sz w:val="18"/>
              </w:rPr>
              <w:t>C_oil</w:t>
              <w:br/>
              <w:t>(μg/mL)</w:t>
            </w:r>
          </w:p>
        </w:tc>
        <w:tc>
          <w:tcPr>
            <w:tcW w:type="dxa" w:w="1568"/>
            <w:tcBorders>
              <w:bottom w:val="single" w:sz="4" w:space="0" w:color="000000"/>
            </w:tcBorders>
          </w:tcPr>
          <w:p>
            <w:pPr>
              <w:jc w:val="center"/>
            </w:pPr>
            <w:r/>
            <w:r>
              <w:rPr>
                <w:rFonts w:ascii="Times New Roman" w:hAnsi="Times New Roman"/>
                <w:b/>
                <w:sz w:val="18"/>
              </w:rPr>
              <w:t>F_O</w:t>
              <w:br/>
              <w:t>(μg/min)</w:t>
            </w:r>
          </w:p>
        </w:tc>
      </w:tr>
      <w:tr>
        <w:tc>
          <w:tcPr>
            <w:tcW w:type="dxa" w:w="1568"/>
          </w:tcPr>
          <w:p>
            <w:pPr>
              <w:jc w:val="center"/>
            </w:pPr>
            <w:r/>
            <w:r>
              <w:rPr>
                <w:rFonts w:ascii="Times New Roman" w:hAnsi="Times New Roman"/>
                <w:sz w:val="18"/>
              </w:rPr>
              <w:t>4:1</w:t>
            </w:r>
          </w:p>
        </w:tc>
        <w:tc>
          <w:tcPr>
            <w:tcW w:type="dxa" w:w="1568"/>
          </w:tcPr>
          <w:p>
            <w:pPr>
              <w:jc w:val="center"/>
            </w:pPr>
            <w:r/>
            <w:r>
              <w:rPr>
                <w:rFonts w:ascii="Times New Roman" w:hAnsi="Times New Roman"/>
                <w:sz w:val="18"/>
              </w:rPr>
              <w:t>0.1</w:t>
            </w:r>
          </w:p>
        </w:tc>
        <w:tc>
          <w:tcPr>
            <w:tcW w:type="dxa" w:w="1568"/>
          </w:tcPr>
          <w:p>
            <w:pPr>
              <w:jc w:val="center"/>
            </w:pPr>
            <w:r/>
            <w:r>
              <w:rPr>
                <w:rFonts w:ascii="Times New Roman" w:hAnsi="Times New Roman"/>
                <w:sz w:val="18"/>
              </w:rPr>
              <w:t>0.08</w:t>
            </w:r>
          </w:p>
        </w:tc>
        <w:tc>
          <w:tcPr>
            <w:tcW w:type="dxa" w:w="1568"/>
          </w:tcPr>
          <w:p>
            <w:pPr>
              <w:jc w:val="center"/>
            </w:pPr>
            <w:r/>
            <w:r>
              <w:rPr>
                <w:rFonts w:ascii="Times New Roman" w:hAnsi="Times New Roman"/>
                <w:sz w:val="18"/>
              </w:rPr>
              <w:t>0.02</w:t>
            </w:r>
          </w:p>
        </w:tc>
        <w:tc>
          <w:tcPr>
            <w:tcW w:type="dxa" w:w="1568"/>
          </w:tcPr>
          <w:p>
            <w:pPr>
              <w:jc w:val="center"/>
            </w:pPr>
            <w:r/>
            <w:r>
              <w:rPr>
                <w:rFonts w:ascii="Times New Roman" w:hAnsi="Times New Roman"/>
                <w:sz w:val="18"/>
              </w:rPr>
              <w:t>33.51</w:t>
            </w:r>
          </w:p>
        </w:tc>
        <w:tc>
          <w:tcPr>
            <w:tcW w:type="dxa" w:w="1568"/>
          </w:tcPr>
          <w:p>
            <w:pPr>
              <w:jc w:val="center"/>
            </w:pPr>
            <w:r/>
            <w:r>
              <w:rPr>
                <w:rFonts w:ascii="Times New Roman" w:hAnsi="Times New Roman"/>
                <w:sz w:val="18"/>
              </w:rPr>
              <w:t>2.681</w:t>
            </w:r>
          </w:p>
        </w:tc>
      </w:tr>
      <w:tr>
        <w:tc>
          <w:tcPr>
            <w:tcW w:type="dxa" w:w="1568"/>
          </w:tcPr>
          <w:p>
            <w:pPr>
              <w:jc w:val="center"/>
            </w:pPr>
            <w:r/>
            <w:r>
              <w:rPr>
                <w:rFonts w:ascii="Times New Roman" w:hAnsi="Times New Roman"/>
                <w:sz w:val="18"/>
              </w:rPr>
              <w:t>4:1</w:t>
            </w:r>
          </w:p>
        </w:tc>
        <w:tc>
          <w:tcPr>
            <w:tcW w:type="dxa" w:w="1568"/>
          </w:tcPr>
          <w:p>
            <w:pPr>
              <w:jc w:val="center"/>
            </w:pPr>
            <w:r/>
            <w:r>
              <w:rPr>
                <w:rFonts w:ascii="Times New Roman" w:hAnsi="Times New Roman"/>
                <w:sz w:val="18"/>
              </w:rPr>
              <w:t>0.2</w:t>
            </w:r>
          </w:p>
        </w:tc>
        <w:tc>
          <w:tcPr>
            <w:tcW w:type="dxa" w:w="1568"/>
          </w:tcPr>
          <w:p>
            <w:pPr>
              <w:jc w:val="center"/>
            </w:pPr>
            <w:r/>
            <w:r>
              <w:rPr>
                <w:rFonts w:ascii="Times New Roman" w:hAnsi="Times New Roman"/>
                <w:sz w:val="18"/>
              </w:rPr>
              <w:t>0.16</w:t>
            </w:r>
          </w:p>
        </w:tc>
        <w:tc>
          <w:tcPr>
            <w:tcW w:type="dxa" w:w="1568"/>
          </w:tcPr>
          <w:p>
            <w:pPr>
              <w:jc w:val="center"/>
            </w:pPr>
            <w:r/>
            <w:r>
              <w:rPr>
                <w:rFonts w:ascii="Times New Roman" w:hAnsi="Times New Roman"/>
                <w:sz w:val="18"/>
              </w:rPr>
              <w:t>0.04</w:t>
            </w:r>
          </w:p>
        </w:tc>
        <w:tc>
          <w:tcPr>
            <w:tcW w:type="dxa" w:w="1568"/>
          </w:tcPr>
          <w:p>
            <w:pPr>
              <w:jc w:val="center"/>
            </w:pPr>
            <w:r/>
            <w:r>
              <w:rPr>
                <w:rFonts w:ascii="Times New Roman" w:hAnsi="Times New Roman"/>
                <w:sz w:val="18"/>
              </w:rPr>
              <w:t>17.37</w:t>
            </w:r>
          </w:p>
        </w:tc>
        <w:tc>
          <w:tcPr>
            <w:tcW w:type="dxa" w:w="1568"/>
          </w:tcPr>
          <w:p>
            <w:pPr>
              <w:jc w:val="center"/>
            </w:pPr>
            <w:r/>
            <w:r>
              <w:rPr>
                <w:rFonts w:ascii="Times New Roman" w:hAnsi="Times New Roman"/>
                <w:sz w:val="18"/>
              </w:rPr>
              <w:t>2.779</w:t>
            </w:r>
          </w:p>
        </w:tc>
      </w:tr>
      <w:tr>
        <w:tc>
          <w:tcPr>
            <w:tcW w:type="dxa" w:w="1568"/>
          </w:tcPr>
          <w:p>
            <w:pPr>
              <w:jc w:val="center"/>
            </w:pPr>
            <w:r/>
            <w:r>
              <w:rPr>
                <w:rFonts w:ascii="Times New Roman" w:hAnsi="Times New Roman"/>
                <w:sz w:val="18"/>
              </w:rPr>
              <w:t>4:1</w:t>
            </w:r>
          </w:p>
        </w:tc>
        <w:tc>
          <w:tcPr>
            <w:tcW w:type="dxa" w:w="1568"/>
          </w:tcPr>
          <w:p>
            <w:pPr>
              <w:jc w:val="center"/>
            </w:pPr>
            <w:r/>
            <w:r>
              <w:rPr>
                <w:rFonts w:ascii="Times New Roman" w:hAnsi="Times New Roman"/>
                <w:sz w:val="18"/>
              </w:rPr>
              <w:t>0.3</w:t>
            </w:r>
          </w:p>
        </w:tc>
        <w:tc>
          <w:tcPr>
            <w:tcW w:type="dxa" w:w="1568"/>
          </w:tcPr>
          <w:p>
            <w:pPr>
              <w:jc w:val="center"/>
            </w:pPr>
            <w:r/>
            <w:r>
              <w:rPr>
                <w:rFonts w:ascii="Times New Roman" w:hAnsi="Times New Roman"/>
                <w:sz w:val="18"/>
              </w:rPr>
              <w:t>0.24</w:t>
            </w:r>
          </w:p>
        </w:tc>
        <w:tc>
          <w:tcPr>
            <w:tcW w:type="dxa" w:w="1568"/>
          </w:tcPr>
          <w:p>
            <w:pPr>
              <w:jc w:val="center"/>
            </w:pPr>
            <w:r/>
            <w:r>
              <w:rPr>
                <w:rFonts w:ascii="Times New Roman" w:hAnsi="Times New Roman"/>
                <w:sz w:val="18"/>
              </w:rPr>
              <w:t>0.06</w:t>
            </w:r>
          </w:p>
        </w:tc>
        <w:tc>
          <w:tcPr>
            <w:tcW w:type="dxa" w:w="1568"/>
          </w:tcPr>
          <w:p>
            <w:pPr>
              <w:jc w:val="center"/>
            </w:pPr>
            <w:r/>
            <w:r>
              <w:rPr>
                <w:rFonts w:ascii="Times New Roman" w:hAnsi="Times New Roman"/>
                <w:sz w:val="18"/>
              </w:rPr>
              <w:t>11.54</w:t>
            </w:r>
          </w:p>
        </w:tc>
        <w:tc>
          <w:tcPr>
            <w:tcW w:type="dxa" w:w="1568"/>
          </w:tcPr>
          <w:p>
            <w:pPr>
              <w:jc w:val="center"/>
            </w:pPr>
            <w:r/>
            <w:r>
              <w:rPr>
                <w:rFonts w:ascii="Times New Roman" w:hAnsi="Times New Roman"/>
                <w:sz w:val="18"/>
              </w:rPr>
              <w:t>2.770</w:t>
            </w:r>
          </w:p>
        </w:tc>
      </w:tr>
      <w:tr>
        <w:tc>
          <w:tcPr>
            <w:tcW w:type="dxa" w:w="1568"/>
          </w:tcPr>
          <w:p>
            <w:pPr>
              <w:jc w:val="center"/>
            </w:pPr>
            <w:r/>
            <w:r>
              <w:rPr>
                <w:rFonts w:ascii="Times New Roman" w:hAnsi="Times New Roman"/>
                <w:sz w:val="18"/>
              </w:rPr>
              <w:t>4:1</w:t>
            </w:r>
          </w:p>
        </w:tc>
        <w:tc>
          <w:tcPr>
            <w:tcW w:type="dxa" w:w="1568"/>
          </w:tcPr>
          <w:p>
            <w:pPr>
              <w:jc w:val="center"/>
            </w:pPr>
            <w:r/>
            <w:r>
              <w:rPr>
                <w:rFonts w:ascii="Times New Roman" w:hAnsi="Times New Roman"/>
                <w:sz w:val="18"/>
              </w:rPr>
              <w:t>0.4</w:t>
            </w:r>
          </w:p>
        </w:tc>
        <w:tc>
          <w:tcPr>
            <w:tcW w:type="dxa" w:w="1568"/>
          </w:tcPr>
          <w:p>
            <w:pPr>
              <w:jc w:val="center"/>
            </w:pPr>
            <w:r/>
            <w:r>
              <w:rPr>
                <w:rFonts w:ascii="Times New Roman" w:hAnsi="Times New Roman"/>
                <w:sz w:val="18"/>
              </w:rPr>
              <w:t>0.32</w:t>
            </w:r>
          </w:p>
        </w:tc>
        <w:tc>
          <w:tcPr>
            <w:tcW w:type="dxa" w:w="1568"/>
          </w:tcPr>
          <w:p>
            <w:pPr>
              <w:jc w:val="center"/>
            </w:pPr>
            <w:r/>
            <w:r>
              <w:rPr>
                <w:rFonts w:ascii="Times New Roman" w:hAnsi="Times New Roman"/>
                <w:sz w:val="18"/>
              </w:rPr>
              <w:t>0.08</w:t>
            </w:r>
          </w:p>
        </w:tc>
        <w:tc>
          <w:tcPr>
            <w:tcW w:type="dxa" w:w="1568"/>
          </w:tcPr>
          <w:p>
            <w:pPr>
              <w:jc w:val="center"/>
            </w:pPr>
            <w:r/>
            <w:r>
              <w:rPr>
                <w:rFonts w:ascii="Times New Roman" w:hAnsi="Times New Roman"/>
                <w:sz w:val="18"/>
              </w:rPr>
              <w:t>8.33</w:t>
            </w:r>
          </w:p>
        </w:tc>
        <w:tc>
          <w:tcPr>
            <w:tcW w:type="dxa" w:w="1568"/>
          </w:tcPr>
          <w:p>
            <w:pPr>
              <w:jc w:val="center"/>
            </w:pPr>
            <w:r/>
            <w:r>
              <w:rPr>
                <w:rFonts w:ascii="Times New Roman" w:hAnsi="Times New Roman"/>
                <w:sz w:val="18"/>
              </w:rPr>
              <w:t>2.666</w:t>
            </w:r>
          </w:p>
        </w:tc>
      </w:tr>
      <w:tr>
        <w:tc>
          <w:tcPr>
            <w:tcW w:type="dxa" w:w="1568"/>
          </w:tcPr>
          <w:p>
            <w:pPr>
              <w:jc w:val="center"/>
            </w:pPr>
            <w:r/>
            <w:r>
              <w:rPr>
                <w:rFonts w:ascii="Times New Roman" w:hAnsi="Times New Roman"/>
                <w:sz w:val="18"/>
              </w:rPr>
              <w:t>1:1</w:t>
            </w:r>
          </w:p>
        </w:tc>
        <w:tc>
          <w:tcPr>
            <w:tcW w:type="dxa" w:w="1568"/>
          </w:tcPr>
          <w:p>
            <w:pPr>
              <w:jc w:val="center"/>
            </w:pPr>
            <w:r/>
            <w:r>
              <w:rPr>
                <w:rFonts w:ascii="Times New Roman" w:hAnsi="Times New Roman"/>
                <w:sz w:val="18"/>
              </w:rPr>
              <w:t>0.1</w:t>
            </w:r>
          </w:p>
        </w:tc>
        <w:tc>
          <w:tcPr>
            <w:tcW w:type="dxa" w:w="1568"/>
          </w:tcPr>
          <w:p>
            <w:pPr>
              <w:jc w:val="center"/>
            </w:pPr>
            <w:r/>
            <w:r>
              <w:rPr>
                <w:rFonts w:ascii="Times New Roman" w:hAnsi="Times New Roman"/>
                <w:sz w:val="18"/>
              </w:rPr>
              <w:t>0.05</w:t>
            </w:r>
          </w:p>
        </w:tc>
        <w:tc>
          <w:tcPr>
            <w:tcW w:type="dxa" w:w="1568"/>
          </w:tcPr>
          <w:p>
            <w:pPr>
              <w:jc w:val="center"/>
            </w:pPr>
            <w:r/>
            <w:r>
              <w:rPr>
                <w:rFonts w:ascii="Times New Roman" w:hAnsi="Times New Roman"/>
                <w:sz w:val="18"/>
              </w:rPr>
              <w:t>0.05</w:t>
            </w:r>
          </w:p>
        </w:tc>
        <w:tc>
          <w:tcPr>
            <w:tcW w:type="dxa" w:w="1568"/>
          </w:tcPr>
          <w:p>
            <w:pPr>
              <w:jc w:val="center"/>
            </w:pPr>
            <w:r/>
            <w:r>
              <w:rPr>
                <w:rFonts w:ascii="Times New Roman" w:hAnsi="Times New Roman"/>
                <w:sz w:val="18"/>
              </w:rPr>
              <w:t>31.32</w:t>
            </w:r>
          </w:p>
        </w:tc>
        <w:tc>
          <w:tcPr>
            <w:tcW w:type="dxa" w:w="1568"/>
          </w:tcPr>
          <w:p>
            <w:pPr>
              <w:jc w:val="center"/>
            </w:pPr>
            <w:r/>
            <w:r>
              <w:rPr>
                <w:rFonts w:ascii="Times New Roman" w:hAnsi="Times New Roman"/>
                <w:sz w:val="18"/>
              </w:rPr>
              <w:t>1.566</w:t>
            </w:r>
          </w:p>
        </w:tc>
      </w:tr>
      <w:tr>
        <w:tc>
          <w:tcPr>
            <w:tcW w:type="dxa" w:w="1568"/>
          </w:tcPr>
          <w:p>
            <w:pPr>
              <w:jc w:val="center"/>
            </w:pPr>
            <w:r/>
            <w:r>
              <w:rPr>
                <w:rFonts w:ascii="Times New Roman" w:hAnsi="Times New Roman"/>
                <w:sz w:val="18"/>
              </w:rPr>
              <w:t>1:1</w:t>
            </w:r>
          </w:p>
        </w:tc>
        <w:tc>
          <w:tcPr>
            <w:tcW w:type="dxa" w:w="1568"/>
          </w:tcPr>
          <w:p>
            <w:pPr>
              <w:jc w:val="center"/>
            </w:pPr>
            <w:r/>
            <w:r>
              <w:rPr>
                <w:rFonts w:ascii="Times New Roman" w:hAnsi="Times New Roman"/>
                <w:sz w:val="18"/>
              </w:rPr>
              <w:t>0.2</w:t>
            </w:r>
          </w:p>
        </w:tc>
        <w:tc>
          <w:tcPr>
            <w:tcW w:type="dxa" w:w="1568"/>
          </w:tcPr>
          <w:p>
            <w:pPr>
              <w:jc w:val="center"/>
            </w:pPr>
            <w:r/>
            <w:r>
              <w:rPr>
                <w:rFonts w:ascii="Times New Roman" w:hAnsi="Times New Roman"/>
                <w:sz w:val="18"/>
              </w:rPr>
              <w:t>0.10</w:t>
            </w:r>
          </w:p>
        </w:tc>
        <w:tc>
          <w:tcPr>
            <w:tcW w:type="dxa" w:w="1568"/>
          </w:tcPr>
          <w:p>
            <w:pPr>
              <w:jc w:val="center"/>
            </w:pPr>
            <w:r/>
            <w:r>
              <w:rPr>
                <w:rFonts w:ascii="Times New Roman" w:hAnsi="Times New Roman"/>
                <w:sz w:val="18"/>
              </w:rPr>
              <w:t>0.10</w:t>
            </w:r>
          </w:p>
        </w:tc>
        <w:tc>
          <w:tcPr>
            <w:tcW w:type="dxa" w:w="1568"/>
          </w:tcPr>
          <w:p>
            <w:pPr>
              <w:jc w:val="center"/>
            </w:pPr>
            <w:r/>
            <w:r>
              <w:rPr>
                <w:rFonts w:ascii="Times New Roman" w:hAnsi="Times New Roman"/>
                <w:sz w:val="18"/>
              </w:rPr>
              <w:t>16.67</w:t>
            </w:r>
          </w:p>
        </w:tc>
        <w:tc>
          <w:tcPr>
            <w:tcW w:type="dxa" w:w="1568"/>
          </w:tcPr>
          <w:p>
            <w:pPr>
              <w:jc w:val="center"/>
            </w:pPr>
            <w:r/>
            <w:r>
              <w:rPr>
                <w:rFonts w:ascii="Times New Roman" w:hAnsi="Times New Roman"/>
                <w:sz w:val="18"/>
              </w:rPr>
              <w:t>1.667</w:t>
            </w:r>
          </w:p>
        </w:tc>
      </w:tr>
      <w:tr>
        <w:tc>
          <w:tcPr>
            <w:tcW w:type="dxa" w:w="1568"/>
          </w:tcPr>
          <w:p>
            <w:pPr>
              <w:jc w:val="center"/>
            </w:pPr>
            <w:r/>
            <w:r>
              <w:rPr>
                <w:rFonts w:ascii="Times New Roman" w:hAnsi="Times New Roman"/>
                <w:sz w:val="18"/>
              </w:rPr>
              <w:t>1:1</w:t>
            </w:r>
          </w:p>
        </w:tc>
        <w:tc>
          <w:tcPr>
            <w:tcW w:type="dxa" w:w="1568"/>
          </w:tcPr>
          <w:p>
            <w:pPr>
              <w:jc w:val="center"/>
            </w:pPr>
            <w:r/>
            <w:r>
              <w:rPr>
                <w:rFonts w:ascii="Times New Roman" w:hAnsi="Times New Roman"/>
                <w:sz w:val="18"/>
              </w:rPr>
              <w:t>0.3</w:t>
            </w:r>
          </w:p>
        </w:tc>
        <w:tc>
          <w:tcPr>
            <w:tcW w:type="dxa" w:w="1568"/>
          </w:tcPr>
          <w:p>
            <w:pPr>
              <w:jc w:val="center"/>
            </w:pPr>
            <w:r/>
            <w:r>
              <w:rPr>
                <w:rFonts w:ascii="Times New Roman" w:hAnsi="Times New Roman"/>
                <w:sz w:val="18"/>
              </w:rPr>
              <w:t>0.15</w:t>
            </w:r>
          </w:p>
        </w:tc>
        <w:tc>
          <w:tcPr>
            <w:tcW w:type="dxa" w:w="1568"/>
          </w:tcPr>
          <w:p>
            <w:pPr>
              <w:jc w:val="center"/>
            </w:pPr>
            <w:r/>
            <w:r>
              <w:rPr>
                <w:rFonts w:ascii="Times New Roman" w:hAnsi="Times New Roman"/>
                <w:sz w:val="18"/>
              </w:rPr>
              <w:t>0.15</w:t>
            </w:r>
          </w:p>
        </w:tc>
        <w:tc>
          <w:tcPr>
            <w:tcW w:type="dxa" w:w="1568"/>
          </w:tcPr>
          <w:p>
            <w:pPr>
              <w:jc w:val="center"/>
            </w:pPr>
            <w:r/>
            <w:r>
              <w:rPr>
                <w:rFonts w:ascii="Times New Roman" w:hAnsi="Times New Roman"/>
                <w:sz w:val="18"/>
              </w:rPr>
              <w:t>10.73</w:t>
            </w:r>
          </w:p>
        </w:tc>
        <w:tc>
          <w:tcPr>
            <w:tcW w:type="dxa" w:w="1568"/>
          </w:tcPr>
          <w:p>
            <w:pPr>
              <w:jc w:val="center"/>
            </w:pPr>
            <w:r/>
            <w:r>
              <w:rPr>
                <w:rFonts w:ascii="Times New Roman" w:hAnsi="Times New Roman"/>
                <w:sz w:val="18"/>
              </w:rPr>
              <w:t>1.610</w:t>
            </w:r>
          </w:p>
        </w:tc>
      </w:tr>
      <w:tr>
        <w:tc>
          <w:tcPr>
            <w:tcW w:type="dxa" w:w="1568"/>
          </w:tcPr>
          <w:p>
            <w:pPr>
              <w:jc w:val="center"/>
            </w:pPr>
            <w:r/>
            <w:r>
              <w:rPr>
                <w:rFonts w:ascii="Times New Roman" w:hAnsi="Times New Roman"/>
                <w:sz w:val="18"/>
              </w:rPr>
              <w:t>1:1</w:t>
            </w:r>
          </w:p>
        </w:tc>
        <w:tc>
          <w:tcPr>
            <w:tcW w:type="dxa" w:w="1568"/>
          </w:tcPr>
          <w:p>
            <w:pPr>
              <w:jc w:val="center"/>
            </w:pPr>
            <w:r/>
            <w:r>
              <w:rPr>
                <w:rFonts w:ascii="Times New Roman" w:hAnsi="Times New Roman"/>
                <w:sz w:val="18"/>
              </w:rPr>
              <w:t>0.4</w:t>
            </w:r>
          </w:p>
        </w:tc>
        <w:tc>
          <w:tcPr>
            <w:tcW w:type="dxa" w:w="1568"/>
          </w:tcPr>
          <w:p>
            <w:pPr>
              <w:jc w:val="center"/>
            </w:pPr>
            <w:r/>
            <w:r>
              <w:rPr>
                <w:rFonts w:ascii="Times New Roman" w:hAnsi="Times New Roman"/>
                <w:sz w:val="18"/>
              </w:rPr>
              <w:t>0.20</w:t>
            </w:r>
          </w:p>
        </w:tc>
        <w:tc>
          <w:tcPr>
            <w:tcW w:type="dxa" w:w="1568"/>
          </w:tcPr>
          <w:p>
            <w:pPr>
              <w:jc w:val="center"/>
            </w:pPr>
            <w:r/>
            <w:r>
              <w:rPr>
                <w:rFonts w:ascii="Times New Roman" w:hAnsi="Times New Roman"/>
                <w:sz w:val="18"/>
              </w:rPr>
              <w:t>0.20</w:t>
            </w:r>
          </w:p>
        </w:tc>
        <w:tc>
          <w:tcPr>
            <w:tcW w:type="dxa" w:w="1568"/>
          </w:tcPr>
          <w:p>
            <w:pPr>
              <w:jc w:val="center"/>
            </w:pPr>
            <w:r/>
            <w:r>
              <w:rPr>
                <w:rFonts w:ascii="Times New Roman" w:hAnsi="Times New Roman"/>
                <w:sz w:val="18"/>
              </w:rPr>
              <w:t>8.04</w:t>
            </w:r>
          </w:p>
        </w:tc>
        <w:tc>
          <w:tcPr>
            <w:tcW w:type="dxa" w:w="1568"/>
          </w:tcPr>
          <w:p>
            <w:pPr>
              <w:jc w:val="center"/>
            </w:pPr>
            <w:r/>
            <w:r>
              <w:rPr>
                <w:rFonts w:ascii="Times New Roman" w:hAnsi="Times New Roman"/>
                <w:sz w:val="18"/>
              </w:rPr>
              <w:t>1.608</w:t>
            </w:r>
          </w:p>
        </w:tc>
      </w:tr>
      <w:tr>
        <w:tc>
          <w:tcPr>
            <w:tcW w:type="dxa" w:w="1568"/>
          </w:tcPr>
          <w:p>
            <w:pPr>
              <w:jc w:val="center"/>
            </w:pPr>
            <w:r/>
            <w:r>
              <w:rPr>
                <w:rFonts w:ascii="Times New Roman" w:hAnsi="Times New Roman"/>
                <w:sz w:val="18"/>
              </w:rPr>
              <w:t>1:4</w:t>
            </w:r>
          </w:p>
        </w:tc>
        <w:tc>
          <w:tcPr>
            <w:tcW w:type="dxa" w:w="1568"/>
          </w:tcPr>
          <w:p>
            <w:pPr>
              <w:jc w:val="center"/>
            </w:pPr>
            <w:r/>
            <w:r>
              <w:rPr>
                <w:rFonts w:ascii="Times New Roman" w:hAnsi="Times New Roman"/>
                <w:sz w:val="18"/>
              </w:rPr>
              <w:t>0.1</w:t>
            </w:r>
          </w:p>
        </w:tc>
        <w:tc>
          <w:tcPr>
            <w:tcW w:type="dxa" w:w="1568"/>
          </w:tcPr>
          <w:p>
            <w:pPr>
              <w:jc w:val="center"/>
            </w:pPr>
            <w:r/>
            <w:r>
              <w:rPr>
                <w:rFonts w:ascii="Times New Roman" w:hAnsi="Times New Roman"/>
                <w:sz w:val="18"/>
              </w:rPr>
              <w:t>0.02</w:t>
            </w:r>
          </w:p>
        </w:tc>
        <w:tc>
          <w:tcPr>
            <w:tcW w:type="dxa" w:w="1568"/>
          </w:tcPr>
          <w:p>
            <w:pPr>
              <w:jc w:val="center"/>
            </w:pPr>
            <w:r/>
            <w:r>
              <w:rPr>
                <w:rFonts w:ascii="Times New Roman" w:hAnsi="Times New Roman"/>
                <w:sz w:val="18"/>
              </w:rPr>
              <w:t>0.08</w:t>
            </w:r>
          </w:p>
        </w:tc>
        <w:tc>
          <w:tcPr>
            <w:tcW w:type="dxa" w:w="1568"/>
          </w:tcPr>
          <w:p>
            <w:pPr>
              <w:jc w:val="center"/>
            </w:pPr>
            <w:r/>
            <w:r>
              <w:rPr>
                <w:rFonts w:ascii="Times New Roman" w:hAnsi="Times New Roman"/>
                <w:sz w:val="18"/>
              </w:rPr>
              <w:t>32.74</w:t>
            </w:r>
          </w:p>
        </w:tc>
        <w:tc>
          <w:tcPr>
            <w:tcW w:type="dxa" w:w="1568"/>
          </w:tcPr>
          <w:p>
            <w:pPr>
              <w:jc w:val="center"/>
            </w:pPr>
            <w:r/>
            <w:r>
              <w:rPr>
                <w:rFonts w:ascii="Times New Roman" w:hAnsi="Times New Roman"/>
                <w:sz w:val="18"/>
              </w:rPr>
              <w:t>0.655</w:t>
            </w:r>
          </w:p>
        </w:tc>
      </w:tr>
      <w:tr>
        <w:tc>
          <w:tcPr>
            <w:tcW w:type="dxa" w:w="1568"/>
          </w:tcPr>
          <w:p>
            <w:pPr>
              <w:jc w:val="center"/>
            </w:pPr>
            <w:r/>
            <w:r>
              <w:rPr>
                <w:rFonts w:ascii="Times New Roman" w:hAnsi="Times New Roman"/>
                <w:sz w:val="18"/>
              </w:rPr>
              <w:t>1:4</w:t>
            </w:r>
          </w:p>
        </w:tc>
        <w:tc>
          <w:tcPr>
            <w:tcW w:type="dxa" w:w="1568"/>
          </w:tcPr>
          <w:p>
            <w:pPr>
              <w:jc w:val="center"/>
            </w:pPr>
            <w:r/>
            <w:r>
              <w:rPr>
                <w:rFonts w:ascii="Times New Roman" w:hAnsi="Times New Roman"/>
                <w:sz w:val="18"/>
              </w:rPr>
              <w:t>0.2</w:t>
            </w:r>
          </w:p>
        </w:tc>
        <w:tc>
          <w:tcPr>
            <w:tcW w:type="dxa" w:w="1568"/>
          </w:tcPr>
          <w:p>
            <w:pPr>
              <w:jc w:val="center"/>
            </w:pPr>
            <w:r/>
            <w:r>
              <w:rPr>
                <w:rFonts w:ascii="Times New Roman" w:hAnsi="Times New Roman"/>
                <w:sz w:val="18"/>
              </w:rPr>
              <w:t>0.04</w:t>
            </w:r>
          </w:p>
        </w:tc>
        <w:tc>
          <w:tcPr>
            <w:tcW w:type="dxa" w:w="1568"/>
          </w:tcPr>
          <w:p>
            <w:pPr>
              <w:jc w:val="center"/>
            </w:pPr>
            <w:r/>
            <w:r>
              <w:rPr>
                <w:rFonts w:ascii="Times New Roman" w:hAnsi="Times New Roman"/>
                <w:sz w:val="18"/>
              </w:rPr>
              <w:t>0.16</w:t>
            </w:r>
          </w:p>
        </w:tc>
        <w:tc>
          <w:tcPr>
            <w:tcW w:type="dxa" w:w="1568"/>
          </w:tcPr>
          <w:p>
            <w:pPr>
              <w:jc w:val="center"/>
            </w:pPr>
            <w:r/>
            <w:r>
              <w:rPr>
                <w:rFonts w:ascii="Times New Roman" w:hAnsi="Times New Roman"/>
                <w:sz w:val="18"/>
              </w:rPr>
              <w:t>17.14</w:t>
            </w:r>
          </w:p>
        </w:tc>
        <w:tc>
          <w:tcPr>
            <w:tcW w:type="dxa" w:w="1568"/>
          </w:tcPr>
          <w:p>
            <w:pPr>
              <w:jc w:val="center"/>
            </w:pPr>
            <w:r/>
            <w:r>
              <w:rPr>
                <w:rFonts w:ascii="Times New Roman" w:hAnsi="Times New Roman"/>
                <w:sz w:val="18"/>
              </w:rPr>
              <w:t>0.686</w:t>
            </w:r>
          </w:p>
        </w:tc>
      </w:tr>
      <w:tr>
        <w:tc>
          <w:tcPr>
            <w:tcW w:type="dxa" w:w="1568"/>
          </w:tcPr>
          <w:p>
            <w:pPr>
              <w:jc w:val="center"/>
            </w:pPr>
            <w:r/>
            <w:r>
              <w:rPr>
                <w:rFonts w:ascii="Times New Roman" w:hAnsi="Times New Roman"/>
                <w:sz w:val="18"/>
              </w:rPr>
              <w:t>1:4</w:t>
            </w:r>
          </w:p>
        </w:tc>
        <w:tc>
          <w:tcPr>
            <w:tcW w:type="dxa" w:w="1568"/>
          </w:tcPr>
          <w:p>
            <w:pPr>
              <w:jc w:val="center"/>
            </w:pPr>
            <w:r/>
            <w:r>
              <w:rPr>
                <w:rFonts w:ascii="Times New Roman" w:hAnsi="Times New Roman"/>
                <w:sz w:val="18"/>
              </w:rPr>
              <w:t>0.3</w:t>
            </w:r>
          </w:p>
        </w:tc>
        <w:tc>
          <w:tcPr>
            <w:tcW w:type="dxa" w:w="1568"/>
          </w:tcPr>
          <w:p>
            <w:pPr>
              <w:jc w:val="center"/>
            </w:pPr>
            <w:r/>
            <w:r>
              <w:rPr>
                <w:rFonts w:ascii="Times New Roman" w:hAnsi="Times New Roman"/>
                <w:sz w:val="18"/>
              </w:rPr>
              <w:t>0.06</w:t>
            </w:r>
          </w:p>
        </w:tc>
        <w:tc>
          <w:tcPr>
            <w:tcW w:type="dxa" w:w="1568"/>
          </w:tcPr>
          <w:p>
            <w:pPr>
              <w:jc w:val="center"/>
            </w:pPr>
            <w:r/>
            <w:r>
              <w:rPr>
                <w:rFonts w:ascii="Times New Roman" w:hAnsi="Times New Roman"/>
                <w:sz w:val="18"/>
              </w:rPr>
              <w:t>0.24</w:t>
            </w:r>
          </w:p>
        </w:tc>
        <w:tc>
          <w:tcPr>
            <w:tcW w:type="dxa" w:w="1568"/>
          </w:tcPr>
          <w:p>
            <w:pPr>
              <w:jc w:val="center"/>
            </w:pPr>
            <w:r/>
            <w:r>
              <w:rPr>
                <w:rFonts w:ascii="Times New Roman" w:hAnsi="Times New Roman"/>
                <w:sz w:val="18"/>
              </w:rPr>
              <w:t>10.93</w:t>
            </w:r>
          </w:p>
        </w:tc>
        <w:tc>
          <w:tcPr>
            <w:tcW w:type="dxa" w:w="1568"/>
          </w:tcPr>
          <w:p>
            <w:pPr>
              <w:jc w:val="center"/>
            </w:pPr>
            <w:r/>
            <w:r>
              <w:rPr>
                <w:rFonts w:ascii="Times New Roman" w:hAnsi="Times New Roman"/>
                <w:sz w:val="18"/>
              </w:rPr>
              <w:t>0.656</w:t>
            </w:r>
          </w:p>
        </w:tc>
      </w:tr>
      <w:tr>
        <w:tc>
          <w:tcPr>
            <w:tcW w:type="dxa" w:w="1568"/>
          </w:tcPr>
          <w:p>
            <w:pPr>
              <w:jc w:val="center"/>
            </w:pPr>
            <w:r/>
            <w:r>
              <w:rPr>
                <w:rFonts w:ascii="Times New Roman" w:hAnsi="Times New Roman"/>
                <w:sz w:val="18"/>
              </w:rPr>
              <w:t>1:4</w:t>
            </w:r>
          </w:p>
        </w:tc>
        <w:tc>
          <w:tcPr>
            <w:tcW w:type="dxa" w:w="1568"/>
          </w:tcPr>
          <w:p>
            <w:pPr>
              <w:jc w:val="center"/>
            </w:pPr>
            <w:r/>
            <w:r>
              <w:rPr>
                <w:rFonts w:ascii="Times New Roman" w:hAnsi="Times New Roman"/>
                <w:sz w:val="18"/>
              </w:rPr>
              <w:t>0.4</w:t>
            </w:r>
          </w:p>
        </w:tc>
        <w:tc>
          <w:tcPr>
            <w:tcW w:type="dxa" w:w="1568"/>
          </w:tcPr>
          <w:p>
            <w:pPr>
              <w:jc w:val="center"/>
            </w:pPr>
            <w:r/>
            <w:r>
              <w:rPr>
                <w:rFonts w:ascii="Times New Roman" w:hAnsi="Times New Roman"/>
                <w:sz w:val="18"/>
              </w:rPr>
              <w:t>0.08</w:t>
            </w:r>
          </w:p>
        </w:tc>
        <w:tc>
          <w:tcPr>
            <w:tcW w:type="dxa" w:w="1568"/>
          </w:tcPr>
          <w:p>
            <w:pPr>
              <w:jc w:val="center"/>
            </w:pPr>
            <w:r/>
            <w:r>
              <w:rPr>
                <w:rFonts w:ascii="Times New Roman" w:hAnsi="Times New Roman"/>
                <w:sz w:val="18"/>
              </w:rPr>
              <w:t>0.32</w:t>
            </w:r>
          </w:p>
        </w:tc>
        <w:tc>
          <w:tcPr>
            <w:tcW w:type="dxa" w:w="1568"/>
          </w:tcPr>
          <w:p>
            <w:pPr>
              <w:jc w:val="center"/>
            </w:pPr>
            <w:r/>
            <w:r>
              <w:rPr>
                <w:rFonts w:ascii="Times New Roman" w:hAnsi="Times New Roman"/>
                <w:sz w:val="18"/>
              </w:rPr>
              <w:t>7.97</w:t>
            </w:r>
          </w:p>
        </w:tc>
        <w:tc>
          <w:tcPr>
            <w:tcW w:type="dxa" w:w="1568"/>
          </w:tcPr>
          <w:p>
            <w:pPr>
              <w:jc w:val="center"/>
            </w:pPr>
            <w:r/>
            <w:r>
              <w:rPr>
                <w:rFonts w:ascii="Times New Roman" w:hAnsi="Times New Roman"/>
                <w:sz w:val="18"/>
              </w:rPr>
              <w:t>0.638</w:t>
            </w:r>
          </w:p>
        </w:tc>
      </w:tr>
    </w:tbl>
    <w:p>
      <w:pPr>
        <w:spacing w:after="40"/>
      </w:pPr>
    </w:p>
    <w:p>
      <w:pPr>
        <w:spacing w:after="200"/>
        <w:jc w:val="center"/>
      </w:pPr>
      <w:r>
        <w:rPr>
          <w:rFonts w:ascii="Times New Roman" w:hAnsi="Times New Roman"/>
          <w:b/>
          <w:sz w:val="20"/>
        </w:rPr>
        <w:t>Table S5. Two-phase flow experimental data. F_O = C_oil × Q_oil. Single-phase reference: F_O,ref = 3.187 ± 0.15 μg/min (triplicate).</w:t>
      </w:r>
    </w:p>
    <w:p>
      <w:pPr>
        <w:jc w:val="center"/>
      </w:pPr>
      <w:r>
        <w:drawing>
          <wp:inline xmlns:a="http://schemas.openxmlformats.org/drawingml/2006/main" xmlns:pic="http://schemas.openxmlformats.org/drawingml/2006/picture">
            <wp:extent cx="4572000" cy="1606924"/>
            <wp:docPr id="2" name="Picture 2"/>
            <wp:cNvGraphicFramePr>
              <a:graphicFrameLocks noChangeAspect="1"/>
            </wp:cNvGraphicFramePr>
            <a:graphic>
              <a:graphicData uri="http://schemas.openxmlformats.org/drawingml/2006/picture">
                <pic:pic>
                  <pic:nvPicPr>
                    <pic:cNvPr id="0" name="Figure_S3.png"/>
                    <pic:cNvPicPr/>
                  </pic:nvPicPr>
                  <pic:blipFill>
                    <a:blip r:embed="rId10"/>
                    <a:stretch>
                      <a:fillRect/>
                    </a:stretch>
                  </pic:blipFill>
                  <pic:spPr>
                    <a:xfrm>
                      <a:off x="0" y="0"/>
                      <a:ext cx="4572000" cy="1606924"/>
                    </a:xfrm>
                    <a:prstGeom prst="rect"/>
                  </pic:spPr>
                </pic:pic>
              </a:graphicData>
            </a:graphic>
          </wp:inline>
        </w:drawing>
      </w:r>
    </w:p>
    <w:p>
      <w:pPr>
        <w:spacing w:after="200"/>
        <w:jc w:val="center"/>
      </w:pPr>
      <w:r>
        <w:rPr>
          <w:rFonts w:ascii="Times New Roman" w:hAnsi="Times New Roman"/>
          <w:b/>
          <w:sz w:val="20"/>
        </w:rPr>
        <w:t>Figure S2. Two-phase flow raw data visualization. (a) C_oil vs. Q_total, illustrating the dilution artifact. (b) F_O vs. Q_total, showing approximate constancy within each OWR.</w:t>
      </w:r>
    </w:p>
    <w:p>
      <w:r>
        <w:br w:type="page"/>
      </w:r>
    </w:p>
    <w:p>
      <w:pPr>
        <w:pStyle w:val="Heading2"/>
        <w:spacing w:before="280"/>
      </w:pPr>
      <w:r>
        <w:t>S5. Piecewise ADE Model: Extended Derivations</w:t>
      </w:r>
    </w:p>
    <w:p>
      <w:r>
        <w:rPr>
          <w:rFonts w:ascii="Times New Roman" w:hAnsi="Times New Roman"/>
          <w:sz w:val="22"/>
        </w:rPr>
        <w:t>This section provides the complete derivations of the working equations used in the model (Eq. 1, main text, Section 3.3). The main text presents the key equations; here we provide the intermediate steps for readers who wish to verify or re-implement the model.</w:t>
      </w:r>
    </w:p>
    <w:p>
      <w:pPr>
        <w:pStyle w:val="Heading3"/>
        <w:spacing w:before="200"/>
      </w:pPr>
      <w:r>
        <w:t>S5.1. From ADE to Dimensionless Variable z</w:t>
      </w:r>
    </w:p>
    <w:p>
      <w:r>
        <w:rPr>
          <w:rFonts w:ascii="Times New Roman" w:hAnsi="Times New Roman"/>
          <w:sz w:val="22"/>
        </w:rPr>
        <w:t>The one-dimensional advection-dispersion equation (∂C/∂t + v·∂C/∂x = D·∂²C/∂x²) has the classical instantaneous-pulse solution (van Genuchten &amp; Alves, 1982):</w:t>
      </w:r>
    </w:p>
    <w:p>
      <w:pPr>
        <w:spacing w:before="80" w:after="80"/>
        <w:jc w:val="center"/>
      </w:pPr>
      <w:r>
        <w:rPr>
          <w:rFonts w:ascii="Times New Roman" w:hAnsi="Times New Roman"/>
          <w:i/>
          <w:sz w:val="22"/>
        </w:rPr>
        <w:t>C(x, t) = (M/A) × (1/√(4πDt)) × exp(−(x − vt)² / (4Dt))</w:t>
      </w:r>
    </w:p>
    <w:p>
      <w:r>
        <w:rPr>
          <w:rFonts w:ascii="Times New Roman" w:hAnsi="Times New Roman"/>
          <w:sz w:val="22"/>
        </w:rPr>
        <w:t>For tube flow, the cross-sectional area A = πd²/4, the flow velocity v = Q/A = 4Q/(πd²), and the dispersion coefficient D = α·v = 4αQ/(πd²). Substituting these and simplifying:</w:t>
      </w:r>
    </w:p>
    <w:p>
      <w:pPr>
        <w:spacing w:before="80" w:after="80"/>
        <w:jc w:val="center"/>
      </w:pPr>
      <w:r>
        <w:rPr>
          <w:rFonts w:ascii="Times New Roman" w:hAnsi="Times New Roman"/>
          <w:i/>
          <w:sz w:val="22"/>
        </w:rPr>
        <w:t>C(x, t) = (4M/πd²) × 1/√(16παQt/πd² × 4) × exp(−(x − 4Qt/(πd²))² / (16αQt/(πd²)))</w:t>
      </w:r>
    </w:p>
    <w:p>
      <w:r>
        <w:rPr>
          <w:rFonts w:ascii="Times New Roman" w:hAnsi="Times New Roman"/>
          <w:sz w:val="22"/>
        </w:rPr>
        <w:t>Multiplying numerator and denominator by πd² to obtain a clean expression yields the working variable:</w:t>
      </w:r>
    </w:p>
    <w:p>
      <w:pPr>
        <w:spacing w:before="80" w:after="80"/>
        <w:jc w:val="center"/>
      </w:pPr>
      <w:r>
        <w:rPr>
          <w:rFonts w:ascii="Times New Roman" w:hAnsi="Times New Roman"/>
          <w:i/>
          <w:sz w:val="22"/>
        </w:rPr>
        <w:t>z = (xπd² − 4Qt) / √(16αQtπd²)</w:t>
      </w:r>
    </w:p>
    <w:p>
      <w:r>
        <w:rPr>
          <w:rFonts w:ascii="Times New Roman" w:hAnsi="Times New Roman"/>
          <w:sz w:val="22"/>
        </w:rPr>
        <w:t>With this substitution, the Gaussian and erfc components take the compact forms given in Eq. (1) of the main text.</w:t>
      </w:r>
    </w:p>
    <w:p>
      <w:r>
        <w:rPr>
          <w:rFonts w:ascii="Times New Roman" w:hAnsi="Times New Roman"/>
          <w:i/>
          <w:sz w:val="18"/>
        </w:rPr>
        <w:t>Constants: x = tubing length = 100 mm, d = tubing inner diameter = 5 mm. The z variable is dimensionless when expressed in consistent units; in the fitted form, units of mm, mL, and min are used throughout.</w:t>
      </w:r>
    </w:p>
    <w:p>
      <w:pPr>
        <w:pStyle w:val="Heading3"/>
        <w:spacing w:before="200"/>
      </w:pPr>
      <w:r>
        <w:t>S5.2. Tanh Blending and C¹ Continuity</w:t>
      </w:r>
    </w:p>
    <w:p>
      <w:r>
        <w:rPr>
          <w:rFonts w:ascii="Times New Roman" w:hAnsi="Times New Roman"/>
          <w:sz w:val="22"/>
        </w:rPr>
        <w:t>The weight function w(t) = ½[1 + tanh((t₀ − t)/σ)] satisfies w → 1 as t ≪ t₀ and w → 0 as t ≫ t₀. The first derivative is continuous everywhere:</w:t>
      </w:r>
    </w:p>
    <w:p>
      <w:pPr>
        <w:spacing w:before="80" w:after="80"/>
        <w:jc w:val="center"/>
      </w:pPr>
      <w:r>
        <w:rPr>
          <w:rFonts w:ascii="Times New Roman" w:hAnsi="Times New Roman"/>
          <w:i/>
          <w:sz w:val="22"/>
        </w:rPr>
        <w:t>w'(t) = −1/(2σ) × sech²((t₀ − t)/σ)</w:t>
      </w:r>
    </w:p>
    <w:p>
      <w:r>
        <w:rPr>
          <w:rFonts w:ascii="Times New Roman" w:hAnsi="Times New Roman"/>
          <w:sz w:val="22"/>
        </w:rPr>
        <w:t>Since both Crise(t) and Cfall(t) are themselves smooth functions, the blended function C(t) = w·Crise + (1−w)·Cfall is C¹-continuous, satisfying the requirement for gradient-based optimization (L-BFGS-B). The transition width σ controls the sharpness: at t = t₀ ± σ, w ≈ 0.5 ± 0.38; at t = t₀ ± 3σ, w ≈ 0.5 ± 0.50 (essentially the full transition).</w:t>
      </w:r>
    </w:p>
    <w:p>
      <w:pPr>
        <w:pStyle w:val="Heading3"/>
        <w:spacing w:before="200"/>
      </w:pPr>
      <w:r>
        <w:t>S5.3. Optimization Protocol Detail</w:t>
      </w:r>
    </w:p>
    <w:p>
      <w:r>
        <w:rPr>
          <w:rFonts w:ascii="Times New Roman" w:hAnsi="Times New Roman"/>
          <w:sz w:val="22"/>
        </w:rPr>
        <w:t>Stage 1 -- Differential Evolution (DE): Population size = 50 individuals; maximum generations = 2000; crossover rate CR = 0.9 (binomial crossover); mutation factor F adaptive in [0.5, 1.5] (rand/1/bin strategy); four independent random seeds (42, 123, 456, 789); Polish = True (L-BFGS-B local refinement of best candidate at termination). Parameter bounds are listed in Table S6.</w:t>
      </w:r>
    </w:p>
    <w:p>
      <w:r>
        <w:rPr>
          <w:rFonts w:ascii="Times New Roman" w:hAnsi="Times New Roman"/>
          <w:sz w:val="22"/>
        </w:rPr>
        <w:t>Stage 2 -- L-BFGS-B: The best DE solution serves as the initial guess. Maximum iterations = 20,000; function tolerance ftol = 1e-16; gradient tolerance gtol = 1e-16. Convergence was achieved within approximately 50-200 iterations from the DE starting point in all cases, reflecting DE effectiveness at locating the basin of the global minimum.</w:t>
      </w:r>
    </w:p>
    <w:p>
      <w:r>
        <w:rPr>
          <w:rFonts w:ascii="Times New Roman" w:hAnsi="Times New Roman"/>
          <w:sz w:val="22"/>
        </w:rPr>
        <w:t>Computational environment: Python 3.11, SciPy 1.11; single-core execution on a standard desktop workstation. Total wall time for the full two-stage fit (7 parameters, 21 data points) was approximately 15-30 s per random seed.</w:t>
      </w:r>
    </w:p>
    <w:p/>
    <w:tbl>
      <w:tblPr>
        <w:tblW w:type="auto" w:w="0"/>
        <w:tblLayout w:type="autofit"/>
        <w:tblLook w:firstColumn="1" w:firstRow="1" w:lastColumn="0" w:lastRow="0" w:noHBand="0" w:noVBand="1" w:val="04A0"/>
        <w:tblBorders>
          <w:top w:val="single" w:sz="12" w:space="0" w:color="000000"/>
          <w:bottom w:val="single" w:sz="12" w:space="0" w:color="000000"/>
          <w:insideH w:val="none" w:sz="0" w:space="0" w:color="000000"/>
          <w:left w:val="none" w:sz="0" w:space="0" w:color="000000"/>
          <w:right w:val="none" w:sz="0" w:space="0" w:color="000000"/>
        </w:tblBorders>
      </w:tblPr>
      <w:tblGrid>
        <w:gridCol w:w="1568"/>
        <w:gridCol w:w="1568"/>
        <w:gridCol w:w="1568"/>
        <w:gridCol w:w="1568"/>
        <w:gridCol w:w="1568"/>
        <w:gridCol w:w="1568"/>
      </w:tblGrid>
      <w:tr>
        <w:tc>
          <w:tcPr>
            <w:tcW w:type="dxa" w:w="1568"/>
            <w:tcBorders>
              <w:bottom w:val="single" w:sz="4" w:space="0" w:color="000000"/>
            </w:tcBorders>
          </w:tcPr>
          <w:p>
            <w:pPr>
              <w:jc w:val="center"/>
            </w:pPr>
            <w:r/>
            <w:r>
              <w:rPr>
                <w:rFonts w:ascii="Times New Roman" w:hAnsi="Times New Roman"/>
                <w:b/>
                <w:sz w:val="18"/>
              </w:rPr>
              <w:t>Parameter</w:t>
            </w:r>
          </w:p>
        </w:tc>
        <w:tc>
          <w:tcPr>
            <w:tcW w:type="dxa" w:w="1568"/>
            <w:tcBorders>
              <w:bottom w:val="single" w:sz="4" w:space="0" w:color="000000"/>
            </w:tcBorders>
          </w:tcPr>
          <w:p>
            <w:pPr>
              <w:jc w:val="center"/>
            </w:pPr>
            <w:r/>
            <w:r>
              <w:rPr>
                <w:rFonts w:ascii="Times New Roman" w:hAnsi="Times New Roman"/>
                <w:b/>
                <w:sz w:val="18"/>
              </w:rPr>
              <w:t>Symbol</w:t>
            </w:r>
          </w:p>
        </w:tc>
        <w:tc>
          <w:tcPr>
            <w:tcW w:type="dxa" w:w="1568"/>
            <w:tcBorders>
              <w:bottom w:val="single" w:sz="4" w:space="0" w:color="000000"/>
            </w:tcBorders>
          </w:tcPr>
          <w:p>
            <w:pPr>
              <w:jc w:val="center"/>
            </w:pPr>
            <w:r/>
            <w:r>
              <w:rPr>
                <w:rFonts w:ascii="Times New Roman" w:hAnsi="Times New Roman"/>
                <w:b/>
                <w:sz w:val="18"/>
              </w:rPr>
              <w:t>Lower Bound</w:t>
            </w:r>
          </w:p>
        </w:tc>
        <w:tc>
          <w:tcPr>
            <w:tcW w:type="dxa" w:w="1568"/>
            <w:tcBorders>
              <w:bottom w:val="single" w:sz="4" w:space="0" w:color="000000"/>
            </w:tcBorders>
          </w:tcPr>
          <w:p>
            <w:pPr>
              <w:jc w:val="center"/>
            </w:pPr>
            <w:r/>
            <w:r>
              <w:rPr>
                <w:rFonts w:ascii="Times New Roman" w:hAnsi="Times New Roman"/>
                <w:b/>
                <w:sz w:val="18"/>
              </w:rPr>
              <w:t>Upper Bound</w:t>
            </w:r>
          </w:p>
        </w:tc>
        <w:tc>
          <w:tcPr>
            <w:tcW w:type="dxa" w:w="1568"/>
            <w:tcBorders>
              <w:bottom w:val="single" w:sz="4" w:space="0" w:color="000000"/>
            </w:tcBorders>
          </w:tcPr>
          <w:p>
            <w:pPr>
              <w:jc w:val="center"/>
            </w:pPr>
            <w:r/>
            <w:r>
              <w:rPr>
                <w:rFonts w:ascii="Times New Roman" w:hAnsi="Times New Roman"/>
                <w:b/>
                <w:sz w:val="18"/>
              </w:rPr>
              <w:t>Units</w:t>
            </w:r>
          </w:p>
        </w:tc>
        <w:tc>
          <w:tcPr>
            <w:tcW w:type="dxa" w:w="1568"/>
            <w:tcBorders>
              <w:bottom w:val="single" w:sz="4" w:space="0" w:color="000000"/>
            </w:tcBorders>
          </w:tcPr>
          <w:p>
            <w:pPr>
              <w:jc w:val="center"/>
            </w:pPr>
            <w:r/>
            <w:r>
              <w:rPr>
                <w:rFonts w:ascii="Times New Roman" w:hAnsi="Times New Roman"/>
                <w:b/>
                <w:sz w:val="18"/>
              </w:rPr>
              <w:t>Rationale</w:t>
            </w:r>
          </w:p>
        </w:tc>
      </w:tr>
      <w:tr>
        <w:tc>
          <w:tcPr>
            <w:tcW w:type="dxa" w:w="1568"/>
          </w:tcPr>
          <w:p>
            <w:pPr>
              <w:jc w:val="center"/>
            </w:pPr>
            <w:r/>
            <w:r>
              <w:rPr>
                <w:rFonts w:ascii="Times New Roman" w:hAnsi="Times New Roman"/>
                <w:sz w:val="18"/>
              </w:rPr>
              <w:t>Baseline</w:t>
            </w:r>
          </w:p>
        </w:tc>
        <w:tc>
          <w:tcPr>
            <w:tcW w:type="dxa" w:w="1568"/>
          </w:tcPr>
          <w:p>
            <w:pPr>
              <w:jc w:val="center"/>
            </w:pPr>
            <w:r/>
            <w:r>
              <w:rPr>
                <w:rFonts w:ascii="Times New Roman" w:hAnsi="Times New Roman"/>
                <w:sz w:val="18"/>
              </w:rPr>
              <w:t>c_bg</w:t>
            </w:r>
          </w:p>
        </w:tc>
        <w:tc>
          <w:tcPr>
            <w:tcW w:type="dxa" w:w="1568"/>
          </w:tcPr>
          <w:p>
            <w:pPr>
              <w:jc w:val="center"/>
            </w:pPr>
            <w:r/>
            <w:r>
              <w:rPr>
                <w:rFonts w:ascii="Times New Roman" w:hAnsi="Times New Roman"/>
                <w:sz w:val="18"/>
              </w:rPr>
              <w:t>0.0</w:t>
            </w:r>
          </w:p>
        </w:tc>
        <w:tc>
          <w:tcPr>
            <w:tcW w:type="dxa" w:w="1568"/>
          </w:tcPr>
          <w:p>
            <w:pPr>
              <w:jc w:val="center"/>
            </w:pPr>
            <w:r/>
            <w:r>
              <w:rPr>
                <w:rFonts w:ascii="Times New Roman" w:hAnsi="Times New Roman"/>
                <w:sz w:val="18"/>
              </w:rPr>
              <w:t>0.4</w:t>
            </w:r>
          </w:p>
        </w:tc>
        <w:tc>
          <w:tcPr>
            <w:tcW w:type="dxa" w:w="1568"/>
          </w:tcPr>
          <w:p>
            <w:pPr>
              <w:jc w:val="center"/>
            </w:pPr>
            <w:r/>
            <w:r>
              <w:rPr>
                <w:rFonts w:ascii="Times New Roman" w:hAnsi="Times New Roman"/>
                <w:sz w:val="18"/>
              </w:rPr>
              <w:t>—</w:t>
            </w:r>
          </w:p>
        </w:tc>
        <w:tc>
          <w:tcPr>
            <w:tcW w:type="dxa" w:w="1568"/>
          </w:tcPr>
          <w:p>
            <w:pPr>
              <w:jc w:val="center"/>
            </w:pPr>
            <w:r/>
            <w:r>
              <w:rPr>
                <w:rFonts w:ascii="Times New Roman" w:hAnsi="Times New Roman"/>
                <w:sz w:val="18"/>
              </w:rPr>
              <w:t>Non-negative; ≤ plateau level</w:t>
            </w:r>
          </w:p>
        </w:tc>
      </w:tr>
      <w:tr>
        <w:tc>
          <w:tcPr>
            <w:tcW w:type="dxa" w:w="1568"/>
          </w:tcPr>
          <w:p>
            <w:pPr>
              <w:jc w:val="center"/>
            </w:pPr>
            <w:r/>
            <w:r>
              <w:rPr>
                <w:rFonts w:ascii="Times New Roman" w:hAnsi="Times New Roman"/>
                <w:sz w:val="18"/>
              </w:rPr>
              <w:t>Pulse amplitude</w:t>
            </w:r>
          </w:p>
        </w:tc>
        <w:tc>
          <w:tcPr>
            <w:tcW w:type="dxa" w:w="1568"/>
          </w:tcPr>
          <w:p>
            <w:pPr>
              <w:jc w:val="center"/>
            </w:pPr>
            <w:r/>
            <w:r>
              <w:rPr>
                <w:rFonts w:ascii="Times New Roman" w:hAnsi="Times New Roman"/>
                <w:sz w:val="18"/>
              </w:rPr>
              <w:t>A</w:t>
            </w:r>
          </w:p>
        </w:tc>
        <w:tc>
          <w:tcPr>
            <w:tcW w:type="dxa" w:w="1568"/>
          </w:tcPr>
          <w:p>
            <w:pPr>
              <w:jc w:val="center"/>
            </w:pPr>
            <w:r/>
            <w:r>
              <w:rPr>
                <w:rFonts w:ascii="Times New Roman" w:hAnsi="Times New Roman"/>
                <w:sz w:val="18"/>
              </w:rPr>
              <w:t>0.1</w:t>
            </w:r>
          </w:p>
        </w:tc>
        <w:tc>
          <w:tcPr>
            <w:tcW w:type="dxa" w:w="1568"/>
          </w:tcPr>
          <w:p>
            <w:pPr>
              <w:jc w:val="center"/>
            </w:pPr>
            <w:r/>
            <w:r>
              <w:rPr>
                <w:rFonts w:ascii="Times New Roman" w:hAnsi="Times New Roman"/>
                <w:sz w:val="18"/>
              </w:rPr>
              <w:t>10⁶</w:t>
            </w:r>
          </w:p>
        </w:tc>
        <w:tc>
          <w:tcPr>
            <w:tcW w:type="dxa" w:w="1568"/>
          </w:tcPr>
          <w:p>
            <w:pPr>
              <w:jc w:val="center"/>
            </w:pPr>
            <w:r/>
            <w:r>
              <w:rPr>
                <w:rFonts w:ascii="Times New Roman" w:hAnsi="Times New Roman"/>
                <w:sz w:val="18"/>
              </w:rPr>
              <w:t>—</w:t>
            </w:r>
          </w:p>
        </w:tc>
        <w:tc>
          <w:tcPr>
            <w:tcW w:type="dxa" w:w="1568"/>
          </w:tcPr>
          <w:p>
            <w:pPr>
              <w:jc w:val="center"/>
            </w:pPr>
            <w:r/>
            <w:r>
              <w:rPr>
                <w:rFonts w:ascii="Times New Roman" w:hAnsi="Times New Roman"/>
                <w:sz w:val="18"/>
              </w:rPr>
              <w:t>Positive; wide exploratory range</w:t>
            </w:r>
          </w:p>
        </w:tc>
      </w:tr>
      <w:tr>
        <w:tc>
          <w:tcPr>
            <w:tcW w:type="dxa" w:w="1568"/>
          </w:tcPr>
          <w:p>
            <w:pPr>
              <w:jc w:val="center"/>
            </w:pPr>
            <w:r/>
            <w:r>
              <w:rPr>
                <w:rFonts w:ascii="Times New Roman" w:hAnsi="Times New Roman"/>
                <w:sz w:val="18"/>
              </w:rPr>
              <w:t>Tail amplitude</w:t>
            </w:r>
          </w:p>
        </w:tc>
        <w:tc>
          <w:tcPr>
            <w:tcW w:type="dxa" w:w="1568"/>
          </w:tcPr>
          <w:p>
            <w:pPr>
              <w:jc w:val="center"/>
            </w:pPr>
            <w:r/>
            <w:r>
              <w:rPr>
                <w:rFonts w:ascii="Times New Roman" w:hAnsi="Times New Roman"/>
                <w:sz w:val="18"/>
              </w:rPr>
              <w:t>a</w:t>
            </w:r>
          </w:p>
        </w:tc>
        <w:tc>
          <w:tcPr>
            <w:tcW w:type="dxa" w:w="1568"/>
          </w:tcPr>
          <w:p>
            <w:pPr>
              <w:jc w:val="center"/>
            </w:pPr>
            <w:r/>
            <w:r>
              <w:rPr>
                <w:rFonts w:ascii="Times New Roman" w:hAnsi="Times New Roman"/>
                <w:sz w:val="18"/>
              </w:rPr>
              <w:t>0.1</w:t>
            </w:r>
          </w:p>
        </w:tc>
        <w:tc>
          <w:tcPr>
            <w:tcW w:type="dxa" w:w="1568"/>
          </w:tcPr>
          <w:p>
            <w:pPr>
              <w:jc w:val="center"/>
            </w:pPr>
            <w:r/>
            <w:r>
              <w:rPr>
                <w:rFonts w:ascii="Times New Roman" w:hAnsi="Times New Roman"/>
                <w:sz w:val="18"/>
              </w:rPr>
              <w:t>50.0</w:t>
            </w:r>
          </w:p>
        </w:tc>
        <w:tc>
          <w:tcPr>
            <w:tcW w:type="dxa" w:w="1568"/>
          </w:tcPr>
          <w:p>
            <w:pPr>
              <w:jc w:val="center"/>
            </w:pPr>
            <w:r/>
            <w:r>
              <w:rPr>
                <w:rFonts w:ascii="Times New Roman" w:hAnsi="Times New Roman"/>
                <w:sz w:val="18"/>
              </w:rPr>
              <w:t>—</w:t>
            </w:r>
          </w:p>
        </w:tc>
        <w:tc>
          <w:tcPr>
            <w:tcW w:type="dxa" w:w="1568"/>
          </w:tcPr>
          <w:p>
            <w:pPr>
              <w:jc w:val="center"/>
            </w:pPr>
            <w:r/>
            <w:r>
              <w:rPr>
                <w:rFonts w:ascii="Times New Roman" w:hAnsi="Times New Roman"/>
                <w:sz w:val="18"/>
              </w:rPr>
              <w:t>Positive; prevents degenerate tail</w:t>
            </w:r>
          </w:p>
        </w:tc>
      </w:tr>
      <w:tr>
        <w:tc>
          <w:tcPr>
            <w:tcW w:type="dxa" w:w="1568"/>
          </w:tcPr>
          <w:p>
            <w:pPr>
              <w:jc w:val="center"/>
            </w:pPr>
            <w:r/>
            <w:r>
              <w:rPr>
                <w:rFonts w:ascii="Times New Roman" w:hAnsi="Times New Roman"/>
                <w:sz w:val="18"/>
              </w:rPr>
              <w:t>Dispersivity</w:t>
            </w:r>
          </w:p>
        </w:tc>
        <w:tc>
          <w:tcPr>
            <w:tcW w:type="dxa" w:w="1568"/>
          </w:tcPr>
          <w:p>
            <w:pPr>
              <w:jc w:val="center"/>
            </w:pPr>
            <w:r/>
            <w:r>
              <w:rPr>
                <w:rFonts w:ascii="Times New Roman" w:hAnsi="Times New Roman"/>
                <w:sz w:val="18"/>
              </w:rPr>
              <w:t>α</w:t>
            </w:r>
          </w:p>
        </w:tc>
        <w:tc>
          <w:tcPr>
            <w:tcW w:type="dxa" w:w="1568"/>
          </w:tcPr>
          <w:p>
            <w:pPr>
              <w:jc w:val="center"/>
            </w:pPr>
            <w:r/>
            <w:r>
              <w:rPr>
                <w:rFonts w:ascii="Times New Roman" w:hAnsi="Times New Roman"/>
                <w:sz w:val="18"/>
              </w:rPr>
              <w:t>0.01</w:t>
            </w:r>
          </w:p>
        </w:tc>
        <w:tc>
          <w:tcPr>
            <w:tcW w:type="dxa" w:w="1568"/>
          </w:tcPr>
          <w:p>
            <w:pPr>
              <w:jc w:val="center"/>
            </w:pPr>
            <w:r/>
            <w:r>
              <w:rPr>
                <w:rFonts w:ascii="Times New Roman" w:hAnsi="Times New Roman"/>
                <w:sz w:val="18"/>
              </w:rPr>
              <w:t>10⁵</w:t>
            </w:r>
          </w:p>
        </w:tc>
        <w:tc>
          <w:tcPr>
            <w:tcW w:type="dxa" w:w="1568"/>
          </w:tcPr>
          <w:p>
            <w:pPr>
              <w:jc w:val="center"/>
            </w:pPr>
            <w:r/>
            <w:r>
              <w:rPr>
                <w:rFonts w:ascii="Times New Roman" w:hAnsi="Times New Roman"/>
                <w:sz w:val="18"/>
              </w:rPr>
              <w:t>mm</w:t>
            </w:r>
          </w:p>
        </w:tc>
        <w:tc>
          <w:tcPr>
            <w:tcW w:type="dxa" w:w="1568"/>
          </w:tcPr>
          <w:p>
            <w:pPr>
              <w:jc w:val="center"/>
            </w:pPr>
            <w:r/>
            <w:r>
              <w:rPr>
                <w:rFonts w:ascii="Times New Roman" w:hAnsi="Times New Roman"/>
                <w:sz w:val="18"/>
              </w:rPr>
              <w:t>Positive; wide range for fitting</w:t>
            </w:r>
          </w:p>
        </w:tc>
      </w:tr>
      <w:tr>
        <w:tc>
          <w:tcPr>
            <w:tcW w:type="dxa" w:w="1568"/>
          </w:tcPr>
          <w:p>
            <w:pPr>
              <w:jc w:val="center"/>
            </w:pPr>
            <w:r/>
            <w:r>
              <w:rPr>
                <w:rFonts w:ascii="Times New Roman" w:hAnsi="Times New Roman"/>
                <w:sz w:val="18"/>
              </w:rPr>
              <w:t>Flow rate</w:t>
            </w:r>
          </w:p>
        </w:tc>
        <w:tc>
          <w:tcPr>
            <w:tcW w:type="dxa" w:w="1568"/>
          </w:tcPr>
          <w:p>
            <w:pPr>
              <w:jc w:val="center"/>
            </w:pPr>
            <w:r/>
            <w:r>
              <w:rPr>
                <w:rFonts w:ascii="Times New Roman" w:hAnsi="Times New Roman"/>
                <w:sz w:val="18"/>
              </w:rPr>
              <w:t>Q</w:t>
            </w:r>
          </w:p>
        </w:tc>
        <w:tc>
          <w:tcPr>
            <w:tcW w:type="dxa" w:w="1568"/>
          </w:tcPr>
          <w:p>
            <w:pPr>
              <w:jc w:val="center"/>
            </w:pPr>
            <w:r/>
            <w:r>
              <w:rPr>
                <w:rFonts w:ascii="Times New Roman" w:hAnsi="Times New Roman"/>
                <w:sz w:val="18"/>
              </w:rPr>
              <w:t>10.0</w:t>
            </w:r>
          </w:p>
        </w:tc>
        <w:tc>
          <w:tcPr>
            <w:tcW w:type="dxa" w:w="1568"/>
          </w:tcPr>
          <w:p>
            <w:pPr>
              <w:jc w:val="center"/>
            </w:pPr>
            <w:r/>
            <w:r>
              <w:rPr>
                <w:rFonts w:ascii="Times New Roman" w:hAnsi="Times New Roman"/>
                <w:sz w:val="18"/>
              </w:rPr>
              <w:t>5000.0</w:t>
            </w:r>
          </w:p>
        </w:tc>
        <w:tc>
          <w:tcPr>
            <w:tcW w:type="dxa" w:w="1568"/>
          </w:tcPr>
          <w:p>
            <w:pPr>
              <w:jc w:val="center"/>
            </w:pPr>
            <w:r/>
            <w:r>
              <w:rPr>
                <w:rFonts w:ascii="Times New Roman" w:hAnsi="Times New Roman"/>
                <w:sz w:val="18"/>
              </w:rPr>
              <w:t>mL/min</w:t>
            </w:r>
          </w:p>
        </w:tc>
        <w:tc>
          <w:tcPr>
            <w:tcW w:type="dxa" w:w="1568"/>
          </w:tcPr>
          <w:p>
            <w:pPr>
              <w:jc w:val="center"/>
            </w:pPr>
            <w:r/>
            <w:r>
              <w:rPr>
                <w:rFonts w:ascii="Times New Roman" w:hAnsi="Times New Roman"/>
                <w:sz w:val="18"/>
              </w:rPr>
              <w:t>Must be physically positive</w:t>
            </w:r>
          </w:p>
        </w:tc>
      </w:tr>
      <w:tr>
        <w:tc>
          <w:tcPr>
            <w:tcW w:type="dxa" w:w="1568"/>
          </w:tcPr>
          <w:p>
            <w:pPr>
              <w:jc w:val="center"/>
            </w:pPr>
            <w:r/>
            <w:r>
              <w:rPr>
                <w:rFonts w:ascii="Times New Roman" w:hAnsi="Times New Roman"/>
                <w:sz w:val="18"/>
              </w:rPr>
              <w:t>Crossover time</w:t>
            </w:r>
          </w:p>
        </w:tc>
        <w:tc>
          <w:tcPr>
            <w:tcW w:type="dxa" w:w="1568"/>
          </w:tcPr>
          <w:p>
            <w:pPr>
              <w:jc w:val="center"/>
            </w:pPr>
            <w:r/>
            <w:r>
              <w:rPr>
                <w:rFonts w:ascii="Times New Roman" w:hAnsi="Times New Roman"/>
                <w:sz w:val="18"/>
              </w:rPr>
              <w:t>t₀</w:t>
            </w:r>
          </w:p>
        </w:tc>
        <w:tc>
          <w:tcPr>
            <w:tcW w:type="dxa" w:w="1568"/>
          </w:tcPr>
          <w:p>
            <w:pPr>
              <w:jc w:val="center"/>
            </w:pPr>
            <w:r/>
            <w:r>
              <w:rPr>
                <w:rFonts w:ascii="Times New Roman" w:hAnsi="Times New Roman"/>
                <w:sz w:val="18"/>
              </w:rPr>
              <w:t>5.0</w:t>
            </w:r>
          </w:p>
        </w:tc>
        <w:tc>
          <w:tcPr>
            <w:tcW w:type="dxa" w:w="1568"/>
          </w:tcPr>
          <w:p>
            <w:pPr>
              <w:jc w:val="center"/>
            </w:pPr>
            <w:r/>
            <w:r>
              <w:rPr>
                <w:rFonts w:ascii="Times New Roman" w:hAnsi="Times New Roman"/>
                <w:sz w:val="18"/>
              </w:rPr>
              <w:t>40.0</w:t>
            </w:r>
          </w:p>
        </w:tc>
        <w:tc>
          <w:tcPr>
            <w:tcW w:type="dxa" w:w="1568"/>
          </w:tcPr>
          <w:p>
            <w:pPr>
              <w:jc w:val="center"/>
            </w:pPr>
            <w:r/>
            <w:r>
              <w:rPr>
                <w:rFonts w:ascii="Times New Roman" w:hAnsi="Times New Roman"/>
                <w:sz w:val="18"/>
              </w:rPr>
              <w:t>min</w:t>
            </w:r>
          </w:p>
        </w:tc>
        <w:tc>
          <w:tcPr>
            <w:tcW w:type="dxa" w:w="1568"/>
          </w:tcPr>
          <w:p>
            <w:pPr>
              <w:jc w:val="center"/>
            </w:pPr>
            <w:r/>
            <w:r>
              <w:rPr>
                <w:rFonts w:ascii="Times New Roman" w:hAnsi="Times New Roman"/>
                <w:sz w:val="18"/>
              </w:rPr>
              <w:t>Within observed BTC range</w:t>
            </w:r>
          </w:p>
        </w:tc>
      </w:tr>
      <w:tr>
        <w:tc>
          <w:tcPr>
            <w:tcW w:type="dxa" w:w="1568"/>
          </w:tcPr>
          <w:p>
            <w:pPr>
              <w:jc w:val="center"/>
            </w:pPr>
            <w:r/>
            <w:r>
              <w:rPr>
                <w:rFonts w:ascii="Times New Roman" w:hAnsi="Times New Roman"/>
                <w:sz w:val="18"/>
              </w:rPr>
              <w:t>Transition width</w:t>
            </w:r>
          </w:p>
        </w:tc>
        <w:tc>
          <w:tcPr>
            <w:tcW w:type="dxa" w:w="1568"/>
          </w:tcPr>
          <w:p>
            <w:pPr>
              <w:jc w:val="center"/>
            </w:pPr>
            <w:r/>
            <w:r>
              <w:rPr>
                <w:rFonts w:ascii="Times New Roman" w:hAnsi="Times New Roman"/>
                <w:sz w:val="18"/>
              </w:rPr>
              <w:t>σ</w:t>
            </w:r>
          </w:p>
        </w:tc>
        <w:tc>
          <w:tcPr>
            <w:tcW w:type="dxa" w:w="1568"/>
          </w:tcPr>
          <w:p>
            <w:pPr>
              <w:jc w:val="center"/>
            </w:pPr>
            <w:r/>
            <w:r>
              <w:rPr>
                <w:rFonts w:ascii="Times New Roman" w:hAnsi="Times New Roman"/>
                <w:sz w:val="18"/>
              </w:rPr>
              <w:t>0.5</w:t>
            </w:r>
          </w:p>
        </w:tc>
        <w:tc>
          <w:tcPr>
            <w:tcW w:type="dxa" w:w="1568"/>
          </w:tcPr>
          <w:p>
            <w:pPr>
              <w:jc w:val="center"/>
            </w:pPr>
            <w:r/>
            <w:r>
              <w:rPr>
                <w:rFonts w:ascii="Times New Roman" w:hAnsi="Times New Roman"/>
                <w:sz w:val="18"/>
              </w:rPr>
              <w:t>15.0</w:t>
            </w:r>
          </w:p>
        </w:tc>
        <w:tc>
          <w:tcPr>
            <w:tcW w:type="dxa" w:w="1568"/>
          </w:tcPr>
          <w:p>
            <w:pPr>
              <w:jc w:val="center"/>
            </w:pPr>
            <w:r/>
            <w:r>
              <w:rPr>
                <w:rFonts w:ascii="Times New Roman" w:hAnsi="Times New Roman"/>
                <w:sz w:val="18"/>
              </w:rPr>
              <w:t>min</w:t>
            </w:r>
          </w:p>
        </w:tc>
        <w:tc>
          <w:tcPr>
            <w:tcW w:type="dxa" w:w="1568"/>
          </w:tcPr>
          <w:p>
            <w:pPr>
              <w:jc w:val="center"/>
            </w:pPr>
            <w:r/>
            <w:r>
              <w:rPr>
                <w:rFonts w:ascii="Times New Roman" w:hAnsi="Times New Roman"/>
                <w:sz w:val="18"/>
              </w:rPr>
              <w:t>At least 1/8 of sampling interval</w:t>
            </w:r>
          </w:p>
        </w:tc>
      </w:tr>
    </w:tbl>
    <w:p>
      <w:pPr>
        <w:spacing w:after="40"/>
      </w:pPr>
    </w:p>
    <w:p>
      <w:pPr>
        <w:spacing w:after="200"/>
        <w:jc w:val="center"/>
      </w:pPr>
      <w:r>
        <w:rPr>
          <w:rFonts w:ascii="Times New Roman" w:hAnsi="Times New Roman"/>
          <w:b/>
          <w:sz w:val="20"/>
        </w:rPr>
        <w:t>Table S6. Parameter bounds for differential evolution (Stage 1). Bounds are wide to allow global exploration; L-BFGS-B (Stage 2) refines within a subset of these bounds as needed.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