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ESP-T 文章逻辑与创新点 — 详细梳理</w:t>
      </w:r>
    </w:p>
    <w:p>
      <w:pPr>
        <w:pStyle w:val="Heading2"/>
      </w:pPr>
      <w:r>
        <w:t>一、工程背景：为什么做这个</w:t>
      </w:r>
    </w:p>
    <w:p>
      <w:pPr>
        <w:pStyle w:val="Heading3"/>
      </w:pPr>
      <w:r>
        <w:t>1.1 大背景</w:t>
      </w:r>
    </w:p>
    <w:p>
      <w:r>
        <w:rPr>
          <w:rFonts w:ascii="Times New Roman" w:hAnsi="Times New Roman"/>
          <w:sz w:val="24"/>
        </w:rPr>
        <w:t>全球非常规油气（页岩气、致密油）占世界探明储量50%以上。开采这些资源的核心技术是水力压裂（Hydraulic Fracturing）——向地层注入高压液体，把岩石压裂，然后注入支撑剂（Proppant）撑开裂缝，让油气流出来。</w:t>
      </w:r>
    </w:p>
    <w:p>
      <w:r>
        <w:rPr>
          <w:rFonts w:ascii="Times New Roman" w:hAnsi="Times New Roman"/>
          <w:sz w:val="24"/>
        </w:rPr>
        <w:t>一口水平井通常压裂10-20个段（Stage），每个段都是一次独立的压裂操作。</w:t>
      </w:r>
    </w:p>
    <w:p>
      <w:pPr>
        <w:pStyle w:val="Heading3"/>
      </w:pPr>
      <w:r>
        <w:t>1.2 核心难题</w:t>
      </w:r>
    </w:p>
    <w:p>
      <w:r>
        <w:rPr>
          <w:rFonts w:ascii="Times New Roman" w:hAnsi="Times New Roman"/>
          <w:sz w:val="24"/>
        </w:rPr>
        <w:t>压完之后，每个段到底产了多少油？不知道。</w:t>
      </w:r>
    </w:p>
    <w:p>
      <w:r>
        <w:rPr>
          <w:rFonts w:ascii="Times New Roman" w:hAnsi="Times New Roman"/>
          <w:sz w:val="24"/>
        </w:rPr>
        <w:t>生产测井（Production Logging Tool, PLT，生产测井仪器）：把仪器下到井里测。优点是准确，缺点是需要停井作业，费用高，只能测一个时间点。</w:t>
      </w:r>
    </w:p>
    <w:p>
      <w:r>
        <w:rPr>
          <w:rFonts w:ascii="Times New Roman" w:hAnsi="Times New Roman"/>
          <w:sz w:val="24"/>
        </w:rPr>
        <w:t>分布式光纤传感（Distributed Fiber Optic Sensing, DAS/DTS，分布式声波/温度传感）：在完井时随管柱下入光纤，可以持续监测。优点是连续、实时，缺点是前期安装成本高，光纤一旦坏了无法更换。</w:t>
      </w:r>
    </w:p>
    <w:p>
      <w:r>
        <w:rPr>
          <w:rFonts w:ascii="Times New Roman" w:hAnsi="Times New Roman"/>
          <w:sz w:val="24"/>
        </w:rPr>
        <w:t>化学示踪剂（Chemical Tracer，化学示踪剂）：在压裂时随支撑剂一起注入，在地面采样检测。这是最便宜、最方便的方法——不需要下仪器，不需要装光纤，井口定期接个样就行。</w:t>
      </w:r>
    </w:p>
    <w:p>
      <w:pPr>
        <w:pStyle w:val="Heading3"/>
      </w:pPr>
      <w:r>
        <w:t>1.3 示踪剂方法的致命缺陷</w:t>
      </w:r>
    </w:p>
    <w:p>
      <w:r>
        <w:rPr>
          <w:rFonts w:ascii="Times New Roman" w:hAnsi="Times New Roman"/>
          <w:sz w:val="24"/>
        </w:rPr>
        <w:t>目前的示踪支撑剂研究有一个共同的空白：实验室测的是示踪剂从支撑剂里释放有多快——用Korsmeyer-Peppas模型（简称K-P模型，一种描述药物/化学品从固体中释放的经验公式）拟合，得到释放速率K和扩散指数n。井口看到的是示踪剂浓度随时间的变化曲线——BTC（Breakthrough Curve，突破曲线，即示踪剂浓度随时间的曲线）。但这中间缺了一环：示踪剂从支撑剂出来以后，怎么顺着井筒流到采样点的？这个过程叫对流-弥散输运（Advection-Dispersion Transport，即流体带着溶质一边向前流动、一边扩散混合的过程），目前没有人认真建模。</w:t>
      </w:r>
    </w:p>
    <w:p>
      <w:r>
        <w:rPr>
          <w:rFonts w:ascii="Times New Roman" w:hAnsi="Times New Roman"/>
          <w:sz w:val="24"/>
        </w:rPr>
        <w:t>打个比方：你知道水龙头的出水速度（释放动力学），也知道水池的水位在变（BTC），但你不知道连接水龙头和水池的管子多粗、多长（输运过程）——你就没法从水位的变化反推出水龙头到底开了多大（每段的产量）。</w:t>
      </w:r>
    </w:p>
    <w:p>
      <w:pPr>
        <w:pStyle w:val="Heading2"/>
      </w:pPr>
      <w:r>
        <w:t>二、本文做了什么：核心思路</w:t>
      </w:r>
    </w:p>
    <w:p>
      <w:pPr>
        <w:pStyle w:val="Heading3"/>
      </w:pPr>
      <w:r>
        <w:t>2.1 实验设计</w:t>
      </w:r>
    </w:p>
    <w:p>
      <w:r>
        <w:rPr>
          <w:rFonts w:ascii="Times New Roman" w:hAnsi="Times New Roman"/>
          <w:sz w:val="24"/>
        </w:rPr>
        <w:t>用钢制岩心装满ESP-T支撑剂，泡在油里96小时（模拟井下关井Shut-in，压裂后关井等待的过程），然后以0.5 mL/min流速开井（模拟生产），在出口每4分钟采一个样，测浓度——得到一条完整的BTC。</w:t>
      </w:r>
    </w:p>
    <w:p>
      <w:pPr>
        <w:pStyle w:val="Heading3"/>
      </w:pPr>
      <w:r>
        <w:t>2.2 释放动力学实验（§3.6）</w:t>
      </w:r>
    </w:p>
    <w:p>
      <w:r>
        <w:rPr>
          <w:rFonts w:ascii="Times New Roman" w:hAnsi="Times New Roman"/>
          <w:sz w:val="24"/>
        </w:rPr>
        <w:t>把这批支撑剂放在不同温度（30/60/90/120°C）的油里，每隔12小时测一次浓度。用K-P模型拟合释放曲线：C/C₀ = K·tⁿ</w:t>
      </w:r>
    </w:p>
    <w:p>
      <w:r>
        <w:rPr>
          <w:rFonts w:ascii="Times New Roman" w:hAnsi="Times New Roman"/>
          <w:sz w:val="24"/>
        </w:rPr>
        <w:t>C：t时刻示踪剂在油中的浓度（mg/L）；C₀（读作C-zero）：最大（平衡）释放浓度（mg/L）——即支撑剂最多能放出多少示踪剂；K：释放速率常数（Rate Constant，速率常数）——K越大，释放越快；t：时间（h）；n：扩散指数（Diffusion Exponent，扩散指数）——判断释放机制的参数。</w:t>
      </w:r>
    </w:p>
    <w:p>
      <w:r>
        <w:rPr>
          <w:rFonts w:ascii="Times New Roman" w:hAnsi="Times New Roman"/>
          <w:sz w:val="24"/>
        </w:rPr>
        <w:t>n值的物理含义：n ≤ 0.43为纯Fick扩散（Fickian Diffusion，即示踪剂沿浓度梯度自然扩散）；0.43 &lt; n &lt; 0.85为异常输运（Anomalous Transport，扩散+聚合物松弛混合控制）；n ≥ 0.85为Case-II松弛（Case-II Relaxation，聚合物链段运动主导）。本文实验的n都在0.45-0.85之间——异常输运，即扩散和松弛共同控制释放。</w:t>
      </w:r>
    </w:p>
    <w:p>
      <w:r>
        <w:rPr>
          <w:rFonts w:ascii="Times New Roman" w:hAnsi="Times New Roman"/>
          <w:sz w:val="24"/>
        </w:rPr>
        <w:t>K随温度的变化：30°C: K=0.055；60°C: K=0.082；90°C: K=0.113；120°C: K=0.196。温度每升高30°C，K约翻倍。120°C的K是30°C的3.56倍。这说明释放是热激活过程（Thermally Activated Process，温度越高反应越快的过程）。</w:t>
      </w:r>
    </w:p>
    <w:p>
      <w:pPr>
        <w:pStyle w:val="Heading3"/>
      </w:pPr>
      <w:r>
        <w:t>2.3 核心建模（§3.7）——本文最重要的贡献</w:t>
      </w:r>
    </w:p>
    <w:p>
      <w:r>
        <w:rPr>
          <w:rFonts w:ascii="Times New Roman" w:hAnsi="Times New Roman"/>
          <w:sz w:val="24"/>
        </w:rPr>
        <w:t>井口看到的BTC曲线，实际上是两个物理过程的叠加：</w:t>
      </w:r>
    </w:p>
    <w:p>
      <w:r>
        <w:rPr>
          <w:rFonts w:ascii="Times New Roman" w:hAnsi="Times New Roman"/>
          <w:b/>
          <w:sz w:val="24"/>
        </w:rPr>
        <w:t>过程1：关井段塞 → 高斯脉冲（Gaussian Pulse，钟形脉冲信号）</w:t>
      </w:r>
    </w:p>
    <w:p>
      <w:r>
        <w:rPr>
          <w:rFonts w:ascii="Times New Roman" w:hAnsi="Times New Roman"/>
          <w:sz w:val="24"/>
        </w:rPr>
        <w:t>物理图像：关井96小时期间，示踪剂持续从支撑剂里扩散出来，但因为没有流动，这些示踪剂就堆积在支撑剂层和附近的管子里。一开井，这团积攒的示踪剂被一股脑冲到井口——就像水坝开闸放水。</w:t>
      </w:r>
    </w:p>
    <w:p>
      <w:r>
        <w:rPr>
          <w:rFonts w:ascii="Times New Roman" w:hAnsi="Times New Roman"/>
          <w:sz w:val="24"/>
        </w:rPr>
        <w:t>数学形式：用高斯函数（Gaussian Function，也叫正态分布函数，形状是中间高两边低的钟形曲线）来描述。关键参数A为脉冲幅值（Amplitude，幅值系数）——A越大，脉冲越高，说明关井期间积攒的示踪剂越多。</w:t>
      </w:r>
    </w:p>
    <w:p>
      <w:r>
        <w:rPr>
          <w:rFonts w:ascii="Times New Roman" w:hAnsi="Times New Roman"/>
          <w:b/>
          <w:sz w:val="24"/>
        </w:rPr>
        <w:t>过程2：持续释放 → erfc拖尾（erfc Tail，低浓度长拖尾）</w:t>
      </w:r>
    </w:p>
    <w:p>
      <w:r>
        <w:rPr>
          <w:rFonts w:ascii="Times New Roman" w:hAnsi="Times New Roman"/>
          <w:sz w:val="24"/>
        </w:rPr>
        <w:t>物理图像：开井后，支撑剂里残留的示踪剂继续往外扩散，持续进入流动的油里。这个信号比脉冲弱得多，但非常持久——可以持续整个生产周期。</w:t>
      </w:r>
    </w:p>
    <w:p>
      <w:r>
        <w:rPr>
          <w:rFonts w:ascii="Times New Roman" w:hAnsi="Times New Roman"/>
          <w:sz w:val="24"/>
        </w:rPr>
        <w:t>数学形式：用互补误差函数erfc（Complementary Error Function，互补误差函数，形状是从1慢慢降到0的S形曲线）来描述。关键参数a为拖尾幅值（Amplitude，幅值系数）——a越大，拖尾越高，说明持续扩散的通量越大；cb（c-sub-bg）为尾台浓度（Background/Tail-plateau Concentration，持续释放的基线浓度）——长期来看，浓度趋近于这个值。</w:t>
      </w:r>
    </w:p>
    <w:p>
      <w:r>
        <w:rPr>
          <w:rFonts w:ascii="Times New Roman" w:hAnsi="Times New Roman"/>
          <w:b/>
          <w:sz w:val="24"/>
        </w:rPr>
        <w:t>怎么把两个过程拼起来？——tanh平滑过渡</w:t>
      </w:r>
    </w:p>
    <w:p>
      <w:r>
        <w:rPr>
          <w:rFonts w:ascii="Times New Roman" w:hAnsi="Times New Roman"/>
          <w:sz w:val="24"/>
        </w:rPr>
        <w:t>问题：不存在一个明确的时刻之前是段塞、之后是拖尾。两个过程在时间上重叠——段塞还没完全通过，拖尾就已经开始了。</w:t>
      </w:r>
    </w:p>
    <w:p>
      <w:r>
        <w:rPr>
          <w:rFonts w:ascii="Times New Roman" w:hAnsi="Times New Roman"/>
          <w:sz w:val="24"/>
        </w:rPr>
        <w:t>解决方案：用tanh函数（Hyperbolic Tangent，双曲正切函数，形状是从0平滑过渡到1的S形曲线）做一个渐变开关：w(t) = ½[1 + tanh((t₀-t)/σ)]。w(t)=1（早期）→完全由高斯脉冲主导；0&lt;w(t)&lt;1（过渡期）→两个过程混合；w(t)=0（后期）→完全由erfc拖尾主导。就像调音台上的两个推子——一个推下去的同时另一个拉起来，过渡平滑到你听不出切换点。</w:t>
      </w:r>
    </w:p>
    <w:p>
      <w:r>
        <w:rPr>
          <w:rFonts w:ascii="Times New Roman" w:hAnsi="Times New Roman"/>
          <w:sz w:val="24"/>
        </w:rPr>
        <w:t>关键参数：t₀为过渡中心时间（Crossover Time，过渡中心时间）——大概什么时候从段塞切换到拖尾（本文拟合值：25.7分钟）；σ(sigma)为过渡宽度（Transition Width，过渡宽度）——过渡有多陡。σ越小，切换越突然；σ越大，切换越平滑。本文固定在4分钟（=采样间隔）。</w:t>
      </w:r>
    </w:p>
    <w:p>
      <w:r>
        <w:rPr>
          <w:rFonts w:ascii="Times New Roman" w:hAnsi="Times New Roman"/>
          <w:b/>
          <w:sz w:val="24"/>
        </w:rPr>
        <w:t>完整模型</w:t>
      </w:r>
    </w:p>
    <w:p>
      <w:r>
        <w:rPr>
          <w:rFonts w:ascii="Times New Roman" w:hAnsi="Times New Roman"/>
          <w:sz w:val="24"/>
        </w:rPr>
        <w:t>最终的BTC曲线 = w(t)×高斯脉冲 + [1-w(t)]×erfc拖尾 + cb。一共有6个自由参数（σ固定）：cb（尾台浓度）、A（脉冲幅值）、a（拖尾幅值）、α（弥散度）、Q（流量）、t₀（过渡时间）。</w:t>
      </w:r>
    </w:p>
    <w:p>
      <w:r>
        <w:rPr>
          <w:rFonts w:ascii="Times New Roman" w:hAnsi="Times New Roman"/>
          <w:sz w:val="24"/>
        </w:rPr>
        <w:t>还有一个关键参数：Peclet数（Pe，Peclet数）：Pe = x/α。Pe&gt;&gt;1为对流主导（像河流，示踪剂主要被水流带着走）；Pe&lt;&lt;1为弥散主导（像滴入一杯水的墨水，主要靠扩散散开）；Pe≈1为对流和弥散各占一半（本文Pe=0.934）。</w:t>
      </w:r>
    </w:p>
    <w:p>
      <w:pPr>
        <w:pStyle w:val="Heading3"/>
      </w:pPr>
      <w:r>
        <w:t>2.4 模型验证</w:t>
      </w:r>
    </w:p>
    <w:p>
      <w:r>
        <w:rPr>
          <w:rFonts w:ascii="Times New Roman" w:hAnsi="Times New Roman"/>
          <w:b/>
          <w:sz w:val="24"/>
        </w:rPr>
        <w:t>验证1：流量恢复（最直接、最有力的证据）</w:t>
      </w:r>
    </w:p>
    <w:p>
      <w:r>
        <w:rPr>
          <w:rFonts w:ascii="Times New Roman" w:hAnsi="Times New Roman"/>
          <w:sz w:val="24"/>
        </w:rPr>
        <w:t>模型从浓度数据中拟合出的流量Q=0.46 mL/min，而实验设定的泵速是0.50 mL/min——误差仅8%。这个验证的意义：Q不是调参调出来的，是模型从浓度曲线的形状中读出来的。就像你看到一条河的波浪形状，就能推断出流速——模型做到了。</w:t>
      </w:r>
    </w:p>
    <w:p>
      <w:r>
        <w:rPr>
          <w:rFonts w:ascii="Times New Roman" w:hAnsi="Times New Roman"/>
          <w:b/>
          <w:sz w:val="24"/>
        </w:rPr>
        <w:t>验证2：停留时间</w:t>
      </w:r>
    </w:p>
    <w:p>
      <w:r>
        <w:rPr>
          <w:rFonts w:ascii="Times New Roman" w:hAnsi="Times New Roman"/>
          <w:sz w:val="24"/>
        </w:rPr>
        <w:t>MRT（Mean Residence Time，平均停留时间，示踪剂从支撑剂到采样点平均需要多长时间）：模型拟合值37.4分钟，直接计算值（管长÷流速）38.6分钟——误差3%。</w:t>
      </w:r>
    </w:p>
    <w:p>
      <w:r>
        <w:rPr>
          <w:rFonts w:ascii="Times New Roman" w:hAnsi="Times New Roman"/>
          <w:b/>
          <w:sz w:val="24"/>
        </w:rPr>
        <w:t>验证3：Peclet数的一致性</w:t>
      </w:r>
    </w:p>
    <w:p>
      <w:r>
        <w:rPr>
          <w:rFonts w:ascii="Times New Roman" w:hAnsi="Times New Roman"/>
          <w:sz w:val="24"/>
        </w:rPr>
        <w:t>Pe=0.934≈1，说明对流和弥散各占一半——这正是缓慢释放该有的物理状态。而且这个结论与§3.6中n值范围（0.45-0.85）一致——两个独立的方法指向同一个物理机制：这是一个混合控制的释放-输运系统。</w:t>
      </w:r>
    </w:p>
    <w:p>
      <w:r>
        <w:rPr>
          <w:rFonts w:ascii="Times New Roman" w:hAnsi="Times New Roman"/>
          <w:b/>
          <w:sz w:val="24"/>
        </w:rPr>
        <w:t>验证4：模型必要性——更简单的模型行不行？</w:t>
      </w:r>
    </w:p>
    <w:p>
      <w:r>
        <w:rPr>
          <w:rFonts w:ascii="Times New Roman" w:hAnsi="Times New Roman"/>
          <w:sz w:val="24"/>
        </w:rPr>
        <w:t>试了四个更简单的模型：纯高斯（R²=0.948，50分钟后拖尾完全对不上）；纯erfc（R²=0.716，峰值完全对不上）；指数衰减（R²=0.752，更差）；K-P幂律（R²=-0.019，完全不行）。</w:t>
      </w:r>
    </w:p>
    <w:p>
      <w:r>
        <w:rPr>
          <w:rFonts w:ascii="Times New Roman" w:hAnsi="Times New Roman"/>
          <w:sz w:val="24"/>
        </w:rPr>
        <w:t>统计检验：AICc（Corrected Akaike Information Criterion，小样本校正赤池信息准则，一种衡量模型好坏的标准——越小越好）：双组分模型比单高斯低32.7（超过10就算决定性优势）。F检验（F-test，统计检验方法，判断复杂模型的改进是否值得）：p&lt;0.0001，即复杂模型的改进是统计显著的，不是凑参数凑出来的。</w:t>
      </w:r>
    </w:p>
    <w:p>
      <w:pPr>
        <w:pStyle w:val="Heading3"/>
      </w:pPr>
      <w:r>
        <w:t>2.5 核心发现：47%</w:t>
      </w:r>
    </w:p>
    <w:p>
      <w:r>
        <w:rPr>
          <w:rFonts w:ascii="Times New Roman" w:hAnsi="Times New Roman"/>
          <w:sz w:val="24"/>
        </w:rPr>
        <w:t>把拟合好的曲线按分量拆开看：总曲线下面积中，47%来自erfc拖尾（持续释放），53%来自高斯脉冲（关井段塞）。</w:t>
      </w:r>
    </w:p>
    <w:p>
      <w:r>
        <w:rPr>
          <w:rFonts w:ascii="Times New Roman" w:hAnsi="Times New Roman"/>
          <w:sz w:val="24"/>
        </w:rPr>
        <w:t>这意味着什么？你在井口检测到的示踪剂中，将近一半不是关井积攒的，而是开井后持续从支撑剂里扩散出来的。</w:t>
      </w:r>
    </w:p>
    <w:p>
      <w:r>
        <w:rPr>
          <w:rFonts w:ascii="Times New Roman" w:hAnsi="Times New Roman"/>
          <w:sz w:val="24"/>
        </w:rPr>
        <w:t>这个47%有多可靠？σ（过渡宽度）从2分钟变到12分钟（6倍范围），47%只从46.8%变到47.5%——不到1个百分点。说明这个结果不依赖于选了一个特定的σ值。</w:t>
      </w:r>
    </w:p>
    <w:p>
      <w:r>
        <w:rPr>
          <w:rFonts w:ascii="Times New Roman" w:hAnsi="Times New Roman"/>
          <w:sz w:val="24"/>
        </w:rPr>
        <w:t>工程含义：你不需要反复关井来攒示踪剂。一次关井后，残余示踪剂会持续释放很久。定期井口采样就够了——省了反复开关井的操作成本和产量损失。</w:t>
      </w:r>
    </w:p>
    <w:p>
      <w:r>
        <w:rPr>
          <w:rFonts w:ascii="Times New Roman" w:hAnsi="Times New Roman"/>
          <w:sz w:val="24"/>
        </w:rPr>
        <w:t>温度预测：因为cb反映了持续扩散通量，而K（释放速率）随温度增加3.6倍（§3.6），所以cb也应该大约增加3.6倍。意味着更热的井里，示踪信号更强。但这个预测还没有用BTC实验直接验证。</w:t>
      </w:r>
    </w:p>
    <w:p>
      <w:pPr>
        <w:pStyle w:val="Heading3"/>
      </w:pPr>
      <w:r>
        <w:t>2.6 两相流验证（§3.8）</w:t>
      </w:r>
    </w:p>
    <w:p>
      <w:r>
        <w:rPr>
          <w:rFonts w:ascii="Times New Roman" w:hAnsi="Times New Roman"/>
          <w:sz w:val="24"/>
        </w:rPr>
        <w:t>实际井里有油也有水。水会稀释示踪剂——浓度下降不是因为释放少了，只是被冲稀了。</w:t>
      </w:r>
    </w:p>
    <w:p>
      <w:r>
        <w:rPr>
          <w:rFonts w:ascii="Times New Roman" w:hAnsi="Times New Roman"/>
          <w:sz w:val="24"/>
        </w:rPr>
        <w:t>解决方案：用通量FO（Tracer Flux，示踪剂通量=浓度×油流量，μg/min）代替浓度。浓度=释放量÷总流量→受稀释影响；通量=浓度×油流量=释放量→不受稀释影响。</w:t>
      </w:r>
    </w:p>
    <w:p>
      <w:r>
        <w:rPr>
          <w:rFonts w:ascii="Times New Roman" w:hAnsi="Times New Roman"/>
          <w:sz w:val="24"/>
        </w:rPr>
        <w:t>实验证明：油水比从4:1变到1:4（水比油多4倍），通量都能追踪油产量——相关性r=0.97，误差8.3%。</w:t>
      </w:r>
    </w:p>
    <w:p>
      <w:pPr>
        <w:pStyle w:val="Heading3"/>
      </w:pPr>
      <w:r>
        <w:t>2.7 材料为什么选环氧树脂（§3.1-3.5）</w:t>
      </w:r>
    </w:p>
    <w:p>
      <w:r>
        <w:rPr>
          <w:rFonts w:ascii="Times New Roman" w:hAnsi="Times New Roman"/>
          <w:sz w:val="24"/>
        </w:rPr>
        <w:t>已有示踪支撑剂的局限：包覆型陶瓷密度太高（~1.5 g/cm³），不好泵送，包覆层一溶解监测就停；聚苯乙烯（PS）微球耐温不够（&lt;200°C），井下容易变形，机械强度差。</w:t>
      </w:r>
    </w:p>
    <w:p>
      <w:r>
        <w:rPr>
          <w:rFonts w:ascii="Times New Roman" w:hAnsi="Times New Roman"/>
          <w:sz w:val="24"/>
        </w:rPr>
        <w:t>环氧树脂（Epoxy Resin）的优势：耐温357°C（井温一般80-200°C，深井不超过200°C）——远远够了；密度0.65 g/cm³低于水，可以在压裂液里自悬浮，不需要额外加悬浮剂；硬脂酸改性把表面从亲水（接触角72°）变成亲油（接触角105°）——示踪剂只往油里释放，不往水里释放。</w:t>
      </w:r>
    </w:p>
    <w:p>
      <w:pPr>
        <w:pStyle w:val="Heading2"/>
      </w:pPr>
      <w:r>
        <w:t>三、与已有工作的区别</w:t>
      </w:r>
    </w:p>
    <w:p>
      <w:r>
        <w:rPr>
          <w:rFonts w:ascii="Times New Roman" w:hAnsi="Times New Roman"/>
          <w:sz w:val="24"/>
        </w:rPr>
        <w:t>Shook 2009：井间示踪测试→反演储层参数，不涉及支撑剂释放。Liu 2024：返排曲线解释→裂缝几何诊断，只处理返排阶段。Fontalvo 2025：井间分配示踪→残余油饱和度，脉冲注入，无持续释放源。Tian 2020：化学示踪→裂缝干扰与产量分配，多井配置，释放源是瞬时注入。Gong 2024(Fuel)：K-P拟合释放动力学，只有释放，没有输运模型。Luo 2026(Colloids Surf A)：K-P+ADE模型，但ADE是单组分，不分解BTC。</w:t>
      </w:r>
    </w:p>
    <w:p>
      <w:r>
        <w:rPr>
          <w:rFonts w:ascii="Times New Roman" w:hAnsi="Times New Roman"/>
          <w:sz w:val="24"/>
        </w:rPr>
        <w:t>本文：双组分高斯+erfc+tanh BTC模型——全网首次。一句话：已有研究要么只管释放、要么只管输运，没有人把释放-输运-信号分解串成一条完整的逻辑链。本文做到了。</w:t>
      </w:r>
    </w:p>
    <w:p>
      <w:pPr>
        <w:pStyle w:val="Heading2"/>
      </w:pPr>
      <w:r>
        <w:t>四、核心创新点</w:t>
      </w:r>
    </w:p>
    <w:p>
      <w:r>
        <w:rPr>
          <w:rFonts w:ascii="Times New Roman" w:hAnsi="Times New Roman"/>
          <w:sz w:val="24"/>
        </w:rPr>
        <w:t>1. 双组分BTC物理分解：把BTC拆成有物理意义的高斯（段塞）+erfc（拖尾），不是纯经验拟合</w:t>
      </w:r>
    </w:p>
    <w:p>
      <w:r>
        <w:rPr>
          <w:rFonts w:ascii="Times New Roman" w:hAnsi="Times New Roman"/>
          <w:sz w:val="24"/>
        </w:rPr>
        <w:t>2. 自校准流量恢复：Q从浓度数据自己恢复，误差仅8%——物理验证而非统计验证</w:t>
      </w:r>
    </w:p>
    <w:p>
      <w:r>
        <w:rPr>
          <w:rFonts w:ascii="Times New Roman" w:hAnsi="Times New Roman"/>
          <w:sz w:val="24"/>
        </w:rPr>
        <w:t>3. BTC分量的温度可预测性：cb通过K(T)与释放动力学定量挂钩（3.6倍预测）</w:t>
      </w:r>
    </w:p>
    <w:p>
      <w:r>
        <w:rPr>
          <w:rFonts w:ascii="Times New Roman" w:hAnsi="Times New Roman"/>
          <w:sz w:val="24"/>
        </w:rPr>
        <w:t>4. 通量法解决稀释问题：FO不受水稀释影响，使两相流产量分配成为可能</w:t>
      </w:r>
    </w:p>
    <w:p>
      <w:pPr>
        <w:pStyle w:val="Heading2"/>
      </w:pPr>
      <w:r>
        <w:t>五、汇报用一句话总结</w:t>
      </w:r>
    </w:p>
    <w:p>
      <w:r>
        <w:rPr>
          <w:rFonts w:ascii="Times New Roman" w:hAnsi="Times New Roman"/>
          <w:sz w:val="24"/>
        </w:rPr>
        <w:t>本文建立了示踪支撑剂领域第一个将释放动力学与井口突破信号定量连接的物理模型——把BTC拆成高斯脉冲（关井段塞）和erfc拖尾（持续释放）两个分量，用tanh平滑拼合。模型自校准恢复真实流量（误差8%），发现47%信号来自持续释放——在工程上意味着一次关井即可长期监测，不需要反复作业。截至2026年7月，全网没有同类建模方案。</w:t>
      </w:r>
    </w:p>
    <w:p>
      <w:pPr>
        <w:pStyle w:val="Heading2"/>
      </w:pPr>
      <w:r>
        <w:t>五、与已有示踪支撑剂模型详细对比</w:t>
      </w:r>
    </w:p>
    <w:p>
      <w:r>
        <w:rPr>
          <w:rFonts w:ascii="Times New Roman" w:hAnsi="Times New Roman"/>
          <w:sz w:val="24"/>
        </w:rPr>
        <w:t>以下对比基于已发表文献和本文实验结果。核心判断标准：是否建立了从"批次释放实验"到"井口BTC"的定量桥梁。</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18"/>
              </w:rPr>
              <w:t>对比维度</w:t>
            </w:r>
          </w:p>
        </w:tc>
        <w:tc>
          <w:tcPr>
            <w:tcW w:type="dxa" w:w="2351"/>
          </w:tcPr>
          <w:p>
            <w:r/>
            <w:r>
              <w:rPr>
                <w:rFonts w:ascii="Times New Roman" w:hAnsi="Times New Roman"/>
                <w:b/>
                <w:sz w:val="18"/>
              </w:rPr>
              <w:t>Gong 2024</w:t>
              <w:br/>
              <w:t>(Fuel)</w:t>
            </w:r>
          </w:p>
        </w:tc>
        <w:tc>
          <w:tcPr>
            <w:tcW w:type="dxa" w:w="2351"/>
          </w:tcPr>
          <w:p>
            <w:r/>
            <w:r>
              <w:rPr>
                <w:rFonts w:ascii="Times New Roman" w:hAnsi="Times New Roman"/>
                <w:b/>
                <w:sz w:val="18"/>
              </w:rPr>
              <w:t>Luo 2026</w:t>
              <w:br/>
              <w:t>(Colloids Surf A)</w:t>
            </w:r>
          </w:p>
        </w:tc>
        <w:tc>
          <w:tcPr>
            <w:tcW w:type="dxa" w:w="2351"/>
          </w:tcPr>
          <w:p>
            <w:r/>
            <w:r>
              <w:rPr>
                <w:rFonts w:ascii="Times New Roman" w:hAnsi="Times New Roman"/>
                <w:b/>
                <w:sz w:val="18"/>
              </w:rPr>
              <w:t>本文</w:t>
              <w:br/>
              <w:t>(ESP-T)</w:t>
            </w:r>
          </w:p>
        </w:tc>
      </w:tr>
      <w:tr>
        <w:tc>
          <w:tcPr>
            <w:tcW w:type="dxa" w:w="2351"/>
          </w:tcPr>
          <w:p>
            <w:r/>
            <w:r>
              <w:rPr>
                <w:rFonts w:ascii="Times New Roman" w:hAnsi="Times New Roman"/>
                <w:sz w:val="18"/>
              </w:rPr>
              <w:t>示踪剂载体</w:t>
            </w:r>
          </w:p>
        </w:tc>
        <w:tc>
          <w:tcPr>
            <w:tcW w:type="dxa" w:w="2351"/>
          </w:tcPr>
          <w:p>
            <w:r/>
            <w:r>
              <w:rPr>
                <w:rFonts w:ascii="Times New Roman" w:hAnsi="Times New Roman"/>
                <w:sz w:val="18"/>
              </w:rPr>
              <w:t>PS微球</w:t>
            </w:r>
          </w:p>
        </w:tc>
        <w:tc>
          <w:tcPr>
            <w:tcW w:type="dxa" w:w="2351"/>
          </w:tcPr>
          <w:p>
            <w:r/>
            <w:r>
              <w:rPr>
                <w:rFonts w:ascii="Times New Roman" w:hAnsi="Times New Roman"/>
                <w:sz w:val="18"/>
              </w:rPr>
              <w:t>聚合物包覆石英砂</w:t>
            </w:r>
          </w:p>
        </w:tc>
        <w:tc>
          <w:tcPr>
            <w:tcW w:type="dxa" w:w="2351"/>
          </w:tcPr>
          <w:p>
            <w:r/>
            <w:r>
              <w:rPr>
                <w:rFonts w:ascii="Times New Roman" w:hAnsi="Times New Roman"/>
                <w:sz w:val="18"/>
              </w:rPr>
              <w:t>环氧树脂微球</w:t>
            </w:r>
          </w:p>
        </w:tc>
      </w:tr>
      <w:tr>
        <w:tc>
          <w:tcPr>
            <w:tcW w:type="dxa" w:w="2351"/>
          </w:tcPr>
          <w:p>
            <w:r/>
            <w:r>
              <w:rPr>
                <w:rFonts w:ascii="Times New Roman" w:hAnsi="Times New Roman"/>
                <w:sz w:val="18"/>
              </w:rPr>
              <w:t>释放模型</w:t>
            </w:r>
          </w:p>
        </w:tc>
        <w:tc>
          <w:tcPr>
            <w:tcW w:type="dxa" w:w="2351"/>
          </w:tcPr>
          <w:p>
            <w:r/>
            <w:r>
              <w:rPr>
                <w:rFonts w:ascii="Times New Roman" w:hAnsi="Times New Roman"/>
                <w:sz w:val="18"/>
              </w:rPr>
              <w:t>K-P</w:t>
            </w:r>
          </w:p>
        </w:tc>
        <w:tc>
          <w:tcPr>
            <w:tcW w:type="dxa" w:w="2351"/>
          </w:tcPr>
          <w:p>
            <w:r/>
            <w:r>
              <w:rPr>
                <w:rFonts w:ascii="Times New Roman" w:hAnsi="Times New Roman"/>
                <w:sz w:val="18"/>
              </w:rPr>
              <w:t>K-P</w:t>
            </w:r>
          </w:p>
        </w:tc>
        <w:tc>
          <w:tcPr>
            <w:tcW w:type="dxa" w:w="2351"/>
          </w:tcPr>
          <w:p>
            <w:r/>
            <w:r>
              <w:rPr>
                <w:rFonts w:ascii="Times New Roman" w:hAnsi="Times New Roman"/>
                <w:sz w:val="18"/>
              </w:rPr>
              <w:t>K-P (Mt/M∞&lt;0.6)</w:t>
            </w:r>
          </w:p>
        </w:tc>
      </w:tr>
      <w:tr>
        <w:tc>
          <w:tcPr>
            <w:tcW w:type="dxa" w:w="2351"/>
          </w:tcPr>
          <w:p>
            <w:r/>
            <w:r>
              <w:rPr>
                <w:rFonts w:ascii="Times New Roman" w:hAnsi="Times New Roman"/>
                <w:sz w:val="18"/>
              </w:rPr>
              <w:t>输运模型</w:t>
            </w:r>
          </w:p>
        </w:tc>
        <w:tc>
          <w:tcPr>
            <w:tcW w:type="dxa" w:w="2351"/>
          </w:tcPr>
          <w:p>
            <w:r/>
            <w:r>
              <w:rPr>
                <w:rFonts w:ascii="Times New Roman" w:hAnsi="Times New Roman"/>
                <w:sz w:val="18"/>
              </w:rPr>
              <w:t>无</w:t>
            </w:r>
          </w:p>
        </w:tc>
        <w:tc>
          <w:tcPr>
            <w:tcW w:type="dxa" w:w="2351"/>
          </w:tcPr>
          <w:p>
            <w:r/>
            <w:r>
              <w:rPr>
                <w:rFonts w:ascii="Times New Roman" w:hAnsi="Times New Roman"/>
                <w:sz w:val="18"/>
              </w:rPr>
              <w:t>单组分ADE</w:t>
            </w:r>
          </w:p>
        </w:tc>
        <w:tc>
          <w:tcPr>
            <w:tcW w:type="dxa" w:w="2351"/>
          </w:tcPr>
          <w:p>
            <w:r/>
            <w:r>
              <w:rPr>
                <w:rFonts w:ascii="Times New Roman" w:hAnsi="Times New Roman"/>
                <w:sz w:val="18"/>
              </w:rPr>
              <w:t>双组分ADE</w:t>
              <w:br/>
              <w:t>(高斯+erfc+tanh)</w:t>
            </w:r>
          </w:p>
        </w:tc>
      </w:tr>
      <w:tr>
        <w:tc>
          <w:tcPr>
            <w:tcW w:type="dxa" w:w="2351"/>
          </w:tcPr>
          <w:p>
            <w:r/>
            <w:r>
              <w:rPr>
                <w:rFonts w:ascii="Times New Roman" w:hAnsi="Times New Roman"/>
                <w:sz w:val="18"/>
              </w:rPr>
              <w:t>BTC物理分解</w:t>
            </w:r>
          </w:p>
        </w:tc>
        <w:tc>
          <w:tcPr>
            <w:tcW w:type="dxa" w:w="2351"/>
          </w:tcPr>
          <w:p>
            <w:r/>
            <w:r>
              <w:rPr>
                <w:rFonts w:ascii="Times New Roman" w:hAnsi="Times New Roman"/>
                <w:sz w:val="18"/>
              </w:rPr>
              <w:t>无</w:t>
            </w:r>
          </w:p>
        </w:tc>
        <w:tc>
          <w:tcPr>
            <w:tcW w:type="dxa" w:w="2351"/>
          </w:tcPr>
          <w:p>
            <w:r/>
            <w:r>
              <w:rPr>
                <w:rFonts w:ascii="Times New Roman" w:hAnsi="Times New Roman"/>
                <w:sz w:val="18"/>
              </w:rPr>
              <w:t>无</w:t>
            </w:r>
          </w:p>
        </w:tc>
        <w:tc>
          <w:tcPr>
            <w:tcW w:type="dxa" w:w="2351"/>
          </w:tcPr>
          <w:p>
            <w:r/>
            <w:r>
              <w:rPr>
                <w:rFonts w:ascii="Times New Roman" w:hAnsi="Times New Roman"/>
                <w:sz w:val="18"/>
              </w:rPr>
              <w:t>有：段塞(高斯)+拖尾(erfc)</w:t>
            </w:r>
          </w:p>
        </w:tc>
      </w:tr>
      <w:tr>
        <w:tc>
          <w:tcPr>
            <w:tcW w:type="dxa" w:w="2351"/>
          </w:tcPr>
          <w:p>
            <w:r/>
            <w:r>
              <w:rPr>
                <w:rFonts w:ascii="Times New Roman" w:hAnsi="Times New Roman"/>
                <w:sz w:val="18"/>
              </w:rPr>
              <w:t>参数自校准</w:t>
            </w:r>
          </w:p>
        </w:tc>
        <w:tc>
          <w:tcPr>
            <w:tcW w:type="dxa" w:w="2351"/>
          </w:tcPr>
          <w:p>
            <w:r/>
            <w:r>
              <w:rPr>
                <w:rFonts w:ascii="Times New Roman" w:hAnsi="Times New Roman"/>
                <w:sz w:val="18"/>
              </w:rPr>
              <w:t>无</w:t>
            </w:r>
          </w:p>
        </w:tc>
        <w:tc>
          <w:tcPr>
            <w:tcW w:type="dxa" w:w="2351"/>
          </w:tcPr>
          <w:p>
            <w:r/>
            <w:r>
              <w:rPr>
                <w:rFonts w:ascii="Times New Roman" w:hAnsi="Times New Roman"/>
                <w:sz w:val="18"/>
              </w:rPr>
              <w:t>无</w:t>
            </w:r>
          </w:p>
        </w:tc>
        <w:tc>
          <w:tcPr>
            <w:tcW w:type="dxa" w:w="2351"/>
          </w:tcPr>
          <w:p>
            <w:r/>
            <w:r>
              <w:rPr>
                <w:rFonts w:ascii="Times New Roman" w:hAnsi="Times New Roman"/>
                <w:sz w:val="18"/>
              </w:rPr>
              <w:t>Q恢复误差8%</w:t>
              <w:br/>
              <w:t>MRT恢复误差3%</w:t>
            </w:r>
          </w:p>
        </w:tc>
      </w:tr>
      <w:tr>
        <w:tc>
          <w:tcPr>
            <w:tcW w:type="dxa" w:w="2351"/>
          </w:tcPr>
          <w:p>
            <w:r/>
            <w:r>
              <w:rPr>
                <w:rFonts w:ascii="Times New Roman" w:hAnsi="Times New Roman"/>
                <w:sz w:val="18"/>
              </w:rPr>
              <w:t>统计验证</w:t>
            </w:r>
          </w:p>
        </w:tc>
        <w:tc>
          <w:tcPr>
            <w:tcW w:type="dxa" w:w="2351"/>
          </w:tcPr>
          <w:p>
            <w:r/>
            <w:r>
              <w:rPr>
                <w:rFonts w:ascii="Times New Roman" w:hAnsi="Times New Roman"/>
                <w:sz w:val="18"/>
              </w:rPr>
              <w:t>仅R²</w:t>
            </w:r>
          </w:p>
        </w:tc>
        <w:tc>
          <w:tcPr>
            <w:tcW w:type="dxa" w:w="2351"/>
          </w:tcPr>
          <w:p>
            <w:r/>
            <w:r>
              <w:rPr>
                <w:rFonts w:ascii="Times New Roman" w:hAnsi="Times New Roman"/>
                <w:sz w:val="18"/>
              </w:rPr>
              <w:t>R²</w:t>
            </w:r>
          </w:p>
        </w:tc>
        <w:tc>
          <w:tcPr>
            <w:tcW w:type="dxa" w:w="2351"/>
          </w:tcPr>
          <w:p>
            <w:r/>
            <w:r>
              <w:rPr>
                <w:rFonts w:ascii="Times New Roman" w:hAnsi="Times New Roman"/>
                <w:sz w:val="18"/>
              </w:rPr>
              <w:t>R²+AICc+BIC+F-test</w:t>
              <w:br/>
              <w:t>(ΔAICc=32.7, p&lt;0.0001)</w:t>
            </w:r>
          </w:p>
        </w:tc>
      </w:tr>
      <w:tr>
        <w:tc>
          <w:tcPr>
            <w:tcW w:type="dxa" w:w="2351"/>
          </w:tcPr>
          <w:p>
            <w:r/>
            <w:r>
              <w:rPr>
                <w:rFonts w:ascii="Times New Roman" w:hAnsi="Times New Roman"/>
                <w:sz w:val="18"/>
              </w:rPr>
              <w:t>σ稳健性分析</w:t>
            </w:r>
          </w:p>
        </w:tc>
        <w:tc>
          <w:tcPr>
            <w:tcW w:type="dxa" w:w="2351"/>
          </w:tcPr>
          <w:p>
            <w:r/>
            <w:r>
              <w:rPr>
                <w:rFonts w:ascii="Times New Roman" w:hAnsi="Times New Roman"/>
                <w:sz w:val="18"/>
              </w:rPr>
              <w:t>无</w:t>
            </w:r>
          </w:p>
        </w:tc>
        <w:tc>
          <w:tcPr>
            <w:tcW w:type="dxa" w:w="2351"/>
          </w:tcPr>
          <w:p>
            <w:r/>
            <w:r>
              <w:rPr>
                <w:rFonts w:ascii="Times New Roman" w:hAnsi="Times New Roman"/>
                <w:sz w:val="18"/>
              </w:rPr>
              <w:t>无</w:t>
            </w:r>
          </w:p>
        </w:tc>
        <w:tc>
          <w:tcPr>
            <w:tcW w:type="dxa" w:w="2351"/>
          </w:tcPr>
          <w:p>
            <w:r/>
            <w:r>
              <w:rPr>
                <w:rFonts w:ascii="Times New Roman" w:hAnsi="Times New Roman"/>
                <w:sz w:val="18"/>
              </w:rPr>
              <w:t>有：6倍范围&lt;1pp变化</w:t>
            </w:r>
          </w:p>
        </w:tc>
      </w:tr>
      <w:tr>
        <w:tc>
          <w:tcPr>
            <w:tcW w:type="dxa" w:w="2351"/>
          </w:tcPr>
          <w:p>
            <w:r/>
            <w:r>
              <w:rPr>
                <w:rFonts w:ascii="Times New Roman" w:hAnsi="Times New Roman"/>
                <w:sz w:val="18"/>
              </w:rPr>
              <w:t>两相流验证</w:t>
            </w:r>
          </w:p>
        </w:tc>
        <w:tc>
          <w:tcPr>
            <w:tcW w:type="dxa" w:w="2351"/>
          </w:tcPr>
          <w:p>
            <w:r/>
            <w:r>
              <w:rPr>
                <w:rFonts w:ascii="Times New Roman" w:hAnsi="Times New Roman"/>
                <w:sz w:val="18"/>
              </w:rPr>
              <w:t>无</w:t>
            </w:r>
          </w:p>
        </w:tc>
        <w:tc>
          <w:tcPr>
            <w:tcW w:type="dxa" w:w="2351"/>
          </w:tcPr>
          <w:p>
            <w:r/>
            <w:r>
              <w:rPr>
                <w:rFonts w:ascii="Times New Roman" w:hAnsi="Times New Roman"/>
                <w:sz w:val="18"/>
              </w:rPr>
              <w:t>无</w:t>
            </w:r>
          </w:p>
        </w:tc>
        <w:tc>
          <w:tcPr>
            <w:tcW w:type="dxa" w:w="2351"/>
          </w:tcPr>
          <w:p>
            <w:r/>
            <w:r>
              <w:rPr>
                <w:rFonts w:ascii="Times New Roman" w:hAnsi="Times New Roman"/>
                <w:sz w:val="18"/>
              </w:rPr>
              <w:t>有：FO法，r=0.97, RMSD=8.3%</w:t>
            </w:r>
          </w:p>
        </w:tc>
      </w:tr>
      <w:tr>
        <w:tc>
          <w:tcPr>
            <w:tcW w:type="dxa" w:w="2351"/>
          </w:tcPr>
          <w:p>
            <w:r/>
            <w:r>
              <w:rPr>
                <w:rFonts w:ascii="Times New Roman" w:hAnsi="Times New Roman"/>
                <w:sz w:val="18"/>
              </w:rPr>
              <w:t>温度预测</w:t>
            </w:r>
          </w:p>
        </w:tc>
        <w:tc>
          <w:tcPr>
            <w:tcW w:type="dxa" w:w="2351"/>
          </w:tcPr>
          <w:p>
            <w:r/>
            <w:r>
              <w:rPr>
                <w:rFonts w:ascii="Times New Roman" w:hAnsi="Times New Roman"/>
                <w:sz w:val="18"/>
              </w:rPr>
              <w:t>无</w:t>
            </w:r>
          </w:p>
        </w:tc>
        <w:tc>
          <w:tcPr>
            <w:tcW w:type="dxa" w:w="2351"/>
          </w:tcPr>
          <w:p>
            <w:r/>
            <w:r>
              <w:rPr>
                <w:rFonts w:ascii="Times New Roman" w:hAnsi="Times New Roman"/>
                <w:sz w:val="18"/>
              </w:rPr>
              <w:t>无</w:t>
            </w:r>
          </w:p>
        </w:tc>
        <w:tc>
          <w:tcPr>
            <w:tcW w:type="dxa" w:w="2351"/>
          </w:tcPr>
          <w:p>
            <w:r/>
            <w:r>
              <w:rPr>
                <w:rFonts w:ascii="Times New Roman" w:hAnsi="Times New Roman"/>
                <w:sz w:val="18"/>
              </w:rPr>
              <w:t>cb~3.6倍(K从0.055→0.196)</w:t>
            </w:r>
          </w:p>
        </w:tc>
      </w:tr>
      <w:tr>
        <w:tc>
          <w:tcPr>
            <w:tcW w:type="dxa" w:w="2351"/>
          </w:tcPr>
          <w:p>
            <w:r/>
            <w:r>
              <w:rPr>
                <w:rFonts w:ascii="Times New Roman" w:hAnsi="Times New Roman"/>
                <w:sz w:val="18"/>
              </w:rPr>
              <w:t>释放-输运耦合</w:t>
            </w:r>
          </w:p>
        </w:tc>
        <w:tc>
          <w:tcPr>
            <w:tcW w:type="dxa" w:w="2351"/>
          </w:tcPr>
          <w:p>
            <w:r/>
            <w:r>
              <w:rPr>
                <w:rFonts w:ascii="Times New Roman" w:hAnsi="Times New Roman"/>
                <w:sz w:val="18"/>
              </w:rPr>
              <w:t>无</w:t>
            </w:r>
          </w:p>
        </w:tc>
        <w:tc>
          <w:tcPr>
            <w:tcW w:type="dxa" w:w="2351"/>
          </w:tcPr>
          <w:p>
            <w:r/>
            <w:r>
              <w:rPr>
                <w:rFonts w:ascii="Times New Roman" w:hAnsi="Times New Roman"/>
                <w:sz w:val="18"/>
              </w:rPr>
              <w:t>无</w:t>
            </w:r>
          </w:p>
        </w:tc>
        <w:tc>
          <w:tcPr>
            <w:tcW w:type="dxa" w:w="2351"/>
          </w:tcPr>
          <w:p>
            <w:r/>
            <w:r>
              <w:rPr>
                <w:rFonts w:ascii="Times New Roman" w:hAnsi="Times New Roman"/>
                <w:sz w:val="18"/>
              </w:rPr>
              <w:t>cb通过K(T)与§3.6关联</w:t>
            </w:r>
          </w:p>
        </w:tc>
      </w:tr>
      <w:tr>
        <w:tc>
          <w:tcPr>
            <w:tcW w:type="dxa" w:w="2351"/>
          </w:tcPr>
          <w:p>
            <w:r/>
            <w:r>
              <w:rPr>
                <w:rFonts w:ascii="Times New Roman" w:hAnsi="Times New Roman"/>
                <w:sz w:val="18"/>
              </w:rPr>
              <w:t>工程意义</w:t>
            </w:r>
          </w:p>
        </w:tc>
        <w:tc>
          <w:tcPr>
            <w:tcW w:type="dxa" w:w="2351"/>
          </w:tcPr>
          <w:p>
            <w:r/>
            <w:r>
              <w:rPr>
                <w:rFonts w:ascii="Times New Roman" w:hAnsi="Times New Roman"/>
                <w:sz w:val="18"/>
              </w:rPr>
              <w:t>定性：可监测</w:t>
            </w:r>
          </w:p>
        </w:tc>
        <w:tc>
          <w:tcPr>
            <w:tcW w:type="dxa" w:w="2351"/>
          </w:tcPr>
          <w:p>
            <w:r/>
            <w:r>
              <w:rPr>
                <w:rFonts w:ascii="Times New Roman" w:hAnsi="Times New Roman"/>
                <w:sz w:val="18"/>
              </w:rPr>
              <w:t>定性：可监测</w:t>
            </w:r>
          </w:p>
        </w:tc>
        <w:tc>
          <w:tcPr>
            <w:tcW w:type="dxa" w:w="2351"/>
          </w:tcPr>
          <w:p>
            <w:r/>
            <w:r>
              <w:rPr>
                <w:rFonts w:ascii="Times New Roman" w:hAnsi="Times New Roman"/>
                <w:sz w:val="18"/>
              </w:rPr>
              <w:t>定量：一次关井即可</w:t>
            </w:r>
          </w:p>
        </w:tc>
      </w:tr>
    </w:tbl>
    <w:p/>
    <w:p>
      <w:r>
        <w:rPr>
          <w:rFonts w:ascii="Times New Roman" w:hAnsi="Times New Roman"/>
          <w:sz w:val="24"/>
        </w:rPr>
        <w:t>最关键的区别：Gong 2024和Luo 2026都把BTC当成一条"需要拟合的曲线"——前者根本没做输运模型，后者做了ADE但只是单组分拟合。本文把BTC理解为"两个物理过程的叠加"——关井段塞（高斯）和持续释放（erfc）——并且用实验证明了这种理解能自校准地恢复流量。</w:t>
      </w:r>
    </w:p>
    <w:p>
      <w:pPr>
        <w:pStyle w:val="Heading2"/>
      </w:pPr>
      <w:r>
        <w:t>六、支撑材料数据：双组分 vs 单组分模型对比</w:t>
      </w:r>
    </w:p>
    <w:p>
      <w:r>
        <w:rPr>
          <w:rFonts w:ascii="Times New Roman" w:hAnsi="Times New Roman"/>
          <w:sz w:val="24"/>
        </w:rPr>
        <w:t>以下是支撑材料Table S1的详细数据。所有模型在相同条件下拟合同一组21个数据点。</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
              <w:rPr>
                <w:rFonts w:ascii="Times New Roman" w:hAnsi="Times New Roman"/>
                <w:b/>
                <w:sz w:val="18"/>
              </w:rPr>
              <w:t>模型</w:t>
            </w:r>
          </w:p>
        </w:tc>
        <w:tc>
          <w:tcPr>
            <w:tcW w:type="dxa" w:w="1176"/>
          </w:tcPr>
          <w:p>
            <w:r/>
            <w:r>
              <w:rPr>
                <w:rFonts w:ascii="Times New Roman" w:hAnsi="Times New Roman"/>
                <w:b/>
                <w:sz w:val="18"/>
              </w:rPr>
              <w:t>参数数k</w:t>
            </w:r>
          </w:p>
        </w:tc>
        <w:tc>
          <w:tcPr>
            <w:tcW w:type="dxa" w:w="1176"/>
          </w:tcPr>
          <w:p>
            <w:r/>
            <w:r>
              <w:rPr>
                <w:rFonts w:ascii="Times New Roman" w:hAnsi="Times New Roman"/>
                <w:b/>
                <w:sz w:val="18"/>
              </w:rPr>
              <w:t>R²</w:t>
            </w:r>
          </w:p>
        </w:tc>
        <w:tc>
          <w:tcPr>
            <w:tcW w:type="dxa" w:w="1176"/>
          </w:tcPr>
          <w:p>
            <w:r/>
            <w:r>
              <w:rPr>
                <w:rFonts w:ascii="Times New Roman" w:hAnsi="Times New Roman"/>
                <w:b/>
                <w:sz w:val="18"/>
              </w:rPr>
              <w:t>RMSE</w:t>
            </w:r>
          </w:p>
        </w:tc>
        <w:tc>
          <w:tcPr>
            <w:tcW w:type="dxa" w:w="1176"/>
          </w:tcPr>
          <w:p>
            <w:r/>
            <w:r>
              <w:rPr>
                <w:rFonts w:ascii="Times New Roman" w:hAnsi="Times New Roman"/>
                <w:b/>
                <w:sz w:val="18"/>
              </w:rPr>
              <w:t>AICc</w:t>
            </w:r>
          </w:p>
        </w:tc>
        <w:tc>
          <w:tcPr>
            <w:tcW w:type="dxa" w:w="1176"/>
          </w:tcPr>
          <w:p>
            <w:r/>
            <w:r>
              <w:rPr>
                <w:rFonts w:ascii="Times New Roman" w:hAnsi="Times New Roman"/>
                <w:b/>
                <w:sz w:val="18"/>
              </w:rPr>
              <w:t>BIC</w:t>
            </w:r>
          </w:p>
        </w:tc>
        <w:tc>
          <w:tcPr>
            <w:tcW w:type="dxa" w:w="1176"/>
          </w:tcPr>
          <w:p>
            <w:r/>
            <w:r>
              <w:rPr>
                <w:rFonts w:ascii="Times New Roman" w:hAnsi="Times New Roman"/>
                <w:b/>
                <w:sz w:val="18"/>
              </w:rPr>
              <w:t>ΔAICc</w:t>
            </w:r>
          </w:p>
        </w:tc>
        <w:tc>
          <w:tcPr>
            <w:tcW w:type="dxa" w:w="1176"/>
          </w:tcPr>
          <w:p>
            <w:r/>
            <w:r>
              <w:rPr>
                <w:rFonts w:ascii="Times New Roman" w:hAnsi="Times New Roman"/>
                <w:b/>
                <w:sz w:val="18"/>
              </w:rPr>
              <w:t>说明</w:t>
            </w:r>
          </w:p>
        </w:tc>
      </w:tr>
      <w:tr>
        <w:tc>
          <w:tcPr>
            <w:tcW w:type="dxa" w:w="1176"/>
          </w:tcPr>
          <w:p>
            <w:r/>
            <w:r>
              <w:rPr>
                <w:rFonts w:ascii="Times New Roman" w:hAnsi="Times New Roman"/>
                <w:sz w:val="18"/>
              </w:rPr>
              <w:t>双组分tanh</w:t>
            </w:r>
          </w:p>
        </w:tc>
        <w:tc>
          <w:tcPr>
            <w:tcW w:type="dxa" w:w="1176"/>
          </w:tcPr>
          <w:p>
            <w:r/>
            <w:r>
              <w:rPr>
                <w:rFonts w:ascii="Times New Roman" w:hAnsi="Times New Roman"/>
                <w:sz w:val="18"/>
              </w:rPr>
              <w:t>7</w:t>
            </w:r>
          </w:p>
        </w:tc>
        <w:tc>
          <w:tcPr>
            <w:tcW w:type="dxa" w:w="1176"/>
          </w:tcPr>
          <w:p>
            <w:r/>
            <w:r>
              <w:rPr>
                <w:rFonts w:ascii="Times New Roman" w:hAnsi="Times New Roman"/>
                <w:sz w:val="18"/>
              </w:rPr>
              <w:t>0.9939</w:t>
            </w:r>
          </w:p>
        </w:tc>
        <w:tc>
          <w:tcPr>
            <w:tcW w:type="dxa" w:w="1176"/>
          </w:tcPr>
          <w:p>
            <w:r/>
            <w:r>
              <w:rPr>
                <w:rFonts w:ascii="Times New Roman" w:hAnsi="Times New Roman"/>
                <w:sz w:val="18"/>
              </w:rPr>
              <w:t>0.0210</w:t>
            </w:r>
          </w:p>
        </w:tc>
        <w:tc>
          <w:tcPr>
            <w:tcW w:type="dxa" w:w="1176"/>
          </w:tcPr>
          <w:p>
            <w:r/>
            <w:r>
              <w:rPr>
                <w:rFonts w:ascii="Times New Roman" w:hAnsi="Times New Roman"/>
                <w:sz w:val="18"/>
              </w:rPr>
              <w:t>−139.70</w:t>
            </w:r>
          </w:p>
        </w:tc>
        <w:tc>
          <w:tcPr>
            <w:tcW w:type="dxa" w:w="1176"/>
          </w:tcPr>
          <w:p>
            <w:r/>
            <w:r>
              <w:rPr>
                <w:rFonts w:ascii="Times New Roman" w:hAnsi="Times New Roman"/>
                <w:sz w:val="18"/>
              </w:rPr>
              <w:t>−141.01</w:t>
            </w:r>
          </w:p>
        </w:tc>
        <w:tc>
          <w:tcPr>
            <w:tcW w:type="dxa" w:w="1176"/>
          </w:tcPr>
          <w:p>
            <w:r/>
            <w:r>
              <w:rPr>
                <w:rFonts w:ascii="Times New Roman" w:hAnsi="Times New Roman"/>
                <w:sz w:val="18"/>
              </w:rPr>
              <w:t>0.00</w:t>
            </w:r>
          </w:p>
        </w:tc>
        <w:tc>
          <w:tcPr>
            <w:tcW w:type="dxa" w:w="1176"/>
          </w:tcPr>
          <w:p>
            <w:r/>
            <w:r>
              <w:rPr>
                <w:rFonts w:ascii="Times New Roman" w:hAnsi="Times New Roman"/>
                <w:sz w:val="18"/>
              </w:rPr>
              <w:t>本文模型：高斯+erfc+tanh</w:t>
            </w:r>
          </w:p>
        </w:tc>
      </w:tr>
      <w:tr>
        <w:tc>
          <w:tcPr>
            <w:tcW w:type="dxa" w:w="1176"/>
          </w:tcPr>
          <w:p>
            <w:r/>
            <w:r>
              <w:rPr>
                <w:rFonts w:ascii="Times New Roman" w:hAnsi="Times New Roman"/>
                <w:sz w:val="18"/>
              </w:rPr>
              <w:t>单高斯</w:t>
            </w:r>
          </w:p>
        </w:tc>
        <w:tc>
          <w:tcPr>
            <w:tcW w:type="dxa" w:w="1176"/>
          </w:tcPr>
          <w:p>
            <w:r/>
            <w:r>
              <w:rPr>
                <w:rFonts w:ascii="Times New Roman" w:hAnsi="Times New Roman"/>
                <w:sz w:val="18"/>
              </w:rPr>
              <w:t>4</w:t>
            </w:r>
          </w:p>
        </w:tc>
        <w:tc>
          <w:tcPr>
            <w:tcW w:type="dxa" w:w="1176"/>
          </w:tcPr>
          <w:p>
            <w:r/>
            <w:r>
              <w:rPr>
                <w:rFonts w:ascii="Times New Roman" w:hAnsi="Times New Roman"/>
                <w:sz w:val="18"/>
              </w:rPr>
              <w:t>0.9482</w:t>
            </w:r>
          </w:p>
        </w:tc>
        <w:tc>
          <w:tcPr>
            <w:tcW w:type="dxa" w:w="1176"/>
          </w:tcPr>
          <w:p>
            <w:r/>
            <w:r>
              <w:rPr>
                <w:rFonts w:ascii="Times New Roman" w:hAnsi="Times New Roman"/>
                <w:sz w:val="18"/>
              </w:rPr>
              <w:t>0.0609</w:t>
            </w:r>
          </w:p>
        </w:tc>
        <w:tc>
          <w:tcPr>
            <w:tcW w:type="dxa" w:w="1176"/>
          </w:tcPr>
          <w:p>
            <w:r/>
            <w:r>
              <w:rPr>
                <w:rFonts w:ascii="Times New Roman" w:hAnsi="Times New Roman"/>
                <w:sz w:val="18"/>
              </w:rPr>
              <w:t>−107.04</w:t>
            </w:r>
          </w:p>
        </w:tc>
        <w:tc>
          <w:tcPr>
            <w:tcW w:type="dxa" w:w="1176"/>
          </w:tcPr>
          <w:p>
            <w:r/>
            <w:r>
              <w:rPr>
                <w:rFonts w:ascii="Times New Roman" w:hAnsi="Times New Roman"/>
                <w:sz w:val="18"/>
              </w:rPr>
              <w:t>−105.36</w:t>
            </w:r>
          </w:p>
        </w:tc>
        <w:tc>
          <w:tcPr>
            <w:tcW w:type="dxa" w:w="1176"/>
          </w:tcPr>
          <w:p>
            <w:r/>
            <w:r>
              <w:rPr>
                <w:rFonts w:ascii="Times New Roman" w:hAnsi="Times New Roman"/>
                <w:sz w:val="18"/>
              </w:rPr>
              <w:t>32.66</w:t>
            </w:r>
          </w:p>
        </w:tc>
        <w:tc>
          <w:tcPr>
            <w:tcW w:type="dxa" w:w="1176"/>
          </w:tcPr>
          <w:p>
            <w:r/>
            <w:r>
              <w:rPr>
                <w:rFonts w:ascii="Times New Roman" w:hAnsi="Times New Roman"/>
                <w:sz w:val="18"/>
              </w:rPr>
              <w:t>只能拟合峰值，拖尾完全偏离</w:t>
            </w:r>
          </w:p>
        </w:tc>
      </w:tr>
      <w:tr>
        <w:tc>
          <w:tcPr>
            <w:tcW w:type="dxa" w:w="1176"/>
          </w:tcPr>
          <w:p>
            <w:r/>
            <w:r>
              <w:rPr>
                <w:rFonts w:ascii="Times New Roman" w:hAnsi="Times New Roman"/>
                <w:sz w:val="18"/>
              </w:rPr>
              <w:t>单erfc</w:t>
            </w:r>
          </w:p>
        </w:tc>
        <w:tc>
          <w:tcPr>
            <w:tcW w:type="dxa" w:w="1176"/>
          </w:tcPr>
          <w:p>
            <w:r/>
            <w:r>
              <w:rPr>
                <w:rFonts w:ascii="Times New Roman" w:hAnsi="Times New Roman"/>
                <w:sz w:val="18"/>
              </w:rPr>
              <w:t>4</w:t>
            </w:r>
          </w:p>
        </w:tc>
        <w:tc>
          <w:tcPr>
            <w:tcW w:type="dxa" w:w="1176"/>
          </w:tcPr>
          <w:p>
            <w:r/>
            <w:r>
              <w:rPr>
                <w:rFonts w:ascii="Times New Roman" w:hAnsi="Times New Roman"/>
                <w:sz w:val="18"/>
              </w:rPr>
              <w:t>0.7159</w:t>
            </w:r>
          </w:p>
        </w:tc>
        <w:tc>
          <w:tcPr>
            <w:tcW w:type="dxa" w:w="1176"/>
          </w:tcPr>
          <w:p>
            <w:r/>
            <w:r>
              <w:rPr>
                <w:rFonts w:ascii="Times New Roman" w:hAnsi="Times New Roman"/>
                <w:sz w:val="18"/>
              </w:rPr>
              <w:t>0.1427</w:t>
            </w:r>
          </w:p>
        </w:tc>
        <w:tc>
          <w:tcPr>
            <w:tcW w:type="dxa" w:w="1176"/>
          </w:tcPr>
          <w:p>
            <w:r/>
            <w:r>
              <w:rPr>
                <w:rFonts w:ascii="Times New Roman" w:hAnsi="Times New Roman"/>
                <w:sz w:val="18"/>
              </w:rPr>
              <w:t>−71.28</w:t>
            </w:r>
          </w:p>
        </w:tc>
        <w:tc>
          <w:tcPr>
            <w:tcW w:type="dxa" w:w="1176"/>
          </w:tcPr>
          <w:p>
            <w:r/>
            <w:r>
              <w:rPr>
                <w:rFonts w:ascii="Times New Roman" w:hAnsi="Times New Roman"/>
                <w:sz w:val="18"/>
              </w:rPr>
              <w:t>−69.60</w:t>
            </w:r>
          </w:p>
        </w:tc>
        <w:tc>
          <w:tcPr>
            <w:tcW w:type="dxa" w:w="1176"/>
          </w:tcPr>
          <w:p>
            <w:r/>
            <w:r>
              <w:rPr>
                <w:rFonts w:ascii="Times New Roman" w:hAnsi="Times New Roman"/>
                <w:sz w:val="18"/>
              </w:rPr>
              <w:t>68.42</w:t>
            </w:r>
          </w:p>
        </w:tc>
        <w:tc>
          <w:tcPr>
            <w:tcW w:type="dxa" w:w="1176"/>
          </w:tcPr>
          <w:p>
            <w:r/>
            <w:r>
              <w:rPr>
                <w:rFonts w:ascii="Times New Roman" w:hAnsi="Times New Roman"/>
                <w:sz w:val="18"/>
              </w:rPr>
              <w:t>只能拟合拖尾，峰值完全偏离</w:t>
            </w:r>
          </w:p>
        </w:tc>
      </w:tr>
      <w:tr>
        <w:tc>
          <w:tcPr>
            <w:tcW w:type="dxa" w:w="1176"/>
          </w:tcPr>
          <w:p>
            <w:r/>
            <w:r>
              <w:rPr>
                <w:rFonts w:ascii="Times New Roman" w:hAnsi="Times New Roman"/>
                <w:sz w:val="18"/>
              </w:rPr>
              <w:t>指数衰减</w:t>
            </w:r>
          </w:p>
        </w:tc>
        <w:tc>
          <w:tcPr>
            <w:tcW w:type="dxa" w:w="1176"/>
          </w:tcPr>
          <w:p>
            <w:r/>
            <w:r>
              <w:rPr>
                <w:rFonts w:ascii="Times New Roman" w:hAnsi="Times New Roman"/>
                <w:sz w:val="18"/>
              </w:rPr>
              <w:t>3</w:t>
            </w:r>
          </w:p>
        </w:tc>
        <w:tc>
          <w:tcPr>
            <w:tcW w:type="dxa" w:w="1176"/>
          </w:tcPr>
          <w:p>
            <w:r/>
            <w:r>
              <w:rPr>
                <w:rFonts w:ascii="Times New Roman" w:hAnsi="Times New Roman"/>
                <w:sz w:val="18"/>
              </w:rPr>
              <w:t>0.7517</w:t>
            </w:r>
          </w:p>
        </w:tc>
        <w:tc>
          <w:tcPr>
            <w:tcW w:type="dxa" w:w="1176"/>
          </w:tcPr>
          <w:p>
            <w:r/>
            <w:r>
              <w:rPr>
                <w:rFonts w:ascii="Times New Roman" w:hAnsi="Times New Roman"/>
                <w:sz w:val="18"/>
              </w:rPr>
              <w:t>0.1334</w:t>
            </w:r>
          </w:p>
        </w:tc>
        <w:tc>
          <w:tcPr>
            <w:tcW w:type="dxa" w:w="1176"/>
          </w:tcPr>
          <w:p>
            <w:r/>
            <w:r>
              <w:rPr>
                <w:rFonts w:ascii="Times New Roman" w:hAnsi="Times New Roman"/>
                <w:sz w:val="18"/>
              </w:rPr>
              <w:t>−77.20</w:t>
            </w:r>
          </w:p>
        </w:tc>
        <w:tc>
          <w:tcPr>
            <w:tcW w:type="dxa" w:w="1176"/>
          </w:tcPr>
          <w:p>
            <w:r/>
            <w:r>
              <w:rPr>
                <w:rFonts w:ascii="Times New Roman" w:hAnsi="Times New Roman"/>
                <w:sz w:val="18"/>
              </w:rPr>
              <w:t>−75.48</w:t>
            </w:r>
          </w:p>
        </w:tc>
        <w:tc>
          <w:tcPr>
            <w:tcW w:type="dxa" w:w="1176"/>
          </w:tcPr>
          <w:p>
            <w:r/>
            <w:r>
              <w:rPr>
                <w:rFonts w:ascii="Times New Roman" w:hAnsi="Times New Roman"/>
                <w:sz w:val="18"/>
              </w:rPr>
              <w:t>62.51</w:t>
            </w:r>
          </w:p>
        </w:tc>
        <w:tc>
          <w:tcPr>
            <w:tcW w:type="dxa" w:w="1176"/>
          </w:tcPr>
          <w:p>
            <w:r/>
            <w:r>
              <w:rPr>
                <w:rFonts w:ascii="Times New Roman" w:hAnsi="Times New Roman"/>
                <w:sz w:val="18"/>
              </w:rPr>
              <w:t>比erfc略好，但无物理含义</w:t>
            </w:r>
          </w:p>
        </w:tc>
      </w:tr>
      <w:tr>
        <w:tc>
          <w:tcPr>
            <w:tcW w:type="dxa" w:w="1176"/>
          </w:tcPr>
          <w:p>
            <w:r/>
            <w:r>
              <w:rPr>
                <w:rFonts w:ascii="Times New Roman" w:hAnsi="Times New Roman"/>
                <w:sz w:val="18"/>
              </w:rPr>
              <w:t>K-P幂律</w:t>
            </w:r>
          </w:p>
        </w:tc>
        <w:tc>
          <w:tcPr>
            <w:tcW w:type="dxa" w:w="1176"/>
          </w:tcPr>
          <w:p>
            <w:r/>
            <w:r>
              <w:rPr>
                <w:rFonts w:ascii="Times New Roman" w:hAnsi="Times New Roman"/>
                <w:sz w:val="18"/>
              </w:rPr>
              <w:t>3</w:t>
            </w:r>
          </w:p>
        </w:tc>
        <w:tc>
          <w:tcPr>
            <w:tcW w:type="dxa" w:w="1176"/>
          </w:tcPr>
          <w:p>
            <w:r/>
            <w:r>
              <w:rPr>
                <w:rFonts w:ascii="Times New Roman" w:hAnsi="Times New Roman"/>
                <w:sz w:val="18"/>
              </w:rPr>
              <w:t>−0.0193</w:t>
            </w:r>
          </w:p>
        </w:tc>
        <w:tc>
          <w:tcPr>
            <w:tcW w:type="dxa" w:w="1176"/>
          </w:tcPr>
          <w:p>
            <w:r/>
            <w:r>
              <w:rPr>
                <w:rFonts w:ascii="Times New Roman" w:hAnsi="Times New Roman"/>
                <w:sz w:val="18"/>
              </w:rPr>
              <w:t>0.2703</w:t>
            </w:r>
          </w:p>
        </w:tc>
        <w:tc>
          <w:tcPr>
            <w:tcW w:type="dxa" w:w="1176"/>
          </w:tcPr>
          <w:p>
            <w:r/>
            <w:r>
              <w:rPr>
                <w:rFonts w:ascii="Times New Roman" w:hAnsi="Times New Roman"/>
                <w:sz w:val="18"/>
              </w:rPr>
              <w:t>−47.54</w:t>
            </w:r>
          </w:p>
        </w:tc>
        <w:tc>
          <w:tcPr>
            <w:tcW w:type="dxa" w:w="1176"/>
          </w:tcPr>
          <w:p>
            <w:r/>
            <w:r>
              <w:rPr>
                <w:rFonts w:ascii="Times New Roman" w:hAnsi="Times New Roman"/>
                <w:sz w:val="18"/>
              </w:rPr>
              <w:t>−45.82</w:t>
            </w:r>
          </w:p>
        </w:tc>
        <w:tc>
          <w:tcPr>
            <w:tcW w:type="dxa" w:w="1176"/>
          </w:tcPr>
          <w:p>
            <w:r/>
            <w:r>
              <w:rPr>
                <w:rFonts w:ascii="Times New Roman" w:hAnsi="Times New Roman"/>
                <w:sz w:val="18"/>
              </w:rPr>
              <w:t>92.16</w:t>
            </w:r>
          </w:p>
        </w:tc>
        <w:tc>
          <w:tcPr>
            <w:tcW w:type="dxa" w:w="1176"/>
          </w:tcPr>
          <w:p>
            <w:r/>
            <w:r>
              <w:rPr>
                <w:rFonts w:ascii="Times New Roman" w:hAnsi="Times New Roman"/>
                <w:sz w:val="18"/>
              </w:rPr>
              <w:t>R²为负，完全不适用BTC拟合</w:t>
            </w:r>
          </w:p>
        </w:tc>
      </w:tr>
    </w:tbl>
    <w:p/>
    <w:p>
      <w:r>
        <w:rPr>
          <w:rFonts w:ascii="Times New Roman" w:hAnsi="Times New Roman"/>
          <w:sz w:val="24"/>
        </w:rPr>
        <w:t>统计检验解读：</w:t>
      </w:r>
    </w:p>
    <w:p>
      <w:r>
        <w:rPr>
          <w:rFonts w:ascii="Times New Roman" w:hAnsi="Times New Roman"/>
          <w:sz w:val="24"/>
        </w:rPr>
        <w:t>AICc（小样本校正赤池信息准则）：衡量模型"性价比"——拟合好不好 vs 用了几个参数。数值越小越好。双组分模型比第二名（单高斯）低了32.7——远超"决定性优势"的阈值（ΔAICc&gt;10）。</w:t>
      </w:r>
    </w:p>
    <w:p>
      <w:r>
        <w:rPr>
          <w:rFonts w:ascii="Times New Roman" w:hAnsi="Times New Roman"/>
          <w:sz w:val="24"/>
        </w:rPr>
        <w:t>BIC（贝叶斯信息准则）：类似AICc但对参数数惩罚更重。同样双组分最低。</w:t>
      </w:r>
    </w:p>
    <w:p>
      <w:r>
        <w:rPr>
          <w:rFonts w:ascii="Times New Roman" w:hAnsi="Times New Roman"/>
          <w:sz w:val="24"/>
        </w:rPr>
        <w:t>F检验：F(3,14)=34.70, p=1.2×10⁻⁶。即双组分比单高斯多用了3个参数，但这3个参数带来的改进远远超过"随机波动"能解释的范围（p远小于0.05）。</w:t>
      </w:r>
    </w:p>
    <w:p>
      <w:r>
        <w:rPr>
          <w:rFonts w:ascii="Times New Roman" w:hAnsi="Times New Roman"/>
          <w:sz w:val="24"/>
        </w:rPr>
        <w:t>Akaike权重：双组分模型&gt;0.9999。在所有5个候选模型中，双组分模型是"最优模型"的概率超过99.99%。</w:t>
      </w:r>
    </w:p>
    <w:p>
      <w:r>
        <w:rPr>
          <w:rFonts w:ascii="Times New Roman" w:hAnsi="Times New Roman"/>
          <w:sz w:val="24"/>
        </w:rPr>
        <w:t>物理含义：单高斯R²=0.948看起来还不错，但它在50分钟之后系统性地低估了浓度——因为单高斯只能描述脉冲通过的过程，无法描述持续释放。单erfc只能描述缓慢下降，但无法描述峰。只有双组分能同时抓住两者——这恰好印证了BTC确实由"段塞+拖尾"两个物理过程叠加而成的假设。</w:t>
      </w:r>
    </w:p>
    <w:p>
      <w:pPr>
        <w:pStyle w:val="Heading2"/>
      </w:pPr>
      <w:r>
        <w:t>七、汇报用一句话总结</w:t>
      </w:r>
    </w:p>
    <w:p>
      <w:r>
        <w:rPr>
          <w:rFonts w:ascii="Times New Roman" w:hAnsi="Times New Roman"/>
          <w:sz w:val="24"/>
        </w:rPr>
        <w:t>本文建立了示踪支撑剂领域第一个将释放动力学与井口突破信号定量连接的物理模型——把BTC拆成高斯脉冲（关井段塞）和erfc拖尾（持续释放）两个分量，用tanh平滑拼合。与已有工作（Gong 2024仅做K-P、Luo 2026仅做单组分ADE）相比，本文首次实现了BTC的物理分解和参数自校准（Q误差8%）。模型对比（ΔAICc=32.7, Akaike权重&gt;0.9999）证明双组分结构是必要的而非过度拟合。核心发现47%信号来自持续释放——在工程上意味着一次关井即可长期监测，不需要反复作业。截至2026年7月，全网没有同类建模方案。</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